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eastAsia="黑体"/>
          <w:b/>
          <w:color w:val="000000" w:themeColor="text1"/>
          <w:kern w:val="0"/>
          <w:sz w:val="52"/>
          <w:szCs w:val="52"/>
          <w14:textFill>
            <w14:solidFill>
              <w14:schemeClr w14:val="tx1"/>
            </w14:solidFill>
          </w14:textFill>
        </w:rPr>
      </w:pPr>
    </w:p>
    <w:p>
      <w:pPr>
        <w:spacing w:line="240" w:lineRule="auto"/>
        <w:jc w:val="center"/>
        <w:rPr>
          <w:rFonts w:eastAsia="黑体"/>
          <w:b/>
          <w:color w:val="000000" w:themeColor="text1"/>
          <w:kern w:val="0"/>
          <w:sz w:val="52"/>
          <w:szCs w:val="52"/>
          <w14:textFill>
            <w14:solidFill>
              <w14:schemeClr w14:val="tx1"/>
            </w14:solidFill>
          </w14:textFill>
        </w:rPr>
      </w:pPr>
    </w:p>
    <w:p>
      <w:pPr>
        <w:pStyle w:val="3"/>
        <w:pageBreakBefore w:val="0"/>
        <w:kinsoku/>
        <w:wordWrap/>
        <w:overflowPunct/>
        <w:topLinePunct w:val="0"/>
        <w:bidi w:val="0"/>
        <w:spacing w:before="0" w:after="0" w:line="360" w:lineRule="auto"/>
        <w:ind w:left="0" w:leftChars="0" w:right="0" w:firstLine="0" w:firstLineChars="0"/>
        <w:jc w:val="center"/>
        <w:rPr>
          <w:rFonts w:hint="eastAsia" w:ascii="宋体" w:hAnsi="宋体" w:eastAsia="宋体" w:cs="宋体"/>
          <w:color w:val="auto"/>
          <w:sz w:val="52"/>
          <w:szCs w:val="52"/>
          <w:highlight w:val="none"/>
          <w:u w:val="none"/>
          <w:lang w:eastAsia="zh-CN"/>
        </w:rPr>
      </w:pPr>
      <w:bookmarkStart w:id="0" w:name="_Toc857"/>
      <w:r>
        <w:rPr>
          <w:rFonts w:hint="eastAsia" w:ascii="宋体" w:hAnsi="宋体" w:eastAsia="宋体" w:cs="宋体"/>
          <w:color w:val="auto"/>
          <w:sz w:val="52"/>
          <w:szCs w:val="52"/>
          <w:highlight w:val="none"/>
          <w:u w:val="none"/>
          <w:lang w:eastAsia="zh-CN"/>
        </w:rPr>
        <w:t>2024年第十三届深圳动漫节</w:t>
      </w:r>
      <w:bookmarkEnd w:id="0"/>
    </w:p>
    <w:p>
      <w:pPr>
        <w:pStyle w:val="3"/>
        <w:pageBreakBefore w:val="0"/>
        <w:kinsoku/>
        <w:wordWrap/>
        <w:overflowPunct/>
        <w:topLinePunct w:val="0"/>
        <w:bidi w:val="0"/>
        <w:spacing w:before="0" w:after="0" w:line="360" w:lineRule="auto"/>
        <w:ind w:left="0" w:leftChars="0" w:right="0" w:firstLine="0" w:firstLineChars="0"/>
        <w:jc w:val="center"/>
        <w:rPr>
          <w:rFonts w:hint="eastAsia" w:ascii="宋体" w:hAnsi="宋体" w:eastAsia="宋体" w:cs="宋体"/>
          <w:color w:val="auto"/>
          <w:sz w:val="52"/>
          <w:szCs w:val="52"/>
          <w:highlight w:val="none"/>
          <w:u w:val="none"/>
          <w:lang w:eastAsia="zh-CN"/>
        </w:rPr>
      </w:pPr>
      <w:r>
        <w:rPr>
          <w:rFonts w:hint="eastAsia" w:ascii="宋体" w:hAnsi="宋体" w:cs="宋体"/>
          <w:color w:val="auto"/>
          <w:sz w:val="52"/>
          <w:szCs w:val="52"/>
          <w:highlight w:val="none"/>
          <w:u w:val="none"/>
          <w:lang w:eastAsia="zh-CN"/>
        </w:rPr>
        <w:t>宅舞大赛及主题巡游项目</w:t>
      </w:r>
    </w:p>
    <w:p>
      <w:pPr>
        <w:spacing w:line="240" w:lineRule="auto"/>
        <w:jc w:val="center"/>
        <w:rPr>
          <w:rFonts w:eastAsia="黑体"/>
          <w:b/>
          <w:color w:val="000000" w:themeColor="text1"/>
          <w:kern w:val="0"/>
          <w:sz w:val="52"/>
          <w:szCs w:val="52"/>
          <w14:textFill>
            <w14:solidFill>
              <w14:schemeClr w14:val="tx1"/>
            </w14:solidFill>
          </w14:textFill>
        </w:rPr>
      </w:pPr>
    </w:p>
    <w:p>
      <w:pPr>
        <w:spacing w:line="240" w:lineRule="auto"/>
        <w:jc w:val="center"/>
        <w:rPr>
          <w:rFonts w:eastAsia="黑体"/>
          <w:b/>
          <w:color w:val="000000" w:themeColor="text1"/>
          <w:kern w:val="0"/>
          <w:sz w:val="52"/>
          <w:szCs w:val="52"/>
          <w14:textFill>
            <w14:solidFill>
              <w14:schemeClr w14:val="tx1"/>
            </w14:solidFill>
          </w14:textFill>
        </w:rPr>
      </w:pPr>
    </w:p>
    <w:p>
      <w:pPr>
        <w:spacing w:line="240" w:lineRule="auto"/>
        <w:jc w:val="center"/>
        <w:rPr>
          <w:rFonts w:eastAsia="黑体"/>
          <w:b/>
          <w:color w:val="000000" w:themeColor="text1"/>
          <w:kern w:val="0"/>
          <w:sz w:val="52"/>
          <w:szCs w:val="52"/>
          <w14:textFill>
            <w14:solidFill>
              <w14:schemeClr w14:val="tx1"/>
            </w14:solidFill>
          </w14:textFill>
        </w:rPr>
      </w:pPr>
    </w:p>
    <w:p>
      <w:pPr>
        <w:spacing w:line="240" w:lineRule="auto"/>
        <w:jc w:val="center"/>
        <w:rPr>
          <w:rFonts w:eastAsia="黑体"/>
          <w:b/>
          <w:bCs/>
          <w:color w:val="000000" w:themeColor="text1"/>
          <w:sz w:val="84"/>
          <w:szCs w:val="21"/>
          <w14:textFill>
            <w14:solidFill>
              <w14:schemeClr w14:val="tx1"/>
            </w14:solidFill>
          </w14:textFill>
        </w:rPr>
      </w:pPr>
      <w:r>
        <w:rPr>
          <w:rFonts w:hint="eastAsia" w:eastAsia="黑体"/>
          <w:b/>
          <w:bCs/>
          <w:color w:val="000000" w:themeColor="text1"/>
          <w:sz w:val="84"/>
          <w:szCs w:val="21"/>
          <w14:textFill>
            <w14:solidFill>
              <w14:schemeClr w14:val="tx1"/>
            </w14:solidFill>
          </w14:textFill>
        </w:rPr>
        <w:t>竞争性谈判文件</w:t>
      </w:r>
    </w:p>
    <w:p>
      <w:pPr>
        <w:spacing w:line="240" w:lineRule="auto"/>
        <w:jc w:val="center"/>
        <w:outlineLvl w:val="0"/>
        <w:rPr>
          <w:rFonts w:hint="default" w:eastAsia="黑体"/>
          <w:color w:val="auto"/>
          <w:sz w:val="34"/>
          <w:szCs w:val="21"/>
          <w:lang w:val="en-US" w:eastAsia="zh-CN"/>
        </w:rPr>
      </w:pPr>
      <w:bookmarkStart w:id="1" w:name="_Toc20369"/>
      <w:bookmarkStart w:id="2" w:name="_Toc13549"/>
      <w:bookmarkStart w:id="3" w:name="_Toc23836"/>
      <w:r>
        <w:rPr>
          <w:rFonts w:hint="eastAsia" w:ascii="黑体" w:eastAsia="黑体" w:hAnsiTheme="minorEastAsia"/>
          <w:b/>
          <w:color w:val="000000" w:themeColor="text1"/>
          <w:sz w:val="34"/>
          <w:szCs w:val="21"/>
          <w14:textFill>
            <w14:solidFill>
              <w14:schemeClr w14:val="tx1"/>
            </w14:solidFill>
          </w14:textFill>
        </w:rPr>
        <w:t>采购编号</w:t>
      </w:r>
      <w:r>
        <w:rPr>
          <w:rFonts w:hint="eastAsia" w:eastAsia="黑体"/>
          <w:color w:val="000000" w:themeColor="text1"/>
          <w:sz w:val="34"/>
          <w:szCs w:val="21"/>
          <w14:textFill>
            <w14:solidFill>
              <w14:schemeClr w14:val="tx1"/>
            </w14:solidFill>
          </w14:textFill>
        </w:rPr>
        <w:t>：</w:t>
      </w:r>
      <w:r>
        <w:rPr>
          <w:rFonts w:hint="eastAsia" w:ascii="Impact" w:hAnsi="Impact" w:eastAsia="黑体"/>
          <w:color w:val="auto"/>
          <w:sz w:val="34"/>
          <w:szCs w:val="21"/>
          <w:lang w:val="en-US" w:eastAsia="zh-CN"/>
        </w:rPr>
        <w:t>SJZD</w:t>
      </w:r>
      <w:r>
        <w:rPr>
          <w:rFonts w:ascii="Impact" w:hAnsi="Impact" w:eastAsia="黑体"/>
          <w:color w:val="auto"/>
          <w:sz w:val="34"/>
          <w:szCs w:val="21"/>
        </w:rPr>
        <w:t>-20</w:t>
      </w:r>
      <w:r>
        <w:rPr>
          <w:rFonts w:hint="eastAsia" w:ascii="Impact" w:hAnsi="Impact" w:eastAsia="黑体"/>
          <w:color w:val="auto"/>
          <w:sz w:val="34"/>
          <w:szCs w:val="21"/>
          <w:lang w:val="en-US" w:eastAsia="zh-CN"/>
        </w:rPr>
        <w:t>24</w:t>
      </w:r>
      <w:r>
        <w:rPr>
          <w:rFonts w:hint="eastAsia" w:ascii="Impact" w:hAnsi="Impact" w:eastAsia="黑体"/>
          <w:color w:val="auto"/>
          <w:sz w:val="34"/>
          <w:szCs w:val="21"/>
          <w:highlight w:val="none"/>
          <w:shd w:val="clear"/>
          <w:lang w:val="en-US" w:eastAsia="zh-CN"/>
        </w:rPr>
        <w:t>012</w:t>
      </w:r>
      <w:bookmarkEnd w:id="1"/>
      <w:bookmarkEnd w:id="2"/>
      <w:bookmarkEnd w:id="3"/>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jc w:val="center"/>
        <w:rPr>
          <w:color w:val="000000" w:themeColor="text1"/>
          <w14:textFill>
            <w14:solidFill>
              <w14:schemeClr w14:val="tx1"/>
            </w14:solidFill>
          </w14:textFill>
        </w:rPr>
      </w:pPr>
    </w:p>
    <w:p>
      <w:pPr>
        <w:spacing w:line="240" w:lineRule="auto"/>
        <w:ind w:firstLine="0" w:firstLineChars="0"/>
        <w:jc w:val="center"/>
        <w:outlineLvl w:val="0"/>
        <w:rPr>
          <w:rFonts w:hint="eastAsia" w:ascii="黑体" w:hAnsi="黑体" w:eastAsia="黑体"/>
          <w:color w:val="000000"/>
          <w:sz w:val="48"/>
          <w:szCs w:val="48"/>
        </w:rPr>
      </w:pPr>
      <w:bookmarkStart w:id="4" w:name="_Toc1540"/>
      <w:bookmarkStart w:id="5" w:name="_Toc24712"/>
      <w:bookmarkStart w:id="6" w:name="_Toc24124"/>
      <w:r>
        <w:rPr>
          <w:rFonts w:hint="eastAsia" w:ascii="黑体" w:hAnsi="黑体" w:eastAsia="黑体"/>
          <w:color w:val="000000"/>
          <w:sz w:val="48"/>
          <w:szCs w:val="48"/>
        </w:rPr>
        <w:t>深圳市</w:t>
      </w:r>
      <w:r>
        <w:rPr>
          <w:rFonts w:hint="eastAsia" w:ascii="黑体" w:hAnsi="黑体" w:eastAsia="黑体"/>
          <w:color w:val="000000"/>
          <w:sz w:val="48"/>
          <w:szCs w:val="48"/>
          <w:lang w:eastAsia="zh-CN"/>
        </w:rPr>
        <w:t>设计之都运营发展</w:t>
      </w:r>
      <w:r>
        <w:rPr>
          <w:rFonts w:hint="eastAsia" w:ascii="黑体" w:hAnsi="黑体" w:eastAsia="黑体"/>
          <w:color w:val="000000"/>
          <w:sz w:val="48"/>
          <w:szCs w:val="48"/>
        </w:rPr>
        <w:t>有限公司</w:t>
      </w:r>
      <w:bookmarkEnd w:id="4"/>
      <w:bookmarkEnd w:id="5"/>
      <w:bookmarkEnd w:id="6"/>
    </w:p>
    <w:p>
      <w:pPr>
        <w:spacing w:line="240" w:lineRule="auto"/>
        <w:ind w:firstLine="0" w:firstLineChars="0"/>
        <w:jc w:val="left"/>
        <w:rPr>
          <w:rFonts w:hint="eastAsia" w:ascii="黑体" w:hAnsi="黑体" w:eastAsia="黑体"/>
          <w:color w:val="000000"/>
          <w:sz w:val="48"/>
          <w:szCs w:val="48"/>
        </w:rPr>
      </w:pPr>
      <w:r>
        <w:rPr>
          <w:rFonts w:hint="eastAsia" w:ascii="黑体" w:hAnsi="黑体" w:eastAsia="黑体"/>
          <w:color w:val="000000"/>
          <w:sz w:val="48"/>
          <w:szCs w:val="48"/>
        </w:rPr>
        <w:br w:type="page"/>
      </w:r>
    </w:p>
    <w:sdt>
      <w:sdtPr>
        <w:rPr>
          <w:rFonts w:ascii="宋体" w:hAnsi="宋体" w:eastAsia="宋体" w:cstheme="minorBidi"/>
          <w:kern w:val="2"/>
          <w:sz w:val="21"/>
          <w:szCs w:val="22"/>
          <w:lang w:val="en-US" w:eastAsia="zh-CN" w:bidi="ar-SA"/>
        </w:rPr>
        <w:id w:val="147452778"/>
        <w15:color w:val="DBDBDB"/>
        <w:docPartObj>
          <w:docPartGallery w:val="Table of Contents"/>
          <w:docPartUnique/>
        </w:docPartObj>
      </w:sdtPr>
      <w:sdtEndPr>
        <w:rPr>
          <w:rFonts w:ascii="宋体" w:hAnsi="宋体" w:eastAsia="宋体"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7"/>
            <w:tabs>
              <w:tab w:val="right" w:leader="dot" w:pos="8306"/>
            </w:tabs>
            <w:rPr>
              <w:b/>
            </w:rPr>
          </w:pPr>
          <w:r>
            <w:fldChar w:fldCharType="begin"/>
          </w:r>
          <w:r>
            <w:instrText xml:space="preserve">TOC \o "1-2" \h \u </w:instrText>
          </w:r>
          <w:r>
            <w:fldChar w:fldCharType="separate"/>
          </w:r>
        </w:p>
        <w:p>
          <w:pPr>
            <w:pStyle w:val="37"/>
            <w:tabs>
              <w:tab w:val="right" w:leader="dot" w:pos="8306"/>
            </w:tabs>
            <w:rPr>
              <w:b/>
            </w:rPr>
          </w:pPr>
          <w:r>
            <w:rPr>
              <w:b/>
            </w:rPr>
            <w:fldChar w:fldCharType="begin"/>
          </w:r>
          <w:r>
            <w:rPr>
              <w:b/>
            </w:rPr>
            <w:instrText xml:space="preserve"> HYPERLINK \l _Toc783 </w:instrText>
          </w:r>
          <w:r>
            <w:rPr>
              <w:b/>
            </w:rPr>
            <w:fldChar w:fldCharType="separate"/>
          </w:r>
          <w:r>
            <w:rPr>
              <w:rFonts w:hint="eastAsia"/>
              <w:b/>
            </w:rPr>
            <w:t>第一章 竞争性谈判邀请</w:t>
          </w:r>
          <w:r>
            <w:rPr>
              <w:b/>
            </w:rPr>
            <w:tab/>
          </w:r>
          <w:r>
            <w:rPr>
              <w:b/>
            </w:rPr>
            <w:fldChar w:fldCharType="begin"/>
          </w:r>
          <w:r>
            <w:rPr>
              <w:b/>
            </w:rPr>
            <w:instrText xml:space="preserve"> PAGEREF _Toc783 \h </w:instrText>
          </w:r>
          <w:r>
            <w:rPr>
              <w:b/>
            </w:rPr>
            <w:fldChar w:fldCharType="separate"/>
          </w:r>
          <w:r>
            <w:rPr>
              <w:b/>
            </w:rPr>
            <w:t>3</w:t>
          </w:r>
          <w:r>
            <w:rPr>
              <w:b/>
            </w:rPr>
            <w:fldChar w:fldCharType="end"/>
          </w:r>
          <w:r>
            <w:rPr>
              <w:b/>
            </w:rPr>
            <w:fldChar w:fldCharType="end"/>
          </w:r>
        </w:p>
        <w:p>
          <w:pPr>
            <w:pStyle w:val="37"/>
            <w:tabs>
              <w:tab w:val="right" w:leader="dot" w:pos="8306"/>
            </w:tabs>
            <w:rPr>
              <w:b/>
            </w:rPr>
          </w:pPr>
          <w:r>
            <w:rPr>
              <w:b/>
            </w:rPr>
            <w:fldChar w:fldCharType="begin"/>
          </w:r>
          <w:r>
            <w:rPr>
              <w:b/>
            </w:rPr>
            <w:instrText xml:space="preserve"> HYPERLINK \l _Toc21224 </w:instrText>
          </w:r>
          <w:r>
            <w:rPr>
              <w:b/>
            </w:rPr>
            <w:fldChar w:fldCharType="separate"/>
          </w:r>
          <w:r>
            <w:rPr>
              <w:rFonts w:hint="eastAsia" w:ascii="Times New Roman" w:eastAsia="宋体"/>
              <w:b/>
              <w:szCs w:val="44"/>
            </w:rPr>
            <w:t>第二章 竞争性谈判须知</w:t>
          </w:r>
          <w:r>
            <w:rPr>
              <w:b/>
            </w:rPr>
            <w:tab/>
          </w:r>
          <w:r>
            <w:rPr>
              <w:b/>
            </w:rPr>
            <w:fldChar w:fldCharType="begin"/>
          </w:r>
          <w:r>
            <w:rPr>
              <w:b/>
            </w:rPr>
            <w:instrText xml:space="preserve"> PAGEREF _Toc21224 \h </w:instrText>
          </w:r>
          <w:r>
            <w:rPr>
              <w:b/>
            </w:rPr>
            <w:fldChar w:fldCharType="separate"/>
          </w:r>
          <w:r>
            <w:rPr>
              <w:b/>
            </w:rPr>
            <w:t>4</w:t>
          </w:r>
          <w:r>
            <w:rPr>
              <w:b/>
            </w:rPr>
            <w:fldChar w:fldCharType="end"/>
          </w:r>
          <w:r>
            <w:rPr>
              <w:b/>
            </w:rPr>
            <w:fldChar w:fldCharType="end"/>
          </w:r>
        </w:p>
        <w:p>
          <w:pPr>
            <w:pStyle w:val="37"/>
            <w:tabs>
              <w:tab w:val="right" w:leader="dot" w:pos="8306"/>
            </w:tabs>
            <w:rPr>
              <w:b/>
            </w:rPr>
          </w:pPr>
          <w:r>
            <w:rPr>
              <w:b/>
            </w:rPr>
            <w:fldChar w:fldCharType="begin"/>
          </w:r>
          <w:r>
            <w:rPr>
              <w:b/>
            </w:rPr>
            <w:instrText xml:space="preserve"> HYPERLINK \l _Toc20300 </w:instrText>
          </w:r>
          <w:r>
            <w:rPr>
              <w:b/>
            </w:rPr>
            <w:fldChar w:fldCharType="separate"/>
          </w:r>
          <w:r>
            <w:rPr>
              <w:rFonts w:hint="eastAsia" w:ascii="Times New Roman" w:eastAsia="宋体"/>
              <w:b/>
              <w:szCs w:val="44"/>
            </w:rPr>
            <w:t>第三章 用户需求书</w:t>
          </w:r>
          <w:r>
            <w:rPr>
              <w:b/>
            </w:rPr>
            <w:tab/>
          </w:r>
          <w:r>
            <w:rPr>
              <w:b/>
            </w:rPr>
            <w:fldChar w:fldCharType="begin"/>
          </w:r>
          <w:r>
            <w:rPr>
              <w:b/>
            </w:rPr>
            <w:instrText xml:space="preserve"> PAGEREF _Toc20300 \h </w:instrText>
          </w:r>
          <w:r>
            <w:rPr>
              <w:b/>
            </w:rPr>
            <w:fldChar w:fldCharType="separate"/>
          </w:r>
          <w:r>
            <w:rPr>
              <w:b/>
            </w:rPr>
            <w:t>8</w:t>
          </w:r>
          <w:r>
            <w:rPr>
              <w:b/>
            </w:rPr>
            <w:fldChar w:fldCharType="end"/>
          </w:r>
          <w:r>
            <w:rPr>
              <w:b/>
            </w:rPr>
            <w:fldChar w:fldCharType="end"/>
          </w:r>
        </w:p>
        <w:p>
          <w:pPr>
            <w:pStyle w:val="38"/>
            <w:tabs>
              <w:tab w:val="right" w:leader="dot" w:pos="8306"/>
            </w:tabs>
          </w:pPr>
          <w:r>
            <w:fldChar w:fldCharType="begin"/>
          </w:r>
          <w:r>
            <w:instrText xml:space="preserve"> HYPERLINK \l _Toc1472 </w:instrText>
          </w:r>
          <w:r>
            <w:fldChar w:fldCharType="separate"/>
          </w:r>
          <w:r>
            <w:rPr>
              <w:rFonts w:hint="eastAsia" w:ascii="黑体" w:eastAsia="黑体"/>
              <w:szCs w:val="28"/>
            </w:rPr>
            <w:t>第一节 商务要求</w:t>
          </w:r>
          <w:r>
            <w:tab/>
          </w:r>
          <w:r>
            <w:fldChar w:fldCharType="begin"/>
          </w:r>
          <w:r>
            <w:instrText xml:space="preserve"> PAGEREF _Toc1472 \h </w:instrText>
          </w:r>
          <w:r>
            <w:fldChar w:fldCharType="separate"/>
          </w:r>
          <w:r>
            <w:t>8</w:t>
          </w:r>
          <w:r>
            <w:fldChar w:fldCharType="end"/>
          </w:r>
          <w:r>
            <w:fldChar w:fldCharType="end"/>
          </w:r>
        </w:p>
        <w:p>
          <w:pPr>
            <w:pStyle w:val="38"/>
            <w:tabs>
              <w:tab w:val="right" w:leader="dot" w:pos="8306"/>
            </w:tabs>
          </w:pPr>
          <w:r>
            <w:fldChar w:fldCharType="begin"/>
          </w:r>
          <w:r>
            <w:instrText xml:space="preserve"> HYPERLINK \l _Toc11003 </w:instrText>
          </w:r>
          <w:r>
            <w:fldChar w:fldCharType="separate"/>
          </w:r>
          <w:r>
            <w:rPr>
              <w:rFonts w:hint="eastAsia" w:ascii="黑体" w:eastAsia="黑体"/>
              <w:szCs w:val="28"/>
            </w:rPr>
            <w:t xml:space="preserve">第二节 </w:t>
          </w:r>
          <w:r>
            <w:rPr>
              <w:rFonts w:hint="eastAsia" w:ascii="黑体" w:eastAsia="黑体" w:hAnsiTheme="minorHAnsi"/>
              <w:szCs w:val="28"/>
            </w:rPr>
            <w:t>*</w:t>
          </w:r>
          <w:r>
            <w:rPr>
              <w:rFonts w:hint="eastAsia" w:ascii="黑体" w:eastAsia="黑体"/>
              <w:szCs w:val="28"/>
            </w:rPr>
            <w:t>货物需求及技术要求</w:t>
          </w:r>
          <w:r>
            <w:tab/>
          </w:r>
          <w:r>
            <w:fldChar w:fldCharType="begin"/>
          </w:r>
          <w:r>
            <w:instrText xml:space="preserve"> PAGEREF _Toc11003 \h </w:instrText>
          </w:r>
          <w:r>
            <w:fldChar w:fldCharType="separate"/>
          </w:r>
          <w:r>
            <w:t>11</w:t>
          </w:r>
          <w:r>
            <w:fldChar w:fldCharType="end"/>
          </w:r>
          <w:r>
            <w:fldChar w:fldCharType="end"/>
          </w:r>
        </w:p>
        <w:p>
          <w:pPr>
            <w:pStyle w:val="37"/>
            <w:tabs>
              <w:tab w:val="right" w:leader="dot" w:pos="8306"/>
            </w:tabs>
            <w:rPr>
              <w:b/>
            </w:rPr>
          </w:pPr>
          <w:r>
            <w:rPr>
              <w:b/>
            </w:rPr>
            <w:fldChar w:fldCharType="begin"/>
          </w:r>
          <w:r>
            <w:rPr>
              <w:b/>
            </w:rPr>
            <w:instrText xml:space="preserve"> HYPERLINK \l _Toc27447 </w:instrText>
          </w:r>
          <w:r>
            <w:rPr>
              <w:b/>
            </w:rPr>
            <w:fldChar w:fldCharType="separate"/>
          </w:r>
          <w:r>
            <w:rPr>
              <w:rFonts w:hint="eastAsia" w:ascii="Times New Roman" w:eastAsia="宋体"/>
              <w:b/>
              <w:szCs w:val="44"/>
            </w:rPr>
            <w:t>第四章 附件</w:t>
          </w:r>
          <w:r>
            <w:rPr>
              <w:b/>
            </w:rPr>
            <w:tab/>
          </w:r>
          <w:r>
            <w:rPr>
              <w:b/>
            </w:rPr>
            <w:fldChar w:fldCharType="begin"/>
          </w:r>
          <w:r>
            <w:rPr>
              <w:b/>
            </w:rPr>
            <w:instrText xml:space="preserve"> PAGEREF _Toc27447 \h </w:instrText>
          </w:r>
          <w:r>
            <w:rPr>
              <w:b/>
            </w:rPr>
            <w:fldChar w:fldCharType="separate"/>
          </w:r>
          <w:r>
            <w:rPr>
              <w:b/>
            </w:rPr>
            <w:t>13</w:t>
          </w:r>
          <w:r>
            <w:rPr>
              <w:b/>
            </w:rPr>
            <w:fldChar w:fldCharType="end"/>
          </w:r>
          <w:r>
            <w:rPr>
              <w:b/>
            </w:rPr>
            <w:fldChar w:fldCharType="end"/>
          </w:r>
        </w:p>
        <w:p>
          <w:pPr>
            <w:pStyle w:val="38"/>
            <w:tabs>
              <w:tab w:val="right" w:leader="dot" w:pos="8306"/>
            </w:tabs>
          </w:pPr>
          <w:r>
            <w:fldChar w:fldCharType="begin"/>
          </w:r>
          <w:r>
            <w:instrText xml:space="preserve"> HYPERLINK \l _Toc15791 </w:instrText>
          </w:r>
          <w:r>
            <w:fldChar w:fldCharType="separate"/>
          </w:r>
          <w:r>
            <w:rPr>
              <w:rFonts w:hint="eastAsia" w:ascii="黑体" w:eastAsia="黑体"/>
              <w:bCs w:val="0"/>
              <w:szCs w:val="28"/>
            </w:rPr>
            <w:t xml:space="preserve">第一节 </w:t>
          </w:r>
          <w:r>
            <w:rPr>
              <w:rFonts w:hint="eastAsia" w:ascii="黑体" w:hAnsi="宋体" w:eastAsia="黑体"/>
              <w:szCs w:val="28"/>
            </w:rPr>
            <w:t>合同主要条款</w:t>
          </w:r>
          <w:r>
            <w:tab/>
          </w:r>
          <w:r>
            <w:fldChar w:fldCharType="begin"/>
          </w:r>
          <w:r>
            <w:instrText xml:space="preserve"> PAGEREF _Toc15791 \h </w:instrText>
          </w:r>
          <w:r>
            <w:fldChar w:fldCharType="separate"/>
          </w:r>
          <w:r>
            <w:t>13</w:t>
          </w:r>
          <w:r>
            <w:fldChar w:fldCharType="end"/>
          </w:r>
          <w:r>
            <w:fldChar w:fldCharType="end"/>
          </w:r>
        </w:p>
        <w:p>
          <w:pPr>
            <w:pStyle w:val="38"/>
            <w:tabs>
              <w:tab w:val="right" w:leader="dot" w:pos="8306"/>
            </w:tabs>
          </w:pPr>
          <w:r>
            <w:fldChar w:fldCharType="begin"/>
          </w:r>
          <w:r>
            <w:instrText xml:space="preserve"> HYPERLINK \l _Toc25586 </w:instrText>
          </w:r>
          <w:r>
            <w:fldChar w:fldCharType="separate"/>
          </w:r>
          <w:r>
            <w:rPr>
              <w:rFonts w:hint="eastAsia" w:ascii="黑体" w:hAnsi="宋体" w:eastAsia="黑体"/>
              <w:bCs w:val="0"/>
              <w:szCs w:val="28"/>
            </w:rPr>
            <w:t xml:space="preserve">第二节 </w:t>
          </w:r>
          <w:r>
            <w:rPr>
              <w:rFonts w:hint="eastAsia" w:ascii="黑体" w:hAnsi="宋体" w:eastAsia="黑体"/>
              <w:szCs w:val="28"/>
            </w:rPr>
            <w:t>评标原则与方法</w:t>
          </w:r>
          <w:r>
            <w:tab/>
          </w:r>
          <w:r>
            <w:fldChar w:fldCharType="begin"/>
          </w:r>
          <w:r>
            <w:instrText xml:space="preserve"> PAGEREF _Toc25586 \h </w:instrText>
          </w:r>
          <w:r>
            <w:fldChar w:fldCharType="separate"/>
          </w:r>
          <w:r>
            <w:t>18</w:t>
          </w:r>
          <w:r>
            <w:fldChar w:fldCharType="end"/>
          </w:r>
          <w:r>
            <w:fldChar w:fldCharType="end"/>
          </w:r>
        </w:p>
        <w:p>
          <w:pPr>
            <w:pStyle w:val="38"/>
            <w:tabs>
              <w:tab w:val="right" w:leader="dot" w:pos="8306"/>
            </w:tabs>
            <w:ind w:leftChars="0" w:firstLine="400" w:firstLineChars="200"/>
          </w:pPr>
          <w:r>
            <w:fldChar w:fldCharType="begin"/>
          </w:r>
          <w:r>
            <w:instrText xml:space="preserve"> HYPERLINK \l _Toc32088 </w:instrText>
          </w:r>
          <w:r>
            <w:fldChar w:fldCharType="separate"/>
          </w:r>
          <w:r>
            <w:rPr>
              <w:rFonts w:hint="eastAsia" w:ascii="黑体" w:hAnsi="宋体" w:eastAsia="黑体"/>
              <w:bCs w:val="0"/>
              <w:szCs w:val="28"/>
            </w:rPr>
            <w:t xml:space="preserve">第三节 </w:t>
          </w:r>
          <w:r>
            <w:rPr>
              <w:rFonts w:hint="eastAsia" w:ascii="黑体" w:hAnsi="宋体" w:eastAsia="黑体"/>
              <w:szCs w:val="28"/>
            </w:rPr>
            <w:t>表格样式</w:t>
          </w:r>
          <w:r>
            <w:tab/>
          </w:r>
          <w:r>
            <w:fldChar w:fldCharType="begin"/>
          </w:r>
          <w:r>
            <w:instrText xml:space="preserve"> PAGEREF _Toc32088 \h </w:instrText>
          </w:r>
          <w:r>
            <w:fldChar w:fldCharType="separate"/>
          </w:r>
          <w:r>
            <w:t>22</w:t>
          </w:r>
          <w:r>
            <w:fldChar w:fldCharType="end"/>
          </w:r>
          <w:r>
            <w:fldChar w:fldCharType="end"/>
          </w:r>
        </w:p>
        <w:p>
          <w:pPr>
            <w:pStyle w:val="37"/>
            <w:tabs>
              <w:tab w:val="right" w:leader="dot" w:pos="8306"/>
            </w:tabs>
            <w:rPr>
              <w:b/>
            </w:rPr>
          </w:pPr>
        </w:p>
        <w:p>
          <w:r>
            <w:rPr>
              <w:b/>
            </w:rPr>
            <w:fldChar w:fldCharType="end"/>
          </w:r>
        </w:p>
      </w:sdtContent>
    </w:sdt>
    <w:p>
      <w:r>
        <w:rPr>
          <w:rFonts w:hint="eastAsia"/>
        </w:rPr>
        <w:br w:type="page"/>
      </w:r>
    </w:p>
    <w:p>
      <w:pPr>
        <w:pStyle w:val="3"/>
        <w:numPr>
          <w:ilvl w:val="0"/>
          <w:numId w:val="1"/>
        </w:numPr>
        <w:spacing w:line="240" w:lineRule="auto"/>
        <w:ind w:firstLine="402"/>
        <w:jc w:val="center"/>
      </w:pPr>
      <w:bookmarkStart w:id="7" w:name="_Toc783"/>
      <w:r>
        <w:rPr>
          <w:rFonts w:hint="eastAsia"/>
        </w:rPr>
        <w:t>竞争性谈判邀请</w:t>
      </w:r>
      <w:bookmarkEnd w:id="7"/>
    </w:p>
    <w:p>
      <w:pPr>
        <w:pStyle w:val="3"/>
        <w:pageBreakBefore w:val="0"/>
        <w:kinsoku/>
        <w:wordWrap/>
        <w:overflowPunct/>
        <w:topLinePunct w:val="0"/>
        <w:bidi w:val="0"/>
        <w:spacing w:before="0" w:after="0" w:line="360" w:lineRule="auto"/>
        <w:ind w:left="0" w:leftChars="0" w:right="0" w:firstLine="0" w:firstLineChars="0"/>
        <w:jc w:val="left"/>
        <w:rPr>
          <w:rFonts w:hint="eastAsia" w:ascii="宋体" w:hAnsi="宋体" w:eastAsia="宋体" w:cs="宋体"/>
          <w:color w:val="auto"/>
          <w:sz w:val="21"/>
          <w:szCs w:val="21"/>
          <w:highlight w:val="none"/>
          <w:u w:val="none"/>
          <w:lang w:eastAsia="zh-CN"/>
        </w:rPr>
      </w:pPr>
      <w:r>
        <w:rPr>
          <w:rFonts w:hint="eastAsia" w:ascii="宋体" w:hAnsi="宋体" w:eastAsia="宋体" w:cs="宋体"/>
          <w:b/>
          <w:color w:val="000000" w:themeColor="text1"/>
          <w:sz w:val="21"/>
          <w:szCs w:val="21"/>
          <w:u w:val="single"/>
          <w:lang w:eastAsia="zh-CN"/>
          <w14:textFill>
            <w14:solidFill>
              <w14:schemeClr w14:val="tx1"/>
            </w14:solidFill>
          </w14:textFill>
        </w:rPr>
        <w:t>深圳市设计之都运营发展有限公司</w:t>
      </w:r>
      <w:r>
        <w:rPr>
          <w:rFonts w:hint="eastAsia" w:ascii="宋体" w:hAnsi="宋体" w:eastAsia="宋体" w:cs="宋体"/>
          <w:color w:val="000000" w:themeColor="text1"/>
          <w:sz w:val="21"/>
          <w:szCs w:val="21"/>
          <w14:textFill>
            <w14:solidFill>
              <w14:schemeClr w14:val="tx1"/>
            </w14:solidFill>
          </w14:textFill>
        </w:rPr>
        <w:t>对</w:t>
      </w:r>
      <w:r>
        <w:rPr>
          <w:rFonts w:hint="eastAsia" w:ascii="宋体" w:hAnsi="宋体" w:eastAsia="宋体" w:cs="宋体"/>
          <w:color w:val="auto"/>
          <w:sz w:val="21"/>
          <w:szCs w:val="21"/>
          <w:highlight w:val="none"/>
          <w:u w:val="none"/>
          <w:lang w:eastAsia="zh-CN"/>
        </w:rPr>
        <w:t>2024年第十三届深圳动漫节</w:t>
      </w:r>
      <w:r>
        <w:rPr>
          <w:rFonts w:hint="eastAsia" w:ascii="宋体" w:hAnsi="宋体" w:cs="宋体"/>
          <w:color w:val="auto"/>
          <w:sz w:val="21"/>
          <w:szCs w:val="21"/>
          <w:highlight w:val="none"/>
          <w:u w:val="none"/>
          <w:lang w:eastAsia="zh-CN"/>
        </w:rPr>
        <w:t>宅舞大赛及主题巡游项目</w:t>
      </w:r>
    </w:p>
    <w:p>
      <w:pPr>
        <w:autoSpaceDE w:val="0"/>
        <w:autoSpaceDN w:val="0"/>
        <w:adjustRightInd w:val="0"/>
        <w:snapToGrid w:val="0"/>
        <w:spacing w:line="240" w:lineRule="auto"/>
        <w:ind w:firstLine="0"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采用竞争性谈判方式。现邀请收到要约邀请书的合格的供应商参加报价和谈判。 </w:t>
      </w:r>
    </w:p>
    <w:p>
      <w:pPr>
        <w:numPr>
          <w:ilvl w:val="0"/>
          <w:numId w:val="2"/>
        </w:numPr>
        <w:autoSpaceDE w:val="0"/>
        <w:autoSpaceDN w:val="0"/>
        <w:adjustRightInd w:val="0"/>
        <w:snapToGrid w:val="0"/>
        <w:spacing w:line="240" w:lineRule="auto"/>
        <w:ind w:firstLine="420"/>
        <w:rPr>
          <w:rFonts w:hint="eastAsia"/>
          <w:lang w:eastAsia="zh-CN"/>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lang w:val="en-US" w:eastAsia="zh-CN"/>
          <w14:textFill>
            <w14:solidFill>
              <w14:schemeClr w14:val="tx1"/>
            </w14:solidFill>
          </w14:textFill>
        </w:rPr>
        <w:t>SJZD</w:t>
      </w:r>
      <w:r>
        <w:rPr>
          <w:rFonts w:hint="eastAsia" w:ascii="宋体" w:hAnsi="宋体" w:eastAsia="宋体" w:cs="宋体"/>
          <w:color w:val="000000" w:themeColor="text1"/>
          <w14:textFill>
            <w14:solidFill>
              <w14:schemeClr w14:val="tx1"/>
            </w14:solidFill>
          </w14:textFill>
        </w:rPr>
        <w:t>-20</w:t>
      </w:r>
      <w:r>
        <w:rPr>
          <w:rFonts w:hint="eastAsia" w:ascii="宋体" w:hAnsi="宋体" w:eastAsia="宋体" w:cs="宋体"/>
          <w:color w:val="000000" w:themeColor="text1"/>
          <w:lang w:val="en-US" w:eastAsia="zh-CN"/>
          <w14:textFill>
            <w14:solidFill>
              <w14:schemeClr w14:val="tx1"/>
            </w14:solidFill>
          </w14:textFill>
        </w:rPr>
        <w:t>24</w:t>
      </w:r>
      <w:r>
        <w:rPr>
          <w:rFonts w:hint="eastAsia" w:ascii="宋体" w:hAnsi="宋体" w:eastAsia="宋体" w:cs="宋体"/>
          <w:color w:val="000000" w:themeColor="text1"/>
          <w:highlight w:val="none"/>
          <w14:textFill>
            <w14:solidFill>
              <w14:schemeClr w14:val="tx1"/>
            </w14:solidFill>
          </w14:textFill>
        </w:rPr>
        <w:t>0</w:t>
      </w:r>
      <w:r>
        <w:rPr>
          <w:rFonts w:hint="eastAsia" w:ascii="宋体" w:hAnsi="宋体" w:eastAsia="宋体" w:cs="宋体"/>
          <w:color w:val="000000" w:themeColor="text1"/>
          <w:highlight w:val="none"/>
          <w:lang w:val="en-US" w:eastAsia="zh-CN"/>
          <w14:textFill>
            <w14:solidFill>
              <w14:schemeClr w14:val="tx1"/>
            </w14:solidFill>
          </w14:textFill>
        </w:rPr>
        <w:t>12</w:t>
      </w:r>
    </w:p>
    <w:p>
      <w:pPr>
        <w:numPr>
          <w:ilvl w:val="-1"/>
          <w:numId w:val="0"/>
        </w:numPr>
        <w:autoSpaceDE w:val="0"/>
        <w:autoSpaceDN w:val="0"/>
        <w:adjustRightInd w:val="0"/>
        <w:snapToGrid w:val="0"/>
        <w:spacing w:line="240" w:lineRule="auto"/>
        <w:ind w:left="420" w:firstLine="0"/>
        <w:rPr>
          <w:rFonts w:hint="eastAsia" w:ascii="宋体" w:hAnsi="宋体" w:eastAsia="宋体" w:cs="宋体"/>
          <w:color w:val="000000" w:themeColor="text1"/>
          <w:lang w:eastAsia="zh-CN"/>
          <w14:textFill>
            <w14:solidFill>
              <w14:schemeClr w14:val="tx1"/>
            </w14:solidFill>
          </w14:textFill>
        </w:rPr>
      </w:pPr>
    </w:p>
    <w:p>
      <w:pPr>
        <w:numPr>
          <w:ilvl w:val="0"/>
          <w:numId w:val="2"/>
        </w:numPr>
        <w:autoSpaceDE w:val="0"/>
        <w:autoSpaceDN w:val="0"/>
        <w:adjustRightInd w:val="0"/>
        <w:snapToGrid w:val="0"/>
        <w:spacing w:line="240" w:lineRule="auto"/>
        <w:ind w:firstLine="420"/>
        <w:rPr>
          <w:rFonts w:hint="eastAsia" w:ascii="宋体" w:hAnsi="宋体" w:eastAsia="宋体" w:cs="宋体"/>
          <w:b/>
          <w:bCs/>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r>
        <w:rPr>
          <w:rFonts w:hint="eastAsia" w:ascii="宋体" w:hAnsi="宋体" w:eastAsia="宋体" w:cs="宋体"/>
          <w:b w:val="0"/>
          <w:bCs/>
          <w:color w:val="000000" w:themeColor="text1"/>
          <w:u w:val="single"/>
          <w:lang w:eastAsia="zh-CN"/>
          <w14:textFill>
            <w14:solidFill>
              <w14:schemeClr w14:val="tx1"/>
            </w14:solidFill>
          </w14:textFill>
        </w:rPr>
        <w:t>深圳市设计之都运营发展有限公司</w:t>
      </w:r>
      <w:r>
        <w:rPr>
          <w:rFonts w:hint="eastAsia" w:ascii="宋体" w:hAnsi="宋体" w:eastAsia="宋体" w:cs="宋体"/>
          <w:b w:val="0"/>
          <w:bCs/>
          <w:color w:val="000000" w:themeColor="text1"/>
          <w:u w:val="single"/>
          <w14:textFill>
            <w14:solidFill>
              <w14:schemeClr w14:val="tx1"/>
            </w14:solidFill>
          </w14:textFill>
        </w:rPr>
        <w:t>-</w:t>
      </w:r>
      <w:r>
        <w:rPr>
          <w:rFonts w:hint="eastAsia" w:ascii="宋体" w:hAnsi="宋体" w:eastAsia="宋体" w:cs="宋体"/>
          <w:b/>
          <w:bCs/>
          <w:color w:val="auto"/>
          <w:sz w:val="21"/>
          <w:szCs w:val="21"/>
          <w:highlight w:val="none"/>
          <w:u w:val="none"/>
          <w:lang w:eastAsia="zh-CN"/>
        </w:rPr>
        <w:t>2024年第十三届深圳动漫节</w:t>
      </w:r>
      <w:r>
        <w:rPr>
          <w:rFonts w:hint="eastAsia" w:ascii="宋体" w:hAnsi="宋体" w:cs="宋体"/>
          <w:b/>
          <w:bCs/>
          <w:color w:val="auto"/>
          <w:sz w:val="21"/>
          <w:szCs w:val="21"/>
          <w:highlight w:val="none"/>
          <w:u w:val="none"/>
          <w:lang w:eastAsia="zh-CN"/>
        </w:rPr>
        <w:t>宅舞大赛及主题巡游项目</w:t>
      </w:r>
    </w:p>
    <w:p>
      <w:pPr>
        <w:autoSpaceDE w:val="0"/>
        <w:autoSpaceDN w:val="0"/>
        <w:adjustRightInd w:val="0"/>
        <w:snapToGrid w:val="0"/>
        <w:spacing w:line="240" w:lineRule="auto"/>
        <w:ind w:firstLine="482"/>
        <w:rPr>
          <w:rFonts w:hint="eastAsia" w:ascii="宋体" w:hAnsi="宋体" w:eastAsia="宋体" w:cs="宋体"/>
          <w:b/>
          <w:color w:val="000000" w:themeColor="text1"/>
          <w:u w:val="single"/>
          <w14:textFill>
            <w14:solidFill>
              <w14:schemeClr w14:val="tx1"/>
            </w14:solidFill>
          </w14:textFill>
        </w:rPr>
      </w:pPr>
      <w:r>
        <w:rPr>
          <w:rFonts w:hint="eastAsia" w:ascii="宋体" w:hAnsi="宋体" w:eastAsia="宋体" w:cs="宋体"/>
          <w:b/>
          <w:bCs/>
          <w:color w:val="000000"/>
        </w:rPr>
        <w:t>★</w:t>
      </w:r>
      <w:r>
        <w:rPr>
          <w:rFonts w:hint="eastAsia" w:ascii="宋体" w:hAnsi="宋体" w:eastAsia="宋体" w:cs="宋体"/>
          <w:b/>
          <w:color w:val="000000" w:themeColor="text1"/>
          <w:u w:val="single"/>
          <w14:textFill>
            <w14:solidFill>
              <w14:schemeClr w14:val="tx1"/>
            </w14:solidFill>
          </w14:textFill>
        </w:rPr>
        <w:t>本项目最高限价：人民币</w:t>
      </w:r>
      <w:r>
        <w:rPr>
          <w:rFonts w:hint="eastAsia" w:ascii="宋体" w:hAnsi="宋体" w:eastAsia="宋体" w:cs="宋体"/>
          <w:b/>
          <w:color w:val="000000" w:themeColor="text1"/>
          <w:u w:val="single"/>
          <w:lang w:val="en-US" w:eastAsia="zh-CN"/>
          <w14:textFill>
            <w14:solidFill>
              <w14:schemeClr w14:val="tx1"/>
            </w14:solidFill>
          </w14:textFill>
        </w:rPr>
        <w:t>玖</w:t>
      </w:r>
      <w:r>
        <w:rPr>
          <w:rFonts w:hint="eastAsia" w:ascii="宋体" w:hAnsi="宋体" w:eastAsia="宋体" w:cs="宋体"/>
          <w:b/>
          <w:color w:val="000000" w:themeColor="text1"/>
          <w:u w:val="single"/>
          <w14:textFill>
            <w14:solidFill>
              <w14:schemeClr w14:val="tx1"/>
            </w14:solidFill>
          </w14:textFill>
        </w:rPr>
        <w:t>万元整（¥</w:t>
      </w:r>
      <w:r>
        <w:rPr>
          <w:rFonts w:hint="eastAsia" w:ascii="宋体" w:hAnsi="宋体" w:eastAsia="宋体" w:cs="宋体"/>
          <w:b/>
          <w:color w:val="000000" w:themeColor="text1"/>
          <w:highlight w:val="none"/>
          <w:u w:val="single"/>
          <w:lang w:val="en-US" w:eastAsia="zh-CN"/>
          <w14:textFill>
            <w14:solidFill>
              <w14:schemeClr w14:val="tx1"/>
            </w14:solidFill>
          </w14:textFill>
        </w:rPr>
        <w:t>90000</w:t>
      </w:r>
      <w:r>
        <w:rPr>
          <w:rFonts w:hint="eastAsia" w:ascii="宋体" w:hAnsi="宋体" w:eastAsia="宋体" w:cs="宋体"/>
          <w:b/>
          <w:color w:val="000000" w:themeColor="text1"/>
          <w:highlight w:val="none"/>
          <w:u w:val="single"/>
          <w14:textFill>
            <w14:solidFill>
              <w14:schemeClr w14:val="tx1"/>
            </w14:solidFill>
          </w14:textFill>
        </w:rPr>
        <w:t>元</w:t>
      </w:r>
      <w:r>
        <w:rPr>
          <w:rFonts w:hint="eastAsia" w:ascii="宋体" w:hAnsi="宋体" w:eastAsia="宋体" w:cs="宋体"/>
          <w:b/>
          <w:color w:val="000000" w:themeColor="text1"/>
          <w:u w:val="single"/>
          <w14:textFill>
            <w14:solidFill>
              <w14:schemeClr w14:val="tx1"/>
            </w14:solidFill>
          </w14:textFill>
        </w:rPr>
        <w:t>），任何超过此限价的竞标报价，采购人不予接受。（最高限价为控制价）</w:t>
      </w:r>
    </w:p>
    <w:p>
      <w:pPr>
        <w:autoSpaceDE w:val="0"/>
        <w:autoSpaceDN w:val="0"/>
        <w:adjustRightInd w:val="0"/>
        <w:snapToGrid w:val="0"/>
        <w:spacing w:line="240" w:lineRule="auto"/>
        <w:ind w:firstLine="482"/>
        <w:rPr>
          <w:rFonts w:hint="eastAsia" w:ascii="宋体" w:hAnsi="宋体" w:eastAsia="宋体" w:cs="宋体"/>
          <w:b/>
          <w:color w:val="000000" w:themeColor="text1"/>
          <w:u w:val="single"/>
          <w14:textFill>
            <w14:solidFill>
              <w14:schemeClr w14:val="tx1"/>
            </w14:solidFill>
          </w14:textFill>
        </w:rPr>
      </w:pPr>
    </w:p>
    <w:p>
      <w:pPr>
        <w:numPr>
          <w:ilvl w:val="0"/>
          <w:numId w:val="2"/>
        </w:numPr>
        <w:autoSpaceDE w:val="0"/>
        <w:autoSpaceDN w:val="0"/>
        <w:adjustRightInd w:val="0"/>
        <w:snapToGrid w:val="0"/>
        <w:spacing w:line="240" w:lineRule="auto"/>
        <w:ind w:firstLine="420"/>
        <w:outlineLvl w:val="1"/>
        <w:rPr>
          <w:rFonts w:hint="eastAsia" w:ascii="宋体" w:hAnsi="宋体" w:eastAsia="宋体" w:cs="宋体"/>
          <w:color w:val="000000" w:themeColor="text1"/>
          <w14:textFill>
            <w14:solidFill>
              <w14:schemeClr w14:val="tx1"/>
            </w14:solidFill>
          </w14:textFill>
        </w:rPr>
      </w:pPr>
      <w:bookmarkStart w:id="8" w:name="_Toc18280"/>
      <w:bookmarkStart w:id="9" w:name="_Toc15227"/>
      <w:r>
        <w:rPr>
          <w:rFonts w:hint="eastAsia" w:ascii="宋体" w:hAnsi="宋体" w:eastAsia="宋体" w:cs="宋体"/>
          <w:color w:val="000000" w:themeColor="text1"/>
          <w14:textFill>
            <w14:solidFill>
              <w14:schemeClr w14:val="tx1"/>
            </w14:solidFill>
          </w14:textFill>
        </w:rPr>
        <w:t>资格要求</w:t>
      </w:r>
      <w:bookmarkEnd w:id="8"/>
      <w:bookmarkEnd w:id="9"/>
    </w:p>
    <w:p>
      <w:pPr>
        <w:autoSpaceDE w:val="0"/>
        <w:autoSpaceDN w:val="0"/>
        <w:adjustRightInd w:val="0"/>
        <w:snapToGrid w:val="0"/>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（一）行业资质要求：竞争性谈判人必须是在中国境内注册的独立法人企业，具有履行合同的服务能力、专业技术能力、供应保障能力及风险控制能力；</w:t>
      </w:r>
    </w:p>
    <w:p>
      <w:pPr>
        <w:autoSpaceDE w:val="0"/>
        <w:autoSpaceDN w:val="0"/>
        <w:adjustRightInd w:val="0"/>
        <w:snapToGrid w:val="0"/>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（二）供应商必须具备</w:t>
      </w:r>
      <w:r>
        <w:rPr>
          <w:rFonts w:hint="eastAsia" w:ascii="宋体" w:hAnsi="宋体" w:eastAsia="宋体" w:cs="宋体"/>
          <w:color w:val="000000" w:themeColor="text1"/>
          <w:highlight w:val="none"/>
          <w:lang w:val="en-US" w:eastAsia="zh-CN"/>
          <w14:textFill>
            <w14:solidFill>
              <w14:schemeClr w14:val="tx1"/>
            </w14:solidFill>
          </w14:textFill>
        </w:rPr>
        <w:t>二次元舞台赛事活动</w:t>
      </w:r>
      <w:r>
        <w:rPr>
          <w:rFonts w:hint="eastAsia" w:ascii="宋体" w:hAnsi="宋体" w:eastAsia="宋体" w:cs="宋体"/>
          <w:color w:val="000000" w:themeColor="text1"/>
          <w14:textFill>
            <w14:solidFill>
              <w14:schemeClr w14:val="tx1"/>
            </w14:solidFill>
          </w14:textFill>
        </w:rPr>
        <w:t>等经营范围，并且是本领域的专业公司；</w:t>
      </w:r>
    </w:p>
    <w:p>
      <w:pPr>
        <w:autoSpaceDE w:val="0"/>
        <w:autoSpaceDN w:val="0"/>
        <w:adjustRightInd w:val="0"/>
        <w:snapToGrid w:val="0"/>
        <w:spacing w:line="240" w:lineRule="auto"/>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（三）不接受联合体竞争性谈判，不得分包、转包。</w:t>
      </w:r>
    </w:p>
    <w:p>
      <w:pPr>
        <w:autoSpaceDE w:val="0"/>
        <w:autoSpaceDN w:val="0"/>
        <w:adjustRightInd w:val="0"/>
        <w:snapToGrid w:val="0"/>
        <w:spacing w:line="240" w:lineRule="auto"/>
        <w:ind w:firstLine="420"/>
        <w:rPr>
          <w:rFonts w:hint="eastAsia" w:ascii="宋体" w:hAnsi="宋体" w:eastAsia="宋体" w:cs="宋体"/>
          <w:color w:val="000000" w:themeColor="text1"/>
          <w14:textFill>
            <w14:solidFill>
              <w14:schemeClr w14:val="tx1"/>
            </w14:solidFill>
          </w14:textFill>
        </w:rPr>
      </w:pPr>
    </w:p>
    <w:p>
      <w:pPr>
        <w:numPr>
          <w:ilvl w:val="0"/>
          <w:numId w:val="2"/>
        </w:numPr>
        <w:autoSpaceDE w:val="0"/>
        <w:autoSpaceDN w:val="0"/>
        <w:adjustRightInd w:val="0"/>
        <w:snapToGrid w:val="0"/>
        <w:spacing w:line="240" w:lineRule="auto"/>
        <w:ind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响应性文件份数：正本壹份、副本伍份。 </w:t>
      </w:r>
    </w:p>
    <w:p>
      <w:pPr>
        <w:numPr>
          <w:ilvl w:val="-1"/>
          <w:numId w:val="0"/>
        </w:numPr>
        <w:autoSpaceDE w:val="0"/>
        <w:autoSpaceDN w:val="0"/>
        <w:adjustRightInd w:val="0"/>
        <w:snapToGrid w:val="0"/>
        <w:spacing w:line="240" w:lineRule="auto"/>
        <w:ind w:left="0" w:firstLine="0"/>
        <w:rPr>
          <w:rFonts w:hint="eastAsia" w:ascii="宋体" w:hAnsi="宋体" w:eastAsia="宋体" w:cs="宋体"/>
          <w:color w:val="000000" w:themeColor="text1"/>
          <w14:textFill>
            <w14:solidFill>
              <w14:schemeClr w14:val="tx1"/>
            </w14:solidFill>
          </w14:textFill>
        </w:rPr>
      </w:pPr>
    </w:p>
    <w:p>
      <w:pPr>
        <w:numPr>
          <w:ilvl w:val="0"/>
          <w:numId w:val="2"/>
        </w:numPr>
        <w:autoSpaceDE w:val="0"/>
        <w:autoSpaceDN w:val="0"/>
        <w:adjustRightInd w:val="0"/>
        <w:snapToGrid w:val="0"/>
        <w:spacing w:line="240" w:lineRule="auto"/>
        <w:ind w:firstLine="420"/>
        <w:rPr>
          <w:rFonts w:hint="eastAsia" w:ascii="宋体" w:hAnsi="宋体" w:eastAsia="宋体" w:cs="宋体"/>
          <w:b/>
          <w:bCs/>
          <w:color w:val="FF0000"/>
        </w:rPr>
      </w:pPr>
      <w:r>
        <w:rPr>
          <w:rFonts w:hint="eastAsia" w:ascii="宋体" w:hAnsi="宋体" w:eastAsia="宋体" w:cs="宋体"/>
          <w:b/>
          <w:bCs/>
          <w:color w:val="FF0000"/>
        </w:rPr>
        <w:t>递交响应性文件截止时间：</w:t>
      </w:r>
      <w:r>
        <w:rPr>
          <w:rFonts w:hint="eastAsia" w:ascii="宋体" w:hAnsi="宋体" w:eastAsia="宋体" w:cs="宋体"/>
          <w:b/>
          <w:bCs/>
          <w:color w:val="FF0000"/>
          <w:u w:val="none"/>
          <w:lang w:val="en-US" w:eastAsia="zh-CN"/>
        </w:rPr>
        <w:t>2024</w:t>
      </w:r>
      <w:r>
        <w:rPr>
          <w:rFonts w:hint="eastAsia" w:ascii="宋体" w:hAnsi="宋体" w:eastAsia="宋体" w:cs="宋体"/>
          <w:b/>
          <w:bCs/>
          <w:color w:val="FF0000"/>
          <w:u w:val="none"/>
        </w:rPr>
        <w:t>年</w:t>
      </w:r>
      <w:r>
        <w:rPr>
          <w:rFonts w:hint="eastAsia" w:ascii="宋体" w:hAnsi="宋体" w:eastAsia="宋体" w:cs="宋体"/>
          <w:b/>
          <w:bCs/>
          <w:color w:val="FF0000"/>
          <w:u w:val="none"/>
          <w:lang w:val="en-US" w:eastAsia="zh-CN"/>
        </w:rPr>
        <w:t>6</w:t>
      </w:r>
      <w:r>
        <w:rPr>
          <w:rFonts w:hint="eastAsia" w:ascii="宋体" w:hAnsi="宋体" w:eastAsia="宋体" w:cs="宋体"/>
          <w:b/>
          <w:bCs/>
          <w:color w:val="FF0000"/>
          <w:u w:val="none"/>
        </w:rPr>
        <w:t>月</w:t>
      </w:r>
      <w:r>
        <w:rPr>
          <w:rFonts w:hint="eastAsia" w:ascii="宋体" w:hAnsi="宋体" w:eastAsia="宋体" w:cs="宋体"/>
          <w:b/>
          <w:bCs/>
          <w:color w:val="FF0000"/>
          <w:u w:val="none"/>
          <w:lang w:val="en-US" w:eastAsia="zh-CN"/>
        </w:rPr>
        <w:t>7</w:t>
      </w:r>
      <w:r>
        <w:rPr>
          <w:rFonts w:hint="eastAsia" w:ascii="宋体" w:hAnsi="宋体" w:eastAsia="宋体" w:cs="宋体"/>
          <w:b/>
          <w:bCs/>
          <w:color w:val="FF0000"/>
          <w:u w:val="none"/>
        </w:rPr>
        <w:t>日</w:t>
      </w:r>
      <w:r>
        <w:rPr>
          <w:rFonts w:hint="eastAsia" w:ascii="宋体" w:hAnsi="宋体" w:eastAsia="宋体" w:cs="宋体"/>
          <w:b/>
          <w:bCs/>
          <w:color w:val="FF0000"/>
          <w:u w:val="none"/>
          <w:lang w:val="en-US" w:eastAsia="zh-CN"/>
        </w:rPr>
        <w:t>周五10:00</w:t>
      </w:r>
      <w:r>
        <w:rPr>
          <w:rFonts w:hint="eastAsia" w:ascii="宋体" w:hAnsi="宋体" w:eastAsia="宋体" w:cs="宋体"/>
          <w:b/>
          <w:bCs/>
          <w:color w:val="FF0000"/>
          <w:u w:val="none"/>
        </w:rPr>
        <w:t>。</w:t>
      </w:r>
    </w:p>
    <w:p>
      <w:pPr>
        <w:autoSpaceDE w:val="0"/>
        <w:autoSpaceDN w:val="0"/>
        <w:adjustRightInd w:val="0"/>
        <w:snapToGrid w:val="0"/>
        <w:spacing w:line="240" w:lineRule="auto"/>
        <w:ind w:firstLine="482"/>
        <w:rPr>
          <w:rFonts w:hint="eastAsia" w:ascii="宋体" w:hAnsi="宋体" w:eastAsia="宋体" w:cs="宋体"/>
          <w:b/>
          <w:color w:val="FF0000"/>
          <w:u w:val="single"/>
        </w:rPr>
      </w:pPr>
      <w:r>
        <w:rPr>
          <w:rFonts w:hint="eastAsia" w:ascii="宋体" w:hAnsi="宋体" w:eastAsia="宋体" w:cs="宋体"/>
          <w:b/>
          <w:color w:val="FF0000"/>
          <w:u w:val="single"/>
        </w:rPr>
        <w:t>递交地点：</w:t>
      </w:r>
      <w:r>
        <w:rPr>
          <w:rFonts w:hint="eastAsia" w:ascii="宋体" w:hAnsi="宋体" w:eastAsia="宋体" w:cs="宋体"/>
          <w:b w:val="0"/>
          <w:bCs/>
          <w:color w:val="FF0000"/>
          <w:szCs w:val="21"/>
          <w:highlight w:val="none"/>
          <w:u w:val="single"/>
        </w:rPr>
        <w:t>深圳市福田区鹏程一路广电金融中心48楼</w:t>
      </w:r>
      <w:r>
        <w:rPr>
          <w:rFonts w:hint="eastAsia" w:ascii="宋体" w:hAnsi="宋体" w:eastAsia="宋体" w:cs="宋体"/>
          <w:b/>
          <w:color w:val="FF0000"/>
          <w:u w:val="single"/>
        </w:rPr>
        <w:t>。</w:t>
      </w:r>
    </w:p>
    <w:p>
      <w:pPr>
        <w:autoSpaceDE w:val="0"/>
        <w:autoSpaceDN w:val="0"/>
        <w:adjustRightInd w:val="0"/>
        <w:snapToGrid w:val="0"/>
        <w:spacing w:line="240" w:lineRule="auto"/>
        <w:ind w:firstLine="482"/>
        <w:rPr>
          <w:rFonts w:hint="eastAsia" w:ascii="宋体" w:hAnsi="宋体" w:eastAsia="宋体" w:cs="宋体"/>
          <w:b/>
          <w:color w:val="FF0000"/>
          <w:highlight w:val="none"/>
          <w:u w:val="single"/>
          <w:lang w:eastAsia="zh-CN"/>
        </w:rPr>
      </w:pPr>
      <w:r>
        <w:rPr>
          <w:rFonts w:hint="eastAsia" w:ascii="宋体" w:hAnsi="宋体" w:eastAsia="宋体" w:cs="宋体"/>
          <w:b/>
          <w:color w:val="FF0000"/>
          <w:u w:val="single"/>
        </w:rPr>
        <w:t>响应性文件接收人：</w:t>
      </w:r>
      <w:r>
        <w:rPr>
          <w:rFonts w:hint="eastAsia" w:ascii="宋体" w:hAnsi="宋体" w:eastAsia="宋体" w:cs="宋体"/>
          <w:b/>
          <w:color w:val="FF0000"/>
          <w:highlight w:val="none"/>
          <w:u w:val="single"/>
          <w:lang w:eastAsia="zh-CN"/>
        </w:rPr>
        <w:t>深圳市设计之都运营发展有限公司</w:t>
      </w:r>
    </w:p>
    <w:p>
      <w:pPr>
        <w:autoSpaceDE w:val="0"/>
        <w:autoSpaceDN w:val="0"/>
        <w:adjustRightInd w:val="0"/>
        <w:snapToGrid w:val="0"/>
        <w:spacing w:line="240" w:lineRule="auto"/>
        <w:ind w:firstLine="482"/>
        <w:rPr>
          <w:rFonts w:hint="default" w:ascii="宋体" w:hAnsi="宋体" w:eastAsia="宋体" w:cs="宋体"/>
          <w:b/>
          <w:color w:val="FF0000"/>
          <w:highlight w:val="none"/>
          <w:u w:val="single"/>
          <w:lang w:val="en-US" w:eastAsia="zh-CN"/>
        </w:rPr>
      </w:pPr>
    </w:p>
    <w:p>
      <w:pPr>
        <w:numPr>
          <w:ilvl w:val="0"/>
          <w:numId w:val="2"/>
        </w:numPr>
        <w:autoSpaceDE w:val="0"/>
        <w:autoSpaceDN w:val="0"/>
        <w:adjustRightInd w:val="0"/>
        <w:snapToGrid w:val="0"/>
        <w:spacing w:line="240" w:lineRule="auto"/>
        <w:ind w:firstLine="420"/>
        <w:outlineLvl w:val="1"/>
        <w:rPr>
          <w:rFonts w:hint="eastAsia" w:ascii="宋体" w:hAnsi="宋体" w:eastAsia="宋体" w:cs="宋体"/>
          <w:color w:val="000000" w:themeColor="text1"/>
          <w14:textFill>
            <w14:solidFill>
              <w14:schemeClr w14:val="tx1"/>
            </w14:solidFill>
          </w14:textFill>
        </w:rPr>
      </w:pPr>
      <w:bookmarkStart w:id="10" w:name="_Toc25284"/>
      <w:bookmarkStart w:id="11" w:name="_Toc18735"/>
      <w:r>
        <w:rPr>
          <w:rFonts w:hint="eastAsia" w:ascii="宋体" w:hAnsi="宋体" w:eastAsia="宋体" w:cs="宋体"/>
          <w:color w:val="000000" w:themeColor="text1"/>
          <w14:textFill>
            <w14:solidFill>
              <w14:schemeClr w14:val="tx1"/>
            </w14:solidFill>
          </w14:textFill>
        </w:rPr>
        <w:t>竞争性谈判方式：</w:t>
      </w:r>
      <w:bookmarkEnd w:id="10"/>
      <w:bookmarkEnd w:id="11"/>
    </w:p>
    <w:p>
      <w:pPr>
        <w:numPr>
          <w:ilvl w:val="-1"/>
          <w:numId w:val="0"/>
        </w:numPr>
        <w:autoSpaceDE w:val="0"/>
        <w:autoSpaceDN w:val="0"/>
        <w:adjustRightInd w:val="0"/>
        <w:snapToGrid w:val="0"/>
        <w:spacing w:line="240" w:lineRule="auto"/>
        <w:ind w:left="0" w:firstLine="420" w:firstLineChars="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谈判小组所有成员集中，与供应商就技术参数、售后服务等分别进行谈判，谈判小组要求符合条件所有供应商在规定的时间内提出最终的报价。本次谈判将进行</w:t>
      </w:r>
      <w:r>
        <w:rPr>
          <w:rFonts w:hint="eastAsia" w:ascii="宋体" w:hAnsi="宋体" w:eastAsia="宋体" w:cs="宋体"/>
          <w:color w:val="000000" w:themeColor="text1"/>
          <w:lang w:eastAsia="zh-CN"/>
          <w14:textFill>
            <w14:solidFill>
              <w14:schemeClr w14:val="tx1"/>
            </w14:solidFill>
          </w14:textFill>
        </w:rPr>
        <w:t>两</w:t>
      </w:r>
      <w:r>
        <w:rPr>
          <w:rFonts w:hint="eastAsia" w:ascii="宋体" w:hAnsi="宋体" w:eastAsia="宋体" w:cs="宋体"/>
          <w:color w:val="000000" w:themeColor="text1"/>
          <w14:textFill>
            <w14:solidFill>
              <w14:schemeClr w14:val="tx1"/>
            </w14:solidFill>
          </w14:textFill>
        </w:rPr>
        <w:t>轮三次报价。</w:t>
      </w:r>
    </w:p>
    <w:p>
      <w:pPr>
        <w:autoSpaceDE w:val="0"/>
        <w:autoSpaceDN w:val="0"/>
        <w:adjustRightInd w:val="0"/>
        <w:snapToGrid w:val="0"/>
        <w:spacing w:line="24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谈判小组及有关当事人严格遵循保密原则，任何人不得透露除报价排名外的一切与谈判有关的供应商的技术、价格等影响公平竞争的信息。</w:t>
      </w:r>
    </w:p>
    <w:p>
      <w:pPr>
        <w:autoSpaceDE w:val="0"/>
        <w:autoSpaceDN w:val="0"/>
        <w:adjustRightInd w:val="0"/>
        <w:snapToGrid w:val="0"/>
        <w:spacing w:line="240" w:lineRule="auto"/>
        <w:ind w:firstLine="48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谈判时间：</w:t>
      </w:r>
      <w:r>
        <w:rPr>
          <w:rFonts w:hint="eastAsia" w:ascii="宋体" w:hAnsi="宋体" w:eastAsia="宋体" w:cs="宋体"/>
          <w:b/>
          <w:color w:val="FF0000"/>
          <w:highlight w:val="none"/>
          <w:u w:val="single"/>
          <w:lang w:val="en-US" w:eastAsia="zh-CN"/>
        </w:rPr>
        <w:t>2024</w:t>
      </w:r>
      <w:r>
        <w:rPr>
          <w:rFonts w:hint="eastAsia" w:ascii="宋体" w:hAnsi="宋体" w:eastAsia="宋体" w:cs="宋体"/>
          <w:b/>
          <w:color w:val="FF0000"/>
          <w:highlight w:val="none"/>
          <w:u w:val="single"/>
        </w:rPr>
        <w:t>年</w:t>
      </w:r>
      <w:r>
        <w:rPr>
          <w:rFonts w:hint="eastAsia" w:ascii="宋体" w:hAnsi="宋体" w:eastAsia="宋体" w:cs="宋体"/>
          <w:b/>
          <w:color w:val="FF0000"/>
          <w:highlight w:val="none"/>
          <w:u w:val="single"/>
          <w:lang w:val="en-US" w:eastAsia="zh-CN"/>
        </w:rPr>
        <w:t>6</w:t>
      </w:r>
      <w:r>
        <w:rPr>
          <w:rFonts w:hint="eastAsia" w:ascii="宋体" w:hAnsi="宋体" w:eastAsia="宋体" w:cs="宋体"/>
          <w:b/>
          <w:color w:val="FF0000"/>
          <w:highlight w:val="none"/>
          <w:u w:val="single"/>
        </w:rPr>
        <w:t>月</w:t>
      </w:r>
      <w:r>
        <w:rPr>
          <w:rFonts w:hint="eastAsia" w:ascii="宋体" w:hAnsi="宋体" w:eastAsia="宋体" w:cs="宋体"/>
          <w:b/>
          <w:color w:val="FF0000"/>
          <w:highlight w:val="none"/>
          <w:u w:val="single"/>
          <w:lang w:val="en-US" w:eastAsia="zh-CN"/>
        </w:rPr>
        <w:t>7</w:t>
      </w:r>
      <w:r>
        <w:rPr>
          <w:rFonts w:hint="eastAsia" w:ascii="宋体" w:hAnsi="宋体" w:eastAsia="宋体" w:cs="宋体"/>
          <w:b/>
          <w:color w:val="FF0000"/>
          <w:highlight w:val="none"/>
          <w:u w:val="single"/>
        </w:rPr>
        <w:t>日</w:t>
      </w:r>
      <w:r>
        <w:rPr>
          <w:rFonts w:hint="eastAsia" w:ascii="宋体" w:hAnsi="宋体" w:eastAsia="宋体" w:cs="宋体"/>
          <w:b/>
          <w:color w:val="FF0000"/>
          <w:highlight w:val="none"/>
          <w:u w:val="single"/>
          <w:lang w:val="en-US" w:eastAsia="zh-CN"/>
        </w:rPr>
        <w:t>周五10:00</w:t>
      </w:r>
      <w:r>
        <w:rPr>
          <w:rFonts w:hint="eastAsia" w:ascii="宋体" w:hAnsi="宋体" w:eastAsia="宋体" w:cs="宋体"/>
          <w:b/>
          <w:color w:val="FF0000"/>
          <w:highlight w:val="none"/>
          <w:u w:val="single"/>
        </w:rPr>
        <w:t>。</w:t>
      </w:r>
    </w:p>
    <w:p>
      <w:pPr>
        <w:autoSpaceDE w:val="0"/>
        <w:autoSpaceDN w:val="0"/>
        <w:adjustRightInd w:val="0"/>
        <w:snapToGrid w:val="0"/>
        <w:spacing w:line="240" w:lineRule="auto"/>
        <w:ind w:firstLine="482"/>
        <w:rPr>
          <w:rFonts w:hint="default" w:ascii="宋体" w:hAnsi="宋体" w:eastAsia="宋体" w:cs="宋体"/>
          <w:b/>
          <w:color w:val="FF0000"/>
          <w:u w:val="single"/>
          <w:lang w:val="en-US" w:eastAsia="zh-CN"/>
        </w:rPr>
      </w:pPr>
      <w:r>
        <w:rPr>
          <w:rFonts w:hint="eastAsia" w:ascii="宋体" w:hAnsi="宋体" w:eastAsia="宋体" w:cs="宋体"/>
          <w:color w:val="000000" w:themeColor="text1"/>
          <w:highlight w:val="none"/>
          <w14:textFill>
            <w14:solidFill>
              <w14:schemeClr w14:val="tx1"/>
            </w14:solidFill>
          </w14:textFill>
        </w:rPr>
        <w:t>谈判地点：</w:t>
      </w:r>
      <w:r>
        <w:rPr>
          <w:rFonts w:hint="eastAsia" w:ascii="宋体" w:hAnsi="宋体" w:eastAsia="宋体" w:cs="宋体"/>
          <w:color w:val="000000" w:themeColor="text1"/>
          <w:highlight w:val="none"/>
          <w:lang w:eastAsia="zh-CN"/>
          <w14:textFill>
            <w14:solidFill>
              <w14:schemeClr w14:val="tx1"/>
            </w14:solidFill>
          </w14:textFill>
        </w:rPr>
        <w:t>深圳市福田区广电金融</w:t>
      </w:r>
      <w:r>
        <w:rPr>
          <w:rFonts w:hint="eastAsia" w:ascii="宋体" w:hAnsi="宋体" w:eastAsia="宋体" w:cs="宋体"/>
          <w:color w:val="000000" w:themeColor="text1"/>
          <w:highlight w:val="none"/>
          <w:lang w:val="en-US" w:eastAsia="zh-CN"/>
          <w14:textFill>
            <w14:solidFill>
              <w14:schemeClr w14:val="tx1"/>
            </w14:solidFill>
          </w14:textFill>
        </w:rPr>
        <w:t>48楼核心筒会议室。</w:t>
      </w:r>
    </w:p>
    <w:p>
      <w:pPr>
        <w:autoSpaceDE w:val="0"/>
        <w:autoSpaceDN w:val="0"/>
        <w:adjustRightInd w:val="0"/>
        <w:snapToGrid w:val="0"/>
        <w:spacing w:line="240" w:lineRule="auto"/>
        <w:ind w:firstLine="48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届时请参加谈判的单位法定代表人或法人委托人参与谈判。</w:t>
      </w:r>
    </w:p>
    <w:p>
      <w:pPr>
        <w:autoSpaceDE w:val="0"/>
        <w:autoSpaceDN w:val="0"/>
        <w:adjustRightInd w:val="0"/>
        <w:snapToGrid w:val="0"/>
        <w:spacing w:line="240" w:lineRule="auto"/>
        <w:ind w:firstLine="482"/>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eastAsia="宋体" w:cs="宋体"/>
          <w:color w:val="000000" w:themeColor="text1"/>
          <w:highlight w:val="none"/>
          <w:lang w:val="en-US" w:eastAsia="zh-CN"/>
          <w14:textFill>
            <w14:solidFill>
              <w14:schemeClr w14:val="tx1"/>
            </w14:solidFill>
          </w14:textFill>
        </w:rPr>
        <w:t>赖女士</w:t>
      </w:r>
    </w:p>
    <w:p>
      <w:pPr>
        <w:autoSpaceDE w:val="0"/>
        <w:autoSpaceDN w:val="0"/>
        <w:adjustRightInd w:val="0"/>
        <w:snapToGrid w:val="0"/>
        <w:spacing w:line="240" w:lineRule="auto"/>
        <w:ind w:firstLine="482"/>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w:t>
      </w:r>
      <w:r>
        <w:rPr>
          <w:rFonts w:hint="eastAsia" w:ascii="宋体" w:hAnsi="宋体" w:eastAsia="宋体" w:cs="宋体"/>
          <w:color w:val="000000" w:themeColor="text1"/>
          <w:highlight w:val="none"/>
          <w:lang w:val="en-US" w:eastAsia="zh-CN"/>
          <w14:textFill>
            <w14:solidFill>
              <w14:schemeClr w14:val="tx1"/>
            </w14:solidFill>
          </w14:textFill>
        </w:rPr>
        <w:t>13924658185</w:t>
      </w:r>
    </w:p>
    <w:p>
      <w:pPr>
        <w:autoSpaceDE w:val="0"/>
        <w:autoSpaceDN w:val="0"/>
        <w:adjustRightInd w:val="0"/>
        <w:snapToGrid w:val="0"/>
        <w:spacing w:line="360" w:lineRule="auto"/>
        <w:ind w:firstLine="480"/>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邮箱地址：</w:t>
      </w:r>
      <w:r>
        <w:rPr>
          <w:rFonts w:hint="eastAsia" w:ascii="宋体" w:hAnsi="宋体" w:cs="仿宋_GB2312"/>
          <w:highlight w:val="none"/>
        </w:rPr>
        <w:t>service@designcities.cn</w:t>
      </w:r>
      <w:bookmarkStart w:id="180" w:name="_GoBack"/>
      <w:bookmarkEnd w:id="180"/>
    </w:p>
    <w:p>
      <w:pPr>
        <w:autoSpaceDE w:val="0"/>
        <w:autoSpaceDN w:val="0"/>
        <w:adjustRightInd w:val="0"/>
        <w:snapToGrid w:val="0"/>
        <w:spacing w:line="240" w:lineRule="auto"/>
        <w:ind w:firstLine="482"/>
        <w:rPr>
          <w:rFonts w:hint="eastAsia" w:ascii="宋体" w:hAnsi="宋体" w:cs="仿宋_GB2312"/>
          <w:highlight w:val="none"/>
        </w:rPr>
      </w:pPr>
      <w:r>
        <w:rPr>
          <w:rFonts w:hint="eastAsia" w:ascii="宋体" w:hAnsi="宋体" w:eastAsia="宋体" w:cs="宋体"/>
          <w:color w:val="000000" w:themeColor="text1"/>
          <w:highlight w:val="none"/>
          <w14:textFill>
            <w14:solidFill>
              <w14:schemeClr w14:val="tx1"/>
            </w14:solidFill>
          </w14:textFill>
        </w:rPr>
        <w:t>公司地址：</w:t>
      </w:r>
      <w:r>
        <w:rPr>
          <w:rFonts w:hint="eastAsia" w:ascii="宋体" w:hAnsi="宋体" w:cs="仿宋_GB2312"/>
          <w:highlight w:val="none"/>
        </w:rPr>
        <w:t>深圳市福田区广电金融中心48楼</w:t>
      </w:r>
    </w:p>
    <w:p>
      <w:pPr>
        <w:pStyle w:val="2"/>
        <w:ind w:firstLine="420" w:firstLineChars="200"/>
        <w:rPr>
          <w:rFonts w:hint="eastAsia" w:ascii="宋体" w:hAnsi="宋体" w:eastAsia="宋体" w:cs="宋体"/>
          <w:color w:val="000000" w:themeColor="text1"/>
          <w:sz w:val="21"/>
          <w:highlight w:val="none"/>
          <w:lang w:val="en-US" w:eastAsia="zh-CN"/>
          <w14:textFill>
            <w14:solidFill>
              <w14:schemeClr w14:val="tx1"/>
            </w14:solidFill>
          </w14:textFill>
        </w:rPr>
      </w:pPr>
      <w:r>
        <w:rPr>
          <w:rFonts w:hint="eastAsia" w:ascii="宋体" w:hAnsi="宋体" w:eastAsia="宋体" w:cs="宋体"/>
          <w:color w:val="000000" w:themeColor="text1"/>
          <w:sz w:val="21"/>
          <w:highlight w:val="none"/>
          <w:lang w:val="en-US" w:eastAsia="zh-CN"/>
          <w14:textFill>
            <w14:solidFill>
              <w14:schemeClr w14:val="tx1"/>
            </w14:solidFill>
          </w14:textFill>
        </w:rPr>
        <w:t>本招标文件解释权归</w:t>
      </w:r>
      <w:r>
        <w:rPr>
          <w:rFonts w:hint="eastAsia" w:ascii="宋体" w:hAnsi="宋体" w:eastAsia="宋体" w:cs="宋体"/>
          <w:b/>
          <w:bCs/>
          <w:color w:val="000000" w:themeColor="text1"/>
          <w:sz w:val="21"/>
          <w:highlight w:val="none"/>
          <w:u w:val="single"/>
          <w:lang w:val="en-US" w:eastAsia="zh-CN"/>
          <w14:textFill>
            <w14:solidFill>
              <w14:schemeClr w14:val="tx1"/>
            </w14:solidFill>
          </w14:textFill>
        </w:rPr>
        <w:t>深圳市设计之都运营发展有限公司</w:t>
      </w:r>
      <w:r>
        <w:rPr>
          <w:rFonts w:hint="eastAsia" w:ascii="宋体" w:hAnsi="宋体" w:eastAsia="宋体" w:cs="宋体"/>
          <w:color w:val="000000" w:themeColor="text1"/>
          <w:sz w:val="21"/>
          <w:highlight w:val="none"/>
          <w:lang w:val="en-US" w:eastAsia="zh-CN"/>
          <w14:textFill>
            <w14:solidFill>
              <w14:schemeClr w14:val="tx1"/>
            </w14:solidFill>
          </w14:textFill>
        </w:rPr>
        <w:t>所有。</w:t>
      </w:r>
    </w:p>
    <w:p>
      <w:pPr>
        <w:rPr>
          <w:rFonts w:hint="eastAsia" w:ascii="Times New Roman" w:eastAsia="宋体"/>
          <w:b/>
          <w:sz w:val="44"/>
          <w:szCs w:val="44"/>
        </w:rPr>
      </w:pPr>
      <w:r>
        <w:rPr>
          <w:rFonts w:hint="eastAsia" w:ascii="Times New Roman" w:eastAsia="宋体"/>
          <w:b/>
          <w:sz w:val="44"/>
          <w:szCs w:val="44"/>
        </w:rPr>
        <w:br w:type="page"/>
      </w:r>
    </w:p>
    <w:p>
      <w:pPr>
        <w:pStyle w:val="3"/>
        <w:numPr>
          <w:ilvl w:val="0"/>
          <w:numId w:val="1"/>
        </w:numPr>
        <w:spacing w:line="240" w:lineRule="auto"/>
        <w:ind w:firstLine="402"/>
        <w:jc w:val="center"/>
        <w:rPr>
          <w:rFonts w:hint="eastAsia" w:ascii="Times New Roman" w:eastAsia="宋体"/>
          <w:b/>
          <w:sz w:val="44"/>
          <w:szCs w:val="44"/>
        </w:rPr>
      </w:pPr>
      <w:bookmarkStart w:id="12" w:name="_Toc21224"/>
      <w:r>
        <w:rPr>
          <w:rFonts w:hint="eastAsia" w:ascii="Times New Roman" w:eastAsia="宋体"/>
          <w:b/>
          <w:sz w:val="44"/>
          <w:szCs w:val="44"/>
        </w:rPr>
        <w:t>竞争性谈判须知</w:t>
      </w:r>
      <w:bookmarkEnd w:id="12"/>
    </w:p>
    <w:p>
      <w:pPr>
        <w:adjustRightInd w:val="0"/>
        <w:snapToGrid w:val="0"/>
        <w:spacing w:line="240" w:lineRule="auto"/>
        <w:ind w:firstLine="435"/>
        <w:rPr>
          <w:rFonts w:hint="eastAsia" w:ascii="宋体" w:hAnsi="宋体" w:eastAsia="宋体" w:cs="宋体"/>
          <w:color w:val="000000"/>
          <w:szCs w:val="21"/>
        </w:rPr>
      </w:pPr>
      <w:r>
        <w:rPr>
          <w:rFonts w:hint="eastAsia" w:ascii="宋体" w:hAnsi="宋体" w:eastAsia="宋体" w:cs="宋体"/>
          <w:color w:val="000000"/>
          <w:szCs w:val="21"/>
        </w:rPr>
        <w:t>供应商必须认真阅读以下内容，以免造成竞争性谈判失败。</w:t>
      </w:r>
    </w:p>
    <w:p>
      <w:pPr>
        <w:pStyle w:val="23"/>
        <w:numPr>
          <w:ilvl w:val="0"/>
          <w:numId w:val="3"/>
        </w:numPr>
        <w:snapToGrid w:val="0"/>
        <w:spacing w:beforeLines="0" w:afterLines="0" w:line="240" w:lineRule="auto"/>
        <w:outlineLvl w:val="1"/>
        <w:rPr>
          <w:rFonts w:hint="eastAsia" w:ascii="宋体" w:hAnsi="宋体" w:eastAsia="宋体" w:cs="宋体"/>
          <w:color w:val="000000" w:themeColor="text1"/>
          <w:sz w:val="21"/>
          <w:szCs w:val="21"/>
          <w14:textFill>
            <w14:solidFill>
              <w14:schemeClr w14:val="tx1"/>
            </w14:solidFill>
          </w14:textFill>
        </w:rPr>
      </w:pPr>
      <w:bookmarkStart w:id="13" w:name="_Toc271798792"/>
      <w:bookmarkStart w:id="14" w:name="_Toc27570"/>
      <w:bookmarkStart w:id="15" w:name="_Toc142370531"/>
      <w:bookmarkStart w:id="16" w:name="_Toc2437"/>
      <w:r>
        <w:rPr>
          <w:rFonts w:hint="eastAsia" w:ascii="宋体" w:hAnsi="宋体" w:eastAsia="宋体" w:cs="宋体"/>
          <w:color w:val="000000" w:themeColor="text1"/>
          <w:sz w:val="21"/>
          <w:szCs w:val="21"/>
          <w14:textFill>
            <w14:solidFill>
              <w14:schemeClr w14:val="tx1"/>
            </w14:solidFill>
          </w14:textFill>
        </w:rPr>
        <w:t>关于定标方式</w:t>
      </w:r>
      <w:bookmarkEnd w:id="13"/>
      <w:bookmarkEnd w:id="14"/>
      <w:bookmarkEnd w:id="15"/>
      <w:bookmarkEnd w:id="16"/>
      <w:bookmarkStart w:id="17" w:name="_Toc142370532"/>
      <w:bookmarkStart w:id="18" w:name="_Toc271798793"/>
    </w:p>
    <w:p>
      <w:pPr>
        <w:pStyle w:val="23"/>
        <w:snapToGrid w:val="0"/>
        <w:spacing w:beforeLines="0" w:afterLines="0" w:line="240" w:lineRule="auto"/>
        <w:rPr>
          <w:rFonts w:hint="eastAsia" w:ascii="宋体" w:hAnsi="宋体" w:eastAsia="宋体" w:cs="宋体"/>
          <w:color w:val="FF0000"/>
          <w:sz w:val="21"/>
          <w:szCs w:val="21"/>
        </w:rPr>
      </w:pPr>
      <w:r>
        <w:rPr>
          <w:rFonts w:hint="eastAsia" w:ascii="宋体" w:hAnsi="宋体" w:eastAsia="宋体" w:cs="宋体"/>
          <w:sz w:val="21"/>
          <w:szCs w:val="21"/>
        </w:rPr>
        <w:t>本项目的评标办法为综合评估法。</w:t>
      </w:r>
    </w:p>
    <w:p>
      <w:pPr>
        <w:pStyle w:val="23"/>
        <w:numPr>
          <w:ilvl w:val="0"/>
          <w:numId w:val="3"/>
        </w:numPr>
        <w:snapToGrid w:val="0"/>
        <w:spacing w:beforeLines="0" w:afterLines="0" w:line="240" w:lineRule="auto"/>
        <w:outlineLvl w:val="1"/>
        <w:rPr>
          <w:rFonts w:hint="eastAsia" w:ascii="宋体" w:hAnsi="宋体" w:eastAsia="宋体" w:cs="宋体"/>
          <w:color w:val="000000" w:themeColor="text1"/>
          <w:sz w:val="21"/>
          <w:szCs w:val="21"/>
          <w14:textFill>
            <w14:solidFill>
              <w14:schemeClr w14:val="tx1"/>
            </w14:solidFill>
          </w14:textFill>
        </w:rPr>
      </w:pPr>
      <w:bookmarkStart w:id="19" w:name="_Toc12016"/>
      <w:bookmarkStart w:id="20" w:name="_Toc10114"/>
      <w:r>
        <w:rPr>
          <w:rFonts w:hint="eastAsia" w:ascii="宋体" w:hAnsi="宋体" w:eastAsia="宋体" w:cs="宋体"/>
          <w:color w:val="000000" w:themeColor="text1"/>
          <w:sz w:val="21"/>
          <w:szCs w:val="21"/>
          <w14:textFill>
            <w14:solidFill>
              <w14:schemeClr w14:val="tx1"/>
            </w14:solidFill>
          </w14:textFill>
        </w:rPr>
        <w:t>关于谈判文件</w:t>
      </w:r>
      <w:bookmarkEnd w:id="17"/>
      <w:bookmarkEnd w:id="18"/>
      <w:bookmarkEnd w:id="19"/>
      <w:bookmarkEnd w:id="20"/>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2.1 本谈判文件仅适用于本次谈判公告中所叙述的项目。</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 xml:space="preserve">2.2 </w:t>
      </w:r>
      <w:r>
        <w:rPr>
          <w:rFonts w:hint="eastAsia" w:ascii="宋体" w:hAnsi="宋体" w:eastAsia="宋体" w:cs="宋体"/>
          <w:b/>
          <w:bCs/>
          <w:color w:val="000000"/>
          <w:szCs w:val="21"/>
        </w:rPr>
        <w:t>本谈判文件要求中，凡标有“★”的地方均被视为重要的技术指标要求或性能要求。谈判供应商要特别加以注意，必须对此回答并完全满足这些要求。否则若有一项“★”的指标未响应或不满足，将按投标无效处理，即废标。</w:t>
      </w:r>
    </w:p>
    <w:p>
      <w:pPr>
        <w:adjustRightInd w:val="0"/>
        <w:snapToGrid w:val="0"/>
        <w:spacing w:line="240" w:lineRule="auto"/>
        <w:rPr>
          <w:rFonts w:hint="eastAsia" w:ascii="宋体" w:hAnsi="宋体" w:eastAsia="宋体" w:cs="宋体"/>
          <w:b/>
          <w:color w:val="000000"/>
          <w:szCs w:val="21"/>
        </w:rPr>
      </w:pPr>
      <w:bookmarkStart w:id="21" w:name="_Toc142370533"/>
      <w:r>
        <w:rPr>
          <w:rFonts w:hint="eastAsia" w:ascii="宋体" w:hAnsi="宋体" w:eastAsia="宋体" w:cs="宋体"/>
          <w:b/>
          <w:color w:val="000000"/>
          <w:szCs w:val="21"/>
        </w:rPr>
        <w:t xml:space="preserve">2.3 </w:t>
      </w:r>
      <w:r>
        <w:rPr>
          <w:rFonts w:hint="eastAsia" w:ascii="宋体" w:hAnsi="宋体" w:eastAsia="宋体" w:cs="宋体"/>
          <w:b/>
          <w:bCs/>
          <w:color w:val="000000"/>
          <w:szCs w:val="21"/>
        </w:rPr>
        <w:t>谈判文件</w:t>
      </w:r>
      <w:r>
        <w:rPr>
          <w:rFonts w:hint="eastAsia" w:ascii="宋体" w:hAnsi="宋体" w:eastAsia="宋体" w:cs="宋体"/>
          <w:b/>
          <w:color w:val="000000"/>
          <w:szCs w:val="21"/>
        </w:rPr>
        <w:t>的修改</w:t>
      </w:r>
    </w:p>
    <w:p>
      <w:pPr>
        <w:adjustRightInd w:val="0"/>
        <w:snapToGrid w:val="0"/>
        <w:spacing w:line="240" w:lineRule="auto"/>
        <w:ind w:firstLine="412" w:firstLineChars="200"/>
        <w:rPr>
          <w:rFonts w:hint="eastAsia" w:ascii="宋体" w:hAnsi="宋体" w:eastAsia="宋体" w:cs="宋体"/>
          <w:color w:val="000000"/>
          <w:spacing w:val="-2"/>
          <w:szCs w:val="21"/>
        </w:rPr>
      </w:pPr>
      <w:r>
        <w:rPr>
          <w:rFonts w:hint="eastAsia" w:ascii="宋体" w:hAnsi="宋体" w:eastAsia="宋体" w:cs="宋体"/>
          <w:color w:val="000000"/>
          <w:spacing w:val="-2"/>
          <w:szCs w:val="21"/>
        </w:rPr>
        <w:t>2.3.1采购人对已发出的</w:t>
      </w:r>
      <w:r>
        <w:rPr>
          <w:rFonts w:hint="eastAsia" w:ascii="宋体" w:hAnsi="宋体" w:eastAsia="宋体" w:cs="宋体"/>
          <w:color w:val="000000"/>
          <w:szCs w:val="21"/>
        </w:rPr>
        <w:t>谈判文件</w:t>
      </w:r>
      <w:r>
        <w:rPr>
          <w:rFonts w:hint="eastAsia" w:ascii="宋体" w:hAnsi="宋体" w:eastAsia="宋体" w:cs="宋体"/>
          <w:color w:val="000000"/>
          <w:spacing w:val="-2"/>
          <w:szCs w:val="21"/>
        </w:rPr>
        <w:t>进行必要的澄清或者修改的，该澄清或者修改的内容为竞争性谈判文件的组成部分。</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2.3.2 谈判文件的修改将以电话或邮件（补充更正或重要通知）形式通知所有已得到谈判文件的谈判供应商，并对其具有约束力。谈判供应商在知悉更改内容后，应立即向采购人回函确认。</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2.3.3为使谈判供应商在准备谈判响应文件时有合理的时间考虑谈判文件的修改，采购人可酌情推迟投标截止日期的开标时间，并以电话或邮件的形式通知已得到谈判文件的每一谈判供应商。</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2.3.4 谈判文件的澄清（修改）将构成谈判文件的一部分，对谈判供应商有约束力。</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2.3.6 如谈判供应商认为本谈判文件中存在不合理的条件对谈判供应商构成差别待遇或者歧视待遇，或对其它条款有异议的，均请谈判公告规定的时间内采购人提出；逾期未提出的，视为无异议，对此后因谈判文件的异议提出的投诉亦不予受理。</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2.3.7谈判供应商</w:t>
      </w:r>
      <w:r>
        <w:rPr>
          <w:rFonts w:hint="eastAsia" w:ascii="宋体" w:hAnsi="宋体" w:eastAsia="宋体" w:cs="宋体"/>
          <w:color w:val="000000"/>
          <w:szCs w:val="21"/>
          <w:lang w:val="zh-CN"/>
        </w:rPr>
        <w:t>得到了谈判文件后不参加竞争性谈判的，</w:t>
      </w:r>
      <w:r>
        <w:rPr>
          <w:rFonts w:hint="eastAsia" w:ascii="宋体" w:hAnsi="宋体" w:eastAsia="宋体" w:cs="宋体"/>
          <w:b/>
          <w:color w:val="000000"/>
          <w:szCs w:val="21"/>
          <w:lang w:val="zh-CN"/>
        </w:rPr>
        <w:t>请在谈判前3日以书面形式通知采购人</w:t>
      </w:r>
      <w:r>
        <w:rPr>
          <w:rFonts w:hint="eastAsia" w:ascii="宋体" w:hAnsi="宋体" w:eastAsia="宋体" w:cs="宋体"/>
          <w:b/>
          <w:color w:val="000000"/>
          <w:spacing w:val="-2"/>
          <w:szCs w:val="21"/>
        </w:rPr>
        <w:t>（谈判当日不计算在内）</w:t>
      </w:r>
      <w:r>
        <w:rPr>
          <w:rFonts w:hint="eastAsia" w:ascii="宋体" w:hAnsi="宋体" w:eastAsia="宋体" w:cs="宋体"/>
          <w:color w:val="000000"/>
          <w:szCs w:val="21"/>
          <w:lang w:val="zh-CN"/>
        </w:rPr>
        <w:t>。</w:t>
      </w:r>
    </w:p>
    <w:p>
      <w:pPr>
        <w:pStyle w:val="23"/>
        <w:numPr>
          <w:ilvl w:val="0"/>
          <w:numId w:val="3"/>
        </w:numPr>
        <w:snapToGrid w:val="0"/>
        <w:spacing w:beforeLines="0" w:afterLines="0" w:line="240" w:lineRule="auto"/>
        <w:outlineLvl w:val="1"/>
        <w:rPr>
          <w:rFonts w:hint="eastAsia" w:ascii="宋体" w:hAnsi="宋体" w:eastAsia="宋体" w:cs="宋体"/>
          <w:color w:val="000000" w:themeColor="text1"/>
          <w:sz w:val="21"/>
          <w:szCs w:val="21"/>
          <w14:textFill>
            <w14:solidFill>
              <w14:schemeClr w14:val="tx1"/>
            </w14:solidFill>
          </w14:textFill>
        </w:rPr>
      </w:pPr>
      <w:bookmarkStart w:id="22" w:name="_Toc271798794"/>
      <w:bookmarkStart w:id="23" w:name="_Toc28134"/>
      <w:bookmarkStart w:id="24" w:name="_Toc17213"/>
      <w:r>
        <w:rPr>
          <w:rFonts w:hint="eastAsia" w:ascii="宋体" w:hAnsi="宋体" w:eastAsia="宋体" w:cs="宋体"/>
          <w:color w:val="000000" w:themeColor="text1"/>
          <w:sz w:val="21"/>
          <w:szCs w:val="21"/>
          <w14:textFill>
            <w14:solidFill>
              <w14:schemeClr w14:val="tx1"/>
            </w14:solidFill>
          </w14:textFill>
        </w:rPr>
        <w:t>关于谈判供应商</w:t>
      </w:r>
      <w:bookmarkEnd w:id="21"/>
      <w:bookmarkEnd w:id="22"/>
      <w:bookmarkEnd w:id="23"/>
      <w:bookmarkEnd w:id="24"/>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3.1谈判供应商须提供资质证明文件：</w:t>
      </w:r>
      <w:r>
        <w:rPr>
          <w:rFonts w:hint="eastAsia" w:ascii="宋体" w:hAnsi="宋体" w:eastAsia="宋体" w:cs="宋体"/>
          <w:color w:val="000000"/>
          <w:szCs w:val="21"/>
        </w:rPr>
        <w:t xml:space="preserve">见《竞争性谈判文件》附件。 </w:t>
      </w:r>
    </w:p>
    <w:p>
      <w:pPr>
        <w:adjustRightInd w:val="0"/>
        <w:snapToGrid w:val="0"/>
        <w:spacing w:line="240" w:lineRule="auto"/>
        <w:rPr>
          <w:rFonts w:hint="eastAsia" w:ascii="宋体" w:hAnsi="宋体" w:eastAsia="宋体" w:cs="宋体"/>
          <w:bCs/>
          <w:color w:val="000000"/>
          <w:szCs w:val="21"/>
        </w:rPr>
      </w:pPr>
      <w:bookmarkStart w:id="25" w:name="OLE_LINK1"/>
      <w:r>
        <w:rPr>
          <w:rFonts w:hint="eastAsia" w:ascii="宋体" w:hAnsi="宋体" w:eastAsia="宋体" w:cs="宋体"/>
          <w:b/>
          <w:color w:val="000000"/>
          <w:szCs w:val="21"/>
        </w:rPr>
        <w:t>3.2</w:t>
      </w:r>
      <w:r>
        <w:rPr>
          <w:rFonts w:hint="eastAsia" w:ascii="宋体" w:hAnsi="宋体" w:eastAsia="宋体" w:cs="宋体"/>
          <w:bCs/>
          <w:color w:val="000000"/>
          <w:szCs w:val="21"/>
        </w:rPr>
        <w:t>参加谈判会议的</w:t>
      </w:r>
      <w:r>
        <w:rPr>
          <w:rFonts w:hint="eastAsia" w:ascii="宋体" w:hAnsi="宋体" w:eastAsia="宋体" w:cs="宋体"/>
          <w:color w:val="000000"/>
          <w:szCs w:val="21"/>
        </w:rPr>
        <w:t>谈判供应商</w:t>
      </w:r>
      <w:r>
        <w:rPr>
          <w:rFonts w:hint="eastAsia" w:ascii="宋体" w:hAnsi="宋体" w:eastAsia="宋体" w:cs="宋体"/>
          <w:bCs/>
          <w:color w:val="000000"/>
          <w:szCs w:val="21"/>
        </w:rPr>
        <w:t>的法定代表人或其委托代理人应随身携带法人代表授权委托书及法定代表人证明书及有效身份证明，以证明其身份。</w:t>
      </w:r>
      <w:r>
        <w:rPr>
          <w:rFonts w:hint="eastAsia" w:ascii="宋体" w:hAnsi="宋体" w:eastAsia="宋体" w:cs="宋体"/>
          <w:color w:val="000000"/>
          <w:szCs w:val="21"/>
        </w:rPr>
        <w:t>在评标过程中随时接受评委就谈判响应文件内容提出的质询，并予以解答。</w:t>
      </w:r>
    </w:p>
    <w:bookmarkEnd w:id="25"/>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b/>
          <w:color w:val="000000"/>
          <w:szCs w:val="21"/>
        </w:rPr>
        <w:t>3.3 关于联合体竞争性谈判（本项目不允许）</w:t>
      </w:r>
    </w:p>
    <w:p>
      <w:pPr>
        <w:pStyle w:val="23"/>
        <w:numPr>
          <w:ilvl w:val="0"/>
          <w:numId w:val="3"/>
        </w:numPr>
        <w:snapToGrid w:val="0"/>
        <w:spacing w:beforeLines="0" w:afterLines="0" w:line="240" w:lineRule="auto"/>
        <w:outlineLvl w:val="1"/>
        <w:rPr>
          <w:rFonts w:hint="eastAsia" w:ascii="宋体" w:hAnsi="宋体" w:eastAsia="宋体" w:cs="宋体"/>
          <w:color w:val="000000" w:themeColor="text1"/>
          <w:sz w:val="21"/>
          <w:szCs w:val="21"/>
          <w14:textFill>
            <w14:solidFill>
              <w14:schemeClr w14:val="tx1"/>
            </w14:solidFill>
          </w14:textFill>
        </w:rPr>
      </w:pPr>
      <w:bookmarkStart w:id="26" w:name="_Toc142370534"/>
      <w:bookmarkStart w:id="27" w:name="_Toc7529"/>
      <w:bookmarkStart w:id="28" w:name="_Toc14885"/>
      <w:bookmarkStart w:id="29" w:name="_Toc271798795"/>
      <w:bookmarkStart w:id="30" w:name="OLE_LINK2"/>
      <w:r>
        <w:rPr>
          <w:rFonts w:hint="eastAsia" w:ascii="宋体" w:hAnsi="宋体" w:eastAsia="宋体" w:cs="宋体"/>
          <w:color w:val="000000" w:themeColor="text1"/>
          <w:sz w:val="21"/>
          <w:szCs w:val="21"/>
          <w14:textFill>
            <w14:solidFill>
              <w14:schemeClr w14:val="tx1"/>
            </w14:solidFill>
          </w14:textFill>
        </w:rPr>
        <w:t>关于谈判响应文件</w:t>
      </w:r>
      <w:bookmarkEnd w:id="26"/>
      <w:bookmarkEnd w:id="27"/>
      <w:bookmarkEnd w:id="28"/>
      <w:bookmarkEnd w:id="29"/>
    </w:p>
    <w:bookmarkEnd w:id="30"/>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color w:val="000000"/>
          <w:szCs w:val="21"/>
        </w:rPr>
        <w:t>★</w:t>
      </w:r>
      <w:r>
        <w:rPr>
          <w:rFonts w:hint="eastAsia" w:ascii="宋体" w:hAnsi="宋体" w:eastAsia="宋体" w:cs="宋体"/>
          <w:b/>
          <w:color w:val="000000"/>
          <w:szCs w:val="21"/>
        </w:rPr>
        <w:t>4.1谈判响应文件的组成和格式</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4.1.1谈判响应文件应包括下列部分：</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投标书（格式见附件）；</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开标一览表（格式见附件）</w:t>
      </w:r>
      <w:r>
        <w:rPr>
          <w:rFonts w:hint="eastAsia" w:ascii="宋体" w:hAnsi="宋体" w:eastAsia="宋体" w:cs="宋体"/>
          <w:b/>
          <w:bCs w:val="0"/>
          <w:color w:val="auto"/>
          <w:szCs w:val="21"/>
          <w:lang w:eastAsia="zh-CN"/>
        </w:rPr>
        <w:t>；</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谈判供应商基本情况表（格式见附件）；</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经年审合格的有效营业执照副本复印件（加盖公章）；</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法定代表人证明书原件（加盖公章</w:t>
      </w:r>
      <w:r>
        <w:rPr>
          <w:rFonts w:hint="eastAsia" w:ascii="宋体" w:hAnsi="宋体" w:eastAsia="宋体" w:cs="宋体"/>
          <w:b/>
          <w:bCs w:val="0"/>
          <w:color w:val="auto"/>
          <w:szCs w:val="21"/>
          <w:lang w:eastAsia="zh-CN"/>
        </w:rPr>
        <w:t>的复印件</w:t>
      </w:r>
      <w:r>
        <w:rPr>
          <w:rFonts w:hint="eastAsia" w:ascii="宋体" w:hAnsi="宋体" w:eastAsia="宋体" w:cs="宋体"/>
          <w:b/>
          <w:bCs w:val="0"/>
          <w:color w:val="auto"/>
          <w:szCs w:val="21"/>
        </w:rPr>
        <w:t>）；</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法定代表人委托授权书原件（加盖公章）；</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公司社保参保证明</w:t>
      </w:r>
      <w:r>
        <w:rPr>
          <w:rFonts w:hint="eastAsia" w:ascii="宋体" w:hAnsi="宋体" w:eastAsia="宋体" w:cs="宋体"/>
          <w:b/>
          <w:bCs w:val="0"/>
          <w:color w:val="auto"/>
          <w:szCs w:val="21"/>
          <w:lang w:eastAsia="zh-CN"/>
        </w:rPr>
        <w:t>；</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lang w:eastAsia="zh-CN"/>
        </w:rPr>
        <w:t>近三年财务报表/审计报告/所得税汇算清缴报表（纳税申报表），投标人成立不足三年的可从成立之日起，加盖公章的复印件；</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近三年经营业绩简介（投标人成立不足三年的可从成立之日起）</w:t>
      </w:r>
      <w:r>
        <w:rPr>
          <w:rFonts w:hint="eastAsia" w:ascii="宋体" w:hAnsi="宋体" w:eastAsia="宋体" w:cs="宋体"/>
          <w:b/>
          <w:bCs w:val="0"/>
          <w:color w:val="auto"/>
          <w:szCs w:val="21"/>
          <w:lang w:eastAsia="zh-CN"/>
        </w:rPr>
        <w:t>；</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提供技术文响应/偏离表、提供商务响应/偏离表；</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项目服务方案；</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异常事件的应急保障方案；</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项目质量的保证措施；</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项目培训方案；</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详细服务报价清单（格式见附件）；</w:t>
      </w:r>
    </w:p>
    <w:p>
      <w:pPr>
        <w:numPr>
          <w:ilvl w:val="0"/>
          <w:numId w:val="4"/>
        </w:numPr>
        <w:tabs>
          <w:tab w:val="left" w:pos="1260"/>
          <w:tab w:val="left" w:pos="1498"/>
        </w:tabs>
        <w:adjustRightInd w:val="0"/>
        <w:snapToGrid w:val="0"/>
        <w:spacing w:line="240" w:lineRule="auto"/>
        <w:ind w:firstLine="240"/>
        <w:rPr>
          <w:rFonts w:hint="eastAsia" w:ascii="宋体" w:hAnsi="宋体" w:eastAsia="宋体" w:cs="宋体"/>
          <w:b/>
          <w:bCs w:val="0"/>
          <w:color w:val="auto"/>
          <w:szCs w:val="21"/>
        </w:rPr>
      </w:pPr>
      <w:r>
        <w:rPr>
          <w:rFonts w:hint="eastAsia" w:ascii="宋体" w:hAnsi="宋体" w:eastAsia="宋体" w:cs="宋体"/>
          <w:b/>
          <w:bCs w:val="0"/>
          <w:color w:val="auto"/>
          <w:szCs w:val="21"/>
        </w:rPr>
        <w:t>本谈判文件要求提供的或谈判供应商认为必要的其他材料（如宣传彩页等）。</w:t>
      </w:r>
    </w:p>
    <w:p>
      <w:pPr>
        <w:adjustRightInd w:val="0"/>
        <w:snapToGrid w:val="0"/>
        <w:spacing w:line="240" w:lineRule="auto"/>
        <w:rPr>
          <w:rFonts w:hint="eastAsia" w:ascii="宋体" w:hAnsi="宋体" w:eastAsia="宋体" w:cs="宋体"/>
          <w:color w:val="000000"/>
          <w:szCs w:val="21"/>
        </w:rPr>
      </w:pPr>
      <w:bookmarkStart w:id="31" w:name="OLE_LINK3"/>
      <w:r>
        <w:rPr>
          <w:rFonts w:hint="eastAsia" w:ascii="宋体" w:hAnsi="宋体" w:eastAsia="宋体" w:cs="宋体"/>
          <w:color w:val="000000"/>
          <w:szCs w:val="21"/>
        </w:rPr>
        <w:t>4.1.2 谈判供应商必须保证所提供的全部资料的真实性、有效性、合法性。</w:t>
      </w:r>
      <w:bookmarkEnd w:id="31"/>
    </w:p>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4.2 谈判响应文件的编写</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4.2.1谈判供应商必须对本竞争性谈判文件的每一项要求给予实质性、唯一的响应。否则其投标将被拒绝。</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4.2.2 谈判响应文件和来往函件用中文书写，除非“技术规格”中另有规定。计量单位应使用国际单位。</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4.2.3 谈判供应商应以人民币报价。</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4.2.4 提交的谈判响应文件、技术文件和资料,应提交中文本, 谈判供应商如提交英文本时应附中文详译本, 并以中文本为准。</w:t>
      </w:r>
    </w:p>
    <w:p>
      <w:pPr>
        <w:adjustRightInd w:val="0"/>
        <w:snapToGrid w:val="0"/>
        <w:spacing w:line="240" w:lineRule="auto"/>
        <w:outlineLvl w:val="0"/>
        <w:rPr>
          <w:rFonts w:hint="eastAsia" w:ascii="宋体" w:hAnsi="宋体" w:eastAsia="宋体" w:cs="宋体"/>
          <w:b/>
          <w:color w:val="000000"/>
          <w:szCs w:val="21"/>
        </w:rPr>
      </w:pPr>
      <w:bookmarkStart w:id="32" w:name="_Toc243201839"/>
      <w:bookmarkStart w:id="33" w:name="_Toc17511"/>
      <w:bookmarkStart w:id="34" w:name="_Toc271608971"/>
      <w:bookmarkStart w:id="35" w:name="_Toc4209"/>
      <w:bookmarkStart w:id="36" w:name="_Toc271798798"/>
      <w:bookmarkStart w:id="37" w:name="_Toc243212905"/>
      <w:bookmarkStart w:id="38" w:name="_Toc188959589"/>
      <w:bookmarkStart w:id="39" w:name="_Toc7036"/>
      <w:bookmarkStart w:id="40" w:name="_Toc142881997"/>
      <w:r>
        <w:rPr>
          <w:rFonts w:hint="eastAsia" w:ascii="宋体" w:hAnsi="宋体" w:eastAsia="宋体" w:cs="宋体"/>
          <w:b/>
          <w:color w:val="000000"/>
          <w:szCs w:val="21"/>
        </w:rPr>
        <w:t>4.3 谈判响应文件的签署和印刷规定</w:t>
      </w:r>
      <w:bookmarkEnd w:id="32"/>
      <w:bookmarkEnd w:id="33"/>
      <w:bookmarkEnd w:id="34"/>
      <w:bookmarkEnd w:id="35"/>
      <w:bookmarkEnd w:id="36"/>
      <w:bookmarkEnd w:id="37"/>
      <w:bookmarkEnd w:id="38"/>
      <w:bookmarkEnd w:id="39"/>
      <w:bookmarkEnd w:id="40"/>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4.3.1谈判响应文件须打印并由谈判供应商法定代表人或其委托代理人（具有法定代表人签署的授权书）在正本封面上签字、加盖公章。谈判响应文件须加盖骑缝章。</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4.3.2谈判响应文件除签字外必须是印刷形式，其中不许有加行、涂抹或改写。若有修改须由签署谈判响应文件的授权人在修改处旁签字。副本可采用正本的复印件。</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4.3.3电报、电话、传真形式的竞争性谈判概不接受。</w:t>
      </w:r>
    </w:p>
    <w:p>
      <w:pPr>
        <w:adjustRightInd w:val="0"/>
        <w:snapToGrid w:val="0"/>
        <w:spacing w:line="240" w:lineRule="auto"/>
        <w:outlineLvl w:val="0"/>
        <w:rPr>
          <w:rFonts w:hint="eastAsia" w:ascii="宋体" w:hAnsi="宋体" w:eastAsia="宋体" w:cs="宋体"/>
          <w:b/>
          <w:color w:val="000000"/>
          <w:szCs w:val="21"/>
        </w:rPr>
      </w:pPr>
      <w:bookmarkStart w:id="41" w:name="_Toc188959590"/>
      <w:bookmarkStart w:id="42" w:name="_Toc271798799"/>
      <w:bookmarkStart w:id="43" w:name="_Toc32109"/>
      <w:bookmarkStart w:id="44" w:name="_Toc6438"/>
      <w:bookmarkStart w:id="45" w:name="_Toc243201840"/>
      <w:bookmarkStart w:id="46" w:name="_Toc142881998"/>
      <w:bookmarkStart w:id="47" w:name="_Toc22359"/>
      <w:bookmarkStart w:id="48" w:name="_Toc243212906"/>
      <w:bookmarkStart w:id="49" w:name="_Toc271608972"/>
      <w:r>
        <w:rPr>
          <w:rFonts w:hint="eastAsia" w:ascii="宋体" w:hAnsi="宋体" w:eastAsia="宋体" w:cs="宋体"/>
          <w:b/>
          <w:color w:val="000000"/>
          <w:szCs w:val="21"/>
        </w:rPr>
        <w:t>★4.4 谈判响应文件的装订、密封和标记</w:t>
      </w:r>
      <w:bookmarkEnd w:id="41"/>
      <w:bookmarkEnd w:id="42"/>
      <w:bookmarkEnd w:id="43"/>
      <w:bookmarkEnd w:id="44"/>
      <w:bookmarkEnd w:id="45"/>
      <w:bookmarkEnd w:id="46"/>
      <w:bookmarkEnd w:id="47"/>
      <w:bookmarkEnd w:id="48"/>
      <w:bookmarkEnd w:id="49"/>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4.4.1谈判供应商应准备谈判响应文件</w:t>
      </w:r>
      <w:r>
        <w:rPr>
          <w:rFonts w:hint="eastAsia" w:ascii="宋体" w:hAnsi="宋体" w:eastAsia="宋体" w:cs="宋体"/>
          <w:b/>
          <w:color w:val="000000"/>
          <w:szCs w:val="21"/>
          <w:u w:val="single"/>
        </w:rPr>
        <w:t>正本一份</w:t>
      </w:r>
      <w:r>
        <w:rPr>
          <w:rFonts w:hint="eastAsia" w:ascii="宋体" w:hAnsi="宋体" w:eastAsia="宋体" w:cs="宋体"/>
          <w:color w:val="000000"/>
          <w:szCs w:val="21"/>
          <w:u w:val="single"/>
        </w:rPr>
        <w:t>，</w:t>
      </w:r>
      <w:r>
        <w:rPr>
          <w:rFonts w:hint="eastAsia" w:ascii="宋体" w:hAnsi="宋体" w:eastAsia="宋体" w:cs="宋体"/>
          <w:b/>
          <w:color w:val="000000"/>
          <w:szCs w:val="21"/>
          <w:u w:val="single"/>
        </w:rPr>
        <w:t>副本五份</w:t>
      </w:r>
      <w:r>
        <w:rPr>
          <w:rFonts w:hint="eastAsia" w:ascii="宋体" w:hAnsi="宋体" w:eastAsia="宋体" w:cs="宋体"/>
          <w:color w:val="000000"/>
          <w:szCs w:val="21"/>
        </w:rPr>
        <w:t>，在每一份谈判响应文件封面上要明确注明采购编号、项目名称、谈判供应商名称、“正本”或“副本”字样。一旦正本和副本内容有差异，以正本为准；</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4.4.2谈判供应商应将谈判响应文件“正本”和“副本”中的文件应按顺序分别编制。</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4.4.3正本封装于一个包装内，所有副本一齐封装于另一包装内，所有包装的封面须注明“正本”或“副本”，包装的封口密封处加盖公章，并注明“于</w:t>
      </w:r>
      <w:r>
        <w:rPr>
          <w:rFonts w:hint="eastAsia" w:ascii="宋体" w:hAnsi="宋体" w:eastAsia="宋体" w:cs="宋体"/>
          <w:color w:val="000000"/>
          <w:szCs w:val="21"/>
          <w:u w:val="single"/>
        </w:rPr>
        <w:t>20XX</w:t>
      </w:r>
      <w:r>
        <w:rPr>
          <w:rFonts w:hint="eastAsia" w:ascii="宋体" w:hAnsi="宋体" w:eastAsia="宋体" w:cs="宋体"/>
          <w:color w:val="000000"/>
          <w:szCs w:val="21"/>
        </w:rPr>
        <w:t>年</w:t>
      </w:r>
      <w:r>
        <w:rPr>
          <w:rFonts w:hint="eastAsia" w:ascii="宋体" w:hAnsi="宋体" w:eastAsia="宋体" w:cs="宋体"/>
          <w:color w:val="000000"/>
          <w:szCs w:val="21"/>
          <w:u w:val="single"/>
        </w:rPr>
        <w:t>X</w:t>
      </w:r>
      <w:r>
        <w:rPr>
          <w:rFonts w:hint="eastAsia" w:ascii="宋体" w:hAnsi="宋体" w:eastAsia="宋体" w:cs="宋体"/>
          <w:color w:val="000000"/>
          <w:szCs w:val="21"/>
        </w:rPr>
        <w:t>月</w:t>
      </w:r>
      <w:r>
        <w:rPr>
          <w:rFonts w:hint="eastAsia" w:ascii="宋体" w:hAnsi="宋体" w:eastAsia="宋体" w:cs="宋体"/>
          <w:color w:val="000000"/>
          <w:szCs w:val="21"/>
          <w:u w:val="single"/>
        </w:rPr>
        <w:t>XX</w:t>
      </w:r>
      <w:r>
        <w:rPr>
          <w:rFonts w:hint="eastAsia" w:ascii="宋体" w:hAnsi="宋体" w:eastAsia="宋体" w:cs="宋体"/>
          <w:color w:val="000000"/>
          <w:szCs w:val="21"/>
        </w:rPr>
        <w:t>日开标之前不得启封”的字样，并在包装面作具体标识：采购编号、项目名称、谈判时间、谈判地点、采购人名称、谈判供应商名称。</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4.4.4为方便谈判，谈判供应商应将谈判响应文件中的“</w:t>
      </w:r>
      <w:r>
        <w:rPr>
          <w:rFonts w:hint="eastAsia" w:ascii="宋体" w:hAnsi="宋体" w:eastAsia="宋体" w:cs="宋体"/>
          <w:b/>
          <w:color w:val="000000"/>
          <w:szCs w:val="21"/>
        </w:rPr>
        <w:t>开标一览表”另外单独密封于一个</w:t>
      </w:r>
      <w:bookmarkStart w:id="50" w:name="OLE_LINK7"/>
      <w:r>
        <w:rPr>
          <w:rFonts w:hint="eastAsia" w:ascii="宋体" w:hAnsi="宋体" w:eastAsia="宋体" w:cs="宋体"/>
          <w:b/>
          <w:color w:val="000000"/>
          <w:szCs w:val="21"/>
        </w:rPr>
        <w:t>包装袋</w:t>
      </w:r>
      <w:bookmarkEnd w:id="50"/>
      <w:r>
        <w:rPr>
          <w:rFonts w:hint="eastAsia" w:ascii="宋体" w:hAnsi="宋体" w:eastAsia="宋体" w:cs="宋体"/>
          <w:b/>
          <w:color w:val="000000"/>
          <w:szCs w:val="21"/>
        </w:rPr>
        <w:t>内（此包装袋单独递交）</w:t>
      </w:r>
      <w:r>
        <w:rPr>
          <w:rFonts w:hint="eastAsia" w:ascii="宋体" w:hAnsi="宋体" w:eastAsia="宋体" w:cs="宋体"/>
          <w:color w:val="000000"/>
          <w:szCs w:val="21"/>
        </w:rPr>
        <w:t>。在封口密封处加盖公章，并注明“于</w:t>
      </w:r>
      <w:r>
        <w:rPr>
          <w:rFonts w:hint="eastAsia" w:ascii="宋体" w:hAnsi="宋体" w:eastAsia="宋体" w:cs="宋体"/>
          <w:color w:val="000000"/>
          <w:szCs w:val="21"/>
          <w:u w:val="single"/>
        </w:rPr>
        <w:t>20XX</w:t>
      </w:r>
      <w:r>
        <w:rPr>
          <w:rFonts w:hint="eastAsia" w:ascii="宋体" w:hAnsi="宋体" w:eastAsia="宋体" w:cs="宋体"/>
          <w:color w:val="000000"/>
          <w:szCs w:val="21"/>
        </w:rPr>
        <w:t>年</w:t>
      </w:r>
      <w:r>
        <w:rPr>
          <w:rFonts w:hint="eastAsia" w:ascii="宋体" w:hAnsi="宋体" w:eastAsia="宋体" w:cs="宋体"/>
          <w:color w:val="000000"/>
          <w:szCs w:val="21"/>
          <w:u w:val="single"/>
        </w:rPr>
        <w:t>X</w:t>
      </w:r>
      <w:r>
        <w:rPr>
          <w:rFonts w:hint="eastAsia" w:ascii="宋体" w:hAnsi="宋体" w:eastAsia="宋体" w:cs="宋体"/>
          <w:color w:val="000000"/>
          <w:szCs w:val="21"/>
        </w:rPr>
        <w:t>月</w:t>
      </w:r>
      <w:r>
        <w:rPr>
          <w:rFonts w:hint="eastAsia" w:ascii="宋体" w:hAnsi="宋体" w:eastAsia="宋体" w:cs="宋体"/>
          <w:color w:val="000000"/>
          <w:szCs w:val="21"/>
          <w:u w:val="single"/>
        </w:rPr>
        <w:t>XX</w:t>
      </w:r>
      <w:r>
        <w:rPr>
          <w:rFonts w:hint="eastAsia" w:ascii="宋体" w:hAnsi="宋体" w:eastAsia="宋体" w:cs="宋体"/>
          <w:color w:val="000000"/>
          <w:szCs w:val="21"/>
        </w:rPr>
        <w:t>日开标之前不得启封”的字样，在该信封上标明“开标一览表”字样，并作具体标识：采购编号、项目名称、谈判时间、谈判地点、采购人名称、谈判供应商名称。</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4.4.5为方便专家评标整本标书请标注统一的页码，非电子文档（各种资质、成功案例合同、财务报表等复印件）可以手工填上统一的页码。</w:t>
      </w:r>
    </w:p>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4.5谈判响应文件的递交</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谈判供应商将谈判响应文件按上述规定进行密封和标记后，按谈判时间，由谈判供应商亲自带到谈判地点。</w:t>
      </w:r>
    </w:p>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4.6谈判响应文件的有效期</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谈判响应文件从投标截止之日起，有效期为90天。</w:t>
      </w:r>
    </w:p>
    <w:p>
      <w:pPr>
        <w:pStyle w:val="23"/>
        <w:snapToGrid w:val="0"/>
        <w:spacing w:beforeLines="0" w:afterLines="0" w:line="240" w:lineRule="auto"/>
        <w:rPr>
          <w:rFonts w:hint="eastAsia" w:ascii="宋体" w:hAnsi="宋体" w:eastAsia="宋体" w:cs="宋体"/>
          <w:color w:val="000000"/>
          <w:sz w:val="21"/>
          <w:szCs w:val="21"/>
        </w:rPr>
      </w:pPr>
      <w:bookmarkStart w:id="51" w:name="_Toc271798800"/>
      <w:bookmarkStart w:id="52" w:name="_Toc142370535"/>
      <w:r>
        <w:rPr>
          <w:rFonts w:hint="eastAsia" w:ascii="宋体" w:hAnsi="宋体" w:eastAsia="宋体" w:cs="宋体"/>
          <w:b/>
          <w:color w:val="000000"/>
          <w:sz w:val="21"/>
          <w:szCs w:val="21"/>
        </w:rPr>
        <w:t>★</w:t>
      </w:r>
      <w:r>
        <w:rPr>
          <w:rFonts w:hint="eastAsia" w:ascii="宋体" w:hAnsi="宋体" w:eastAsia="宋体" w:cs="宋体"/>
          <w:color w:val="000000"/>
          <w:sz w:val="21"/>
          <w:szCs w:val="21"/>
        </w:rPr>
        <w:t>5．关于谈判保证金</w:t>
      </w:r>
      <w:bookmarkEnd w:id="51"/>
      <w:bookmarkEnd w:id="52"/>
      <w:r>
        <w:rPr>
          <w:rFonts w:hint="eastAsia" w:ascii="宋体" w:hAnsi="宋体" w:eastAsia="宋体" w:cs="宋体"/>
          <w:b/>
          <w:color w:val="FF0000"/>
          <w:sz w:val="21"/>
          <w:szCs w:val="21"/>
          <w:u w:val="single"/>
        </w:rPr>
        <w:t>（本项目不要求谈判保证金）</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5.1 竞争性谈判保证金为谈判响应文件的组成部分。</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5.2 谈判供应商须在</w:t>
      </w:r>
      <w:r>
        <w:rPr>
          <w:rFonts w:hint="eastAsia" w:ascii="宋体" w:hAnsi="宋体" w:eastAsia="宋体" w:cs="宋体"/>
          <w:b/>
          <w:color w:val="000000"/>
          <w:szCs w:val="21"/>
        </w:rPr>
        <w:t>XXXX年</w:t>
      </w:r>
      <w:r>
        <w:rPr>
          <w:rFonts w:hint="eastAsia" w:ascii="宋体" w:hAnsi="宋体" w:eastAsia="宋体" w:cs="宋体"/>
          <w:b/>
          <w:color w:val="000000"/>
          <w:szCs w:val="21"/>
          <w:lang w:val="zh-CN"/>
        </w:rPr>
        <w:t>XX</w:t>
      </w:r>
      <w:r>
        <w:rPr>
          <w:rFonts w:hint="eastAsia" w:ascii="宋体" w:hAnsi="宋体" w:eastAsia="宋体" w:cs="宋体"/>
          <w:b/>
          <w:color w:val="000000"/>
          <w:szCs w:val="21"/>
        </w:rPr>
        <w:t>月XX日X时XX分</w:t>
      </w:r>
      <w:r>
        <w:rPr>
          <w:rFonts w:hint="eastAsia" w:ascii="宋体" w:hAnsi="宋体" w:eastAsia="宋体" w:cs="宋体"/>
          <w:color w:val="000000"/>
          <w:szCs w:val="21"/>
        </w:rPr>
        <w:t>前递交投标保证金</w:t>
      </w:r>
      <w:r>
        <w:rPr>
          <w:rFonts w:hint="eastAsia" w:ascii="宋体" w:hAnsi="宋体" w:eastAsia="宋体" w:cs="宋体"/>
          <w:b/>
          <w:color w:val="000000"/>
          <w:szCs w:val="21"/>
        </w:rPr>
        <w:t xml:space="preserve">人民币  </w:t>
      </w:r>
      <w:r>
        <w:rPr>
          <w:rFonts w:hint="eastAsia" w:ascii="宋体" w:hAnsi="宋体" w:eastAsia="宋体" w:cs="宋体"/>
          <w:b/>
          <w:color w:val="000000"/>
          <w:szCs w:val="21"/>
          <w:u w:val="single"/>
        </w:rPr>
        <w:t>元整</w:t>
      </w:r>
      <w:r>
        <w:rPr>
          <w:rFonts w:hint="eastAsia" w:ascii="宋体" w:hAnsi="宋体" w:eastAsia="宋体" w:cs="宋体"/>
          <w:b/>
          <w:color w:val="000000"/>
          <w:szCs w:val="21"/>
        </w:rPr>
        <w:t>（￥  元）</w:t>
      </w:r>
      <w:r>
        <w:rPr>
          <w:rFonts w:hint="eastAsia" w:ascii="宋体" w:hAnsi="宋体" w:eastAsia="宋体" w:cs="宋体"/>
          <w:color w:val="000000"/>
          <w:szCs w:val="21"/>
        </w:rPr>
        <w:t>，以投标保证金到达采购人指定帐户，并经采购人确认为准。</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5.3投标保证金以银行本票、汇票、保付支票、汇款或现金等形式交纳。</w:t>
      </w:r>
    </w:p>
    <w:p>
      <w:pPr>
        <w:snapToGrid w:val="0"/>
        <w:spacing w:line="240" w:lineRule="auto"/>
        <w:ind w:left="709"/>
        <w:rPr>
          <w:rFonts w:hint="eastAsia" w:ascii="宋体" w:hAnsi="宋体" w:eastAsia="宋体" w:cs="宋体"/>
          <w:b/>
          <w:color w:val="000000"/>
          <w:sz w:val="21"/>
          <w:szCs w:val="21"/>
          <w:u w:val="single"/>
        </w:rPr>
      </w:pPr>
      <w:r>
        <w:rPr>
          <w:rFonts w:hint="eastAsia" w:ascii="宋体" w:hAnsi="宋体" w:eastAsia="宋体" w:cs="宋体"/>
          <w:b/>
          <w:color w:val="000000"/>
          <w:sz w:val="21"/>
          <w:szCs w:val="21"/>
          <w:u w:val="single"/>
        </w:rPr>
        <w:t>账户名称：</w:t>
      </w:r>
      <w:r>
        <w:rPr>
          <w:rFonts w:hint="eastAsia" w:ascii="宋体" w:hAnsi="宋体" w:eastAsia="宋体" w:cs="宋体"/>
          <w:b/>
          <w:color w:val="000000"/>
          <w:sz w:val="21"/>
          <w:szCs w:val="21"/>
          <w:u w:val="single"/>
          <w:lang w:eastAsia="zh-CN"/>
        </w:rPr>
        <w:t>深圳市设计之都运营发展有限公司</w:t>
      </w:r>
      <w:r>
        <w:rPr>
          <w:rFonts w:hint="eastAsia" w:ascii="宋体" w:hAnsi="宋体" w:eastAsia="宋体" w:cs="宋体"/>
          <w:b/>
          <w:color w:val="000000"/>
          <w:sz w:val="21"/>
          <w:szCs w:val="21"/>
          <w:u w:val="single"/>
        </w:rPr>
        <w:br w:type="textWrapping"/>
      </w:r>
      <w:r>
        <w:rPr>
          <w:rFonts w:hint="eastAsia" w:ascii="宋体" w:hAnsi="宋体" w:eastAsia="宋体" w:cs="宋体"/>
          <w:b/>
          <w:color w:val="000000"/>
          <w:sz w:val="21"/>
          <w:szCs w:val="21"/>
          <w:u w:val="single"/>
        </w:rPr>
        <w:t>账户号码：338200100100051632</w:t>
      </w:r>
      <w:r>
        <w:rPr>
          <w:rFonts w:hint="eastAsia" w:ascii="宋体" w:hAnsi="宋体" w:eastAsia="宋体" w:cs="宋体"/>
          <w:b/>
          <w:color w:val="000000"/>
          <w:sz w:val="21"/>
          <w:szCs w:val="21"/>
          <w:u w:val="single"/>
        </w:rPr>
        <w:br w:type="textWrapping"/>
      </w:r>
      <w:r>
        <w:rPr>
          <w:rFonts w:hint="eastAsia" w:ascii="宋体" w:hAnsi="宋体" w:eastAsia="宋体" w:cs="宋体"/>
          <w:b/>
          <w:color w:val="000000"/>
          <w:sz w:val="21"/>
          <w:szCs w:val="21"/>
          <w:u w:val="single"/>
        </w:rPr>
        <w:t>开户银行：兴业银行深圳民治支行 </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5.4未按规定提交谈判保证金的投标，将被视为无效竞争性谈判。</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5.5未中标的谈判供应商的保证金，在中标通知书发出后 5 个工作日内予以无息退还。</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5.6中标的谈判供应商的投标保证金，在采购合同签订后 5个工作日内无息退还，同时结算中标服务费。</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5.7 谈判供应商因自身因素逾期未向采购人办理退还保证金手续的，采购人不承担任何利率费用。</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5.8下列情况之一发生，保证金将被不予退回：</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5.8.1谈判供应商已递交投标书，并在投标截止时间之后，谈判响应文件有效期满之前，撤回其谈判响应文件；</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5.8.2中标后，成交供应商不按中标的谈判结果签订合同，视为放弃成交；</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5.8.3</w:t>
      </w:r>
      <w:r>
        <w:rPr>
          <w:rFonts w:hint="eastAsia" w:ascii="宋体" w:hAnsi="宋体" w:eastAsia="宋体" w:cs="宋体"/>
          <w:bCs/>
          <w:color w:val="000000"/>
          <w:szCs w:val="21"/>
        </w:rPr>
        <w:t>放弃竞争性谈判的</w:t>
      </w:r>
      <w:r>
        <w:rPr>
          <w:rFonts w:hint="eastAsia" w:ascii="宋体" w:hAnsi="宋体" w:eastAsia="宋体" w:cs="宋体"/>
          <w:color w:val="000000"/>
          <w:szCs w:val="21"/>
        </w:rPr>
        <w:t>谈判供应商</w:t>
      </w:r>
      <w:r>
        <w:rPr>
          <w:rFonts w:hint="eastAsia" w:ascii="宋体" w:hAnsi="宋体" w:eastAsia="宋体" w:cs="宋体"/>
          <w:bCs/>
          <w:color w:val="000000"/>
          <w:szCs w:val="21"/>
        </w:rPr>
        <w:t>在开标前三日未书面通知采购人的</w:t>
      </w:r>
      <w:r>
        <w:rPr>
          <w:rFonts w:hint="eastAsia" w:ascii="宋体" w:hAnsi="宋体" w:eastAsia="宋体" w:cs="宋体"/>
          <w:color w:val="000000"/>
          <w:szCs w:val="21"/>
        </w:rPr>
        <w:t>；</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5.8.4在竞争性谈判期间用不正当手段影响评标结果。</w:t>
      </w:r>
    </w:p>
    <w:p>
      <w:pPr>
        <w:pStyle w:val="23"/>
        <w:snapToGrid w:val="0"/>
        <w:spacing w:beforeLines="0" w:afterLines="0" w:line="240" w:lineRule="auto"/>
        <w:outlineLvl w:val="1"/>
        <w:rPr>
          <w:rFonts w:hint="eastAsia" w:ascii="宋体" w:hAnsi="宋体" w:eastAsia="宋体" w:cs="宋体"/>
          <w:color w:val="000000"/>
          <w:sz w:val="21"/>
          <w:szCs w:val="21"/>
        </w:rPr>
      </w:pPr>
      <w:bookmarkStart w:id="53" w:name="_Toc142370536"/>
      <w:bookmarkStart w:id="54" w:name="_Toc26154"/>
      <w:bookmarkStart w:id="55" w:name="_Toc271798801"/>
      <w:bookmarkStart w:id="56" w:name="_Toc32079"/>
      <w:r>
        <w:rPr>
          <w:rFonts w:hint="eastAsia" w:ascii="宋体" w:hAnsi="宋体" w:eastAsia="宋体" w:cs="宋体"/>
          <w:color w:val="000000"/>
          <w:sz w:val="21"/>
          <w:szCs w:val="21"/>
        </w:rPr>
        <w:t>6</w:t>
      </w:r>
      <w:r>
        <w:rPr>
          <w:rFonts w:hint="eastAsia" w:ascii="宋体" w:hAnsi="宋体" w:eastAsia="宋体" w:cs="宋体"/>
          <w:color w:val="000000"/>
          <w:kern w:val="2"/>
          <w:sz w:val="21"/>
          <w:szCs w:val="21"/>
        </w:rPr>
        <w:t>．关于竞争性谈判和竞争性谈判费用</w:t>
      </w:r>
      <w:bookmarkEnd w:id="53"/>
      <w:bookmarkEnd w:id="54"/>
      <w:bookmarkEnd w:id="55"/>
      <w:bookmarkEnd w:id="56"/>
    </w:p>
    <w:p>
      <w:pPr>
        <w:adjustRightInd w:val="0"/>
        <w:snapToGrid w:val="0"/>
        <w:spacing w:line="240" w:lineRule="auto"/>
        <w:ind w:left="476"/>
        <w:rPr>
          <w:rFonts w:hint="eastAsia" w:ascii="宋体" w:hAnsi="宋体" w:eastAsia="宋体" w:cs="宋体"/>
          <w:b/>
          <w:color w:val="000000"/>
          <w:szCs w:val="21"/>
        </w:rPr>
      </w:pPr>
      <w:r>
        <w:rPr>
          <w:rFonts w:hint="eastAsia" w:ascii="宋体" w:hAnsi="宋体" w:eastAsia="宋体" w:cs="宋体"/>
          <w:color w:val="000000"/>
          <w:szCs w:val="21"/>
        </w:rPr>
        <w:t>谈判供应商自行承担各种原因所致的所有参加竞争性谈判有关的费用。</w:t>
      </w:r>
      <w:r>
        <w:rPr>
          <w:rFonts w:hint="eastAsia" w:ascii="宋体" w:hAnsi="宋体" w:eastAsia="宋体" w:cs="宋体"/>
          <w:b/>
          <w:color w:val="000000"/>
          <w:szCs w:val="21"/>
        </w:rPr>
        <w:tab/>
      </w:r>
    </w:p>
    <w:p>
      <w:pPr>
        <w:pStyle w:val="23"/>
        <w:snapToGrid w:val="0"/>
        <w:spacing w:beforeLines="0" w:afterLines="0" w:line="240" w:lineRule="auto"/>
        <w:outlineLvl w:val="1"/>
        <w:rPr>
          <w:rFonts w:hint="eastAsia" w:ascii="宋体" w:hAnsi="宋体" w:eastAsia="宋体" w:cs="宋体"/>
          <w:color w:val="000000"/>
          <w:sz w:val="21"/>
          <w:szCs w:val="21"/>
        </w:rPr>
      </w:pPr>
      <w:bookmarkStart w:id="57" w:name="_Toc271798802"/>
      <w:bookmarkStart w:id="58" w:name="_Toc142370537"/>
      <w:bookmarkStart w:id="59" w:name="_Toc27622"/>
      <w:bookmarkStart w:id="60" w:name="_Toc7673"/>
      <w:r>
        <w:rPr>
          <w:rFonts w:hint="eastAsia" w:ascii="宋体" w:hAnsi="宋体" w:eastAsia="宋体" w:cs="宋体"/>
          <w:color w:val="000000"/>
          <w:sz w:val="21"/>
          <w:szCs w:val="21"/>
        </w:rPr>
        <w:t>7．关于</w:t>
      </w:r>
      <w:bookmarkEnd w:id="57"/>
      <w:bookmarkEnd w:id="58"/>
      <w:r>
        <w:rPr>
          <w:rFonts w:hint="eastAsia" w:ascii="宋体" w:hAnsi="宋体" w:eastAsia="宋体" w:cs="宋体"/>
          <w:color w:val="000000"/>
          <w:sz w:val="21"/>
          <w:szCs w:val="21"/>
        </w:rPr>
        <w:t>竞争性谈判</w:t>
      </w:r>
      <w:bookmarkEnd w:id="59"/>
      <w:bookmarkEnd w:id="60"/>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7.1采购人按竞争性谈判文件中规定的时间和地点谈判。</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 xml:space="preserve">7.2竞争性谈判截止时如前来参加竞争性谈判的谈判供应商少于二家，采购人有权宣布此次竞争性谈判无效，重新组织采购； </w:t>
      </w:r>
    </w:p>
    <w:p>
      <w:pPr>
        <w:pStyle w:val="23"/>
        <w:snapToGrid w:val="0"/>
        <w:spacing w:beforeLines="0" w:afterLines="0" w:line="240" w:lineRule="auto"/>
        <w:outlineLvl w:val="1"/>
        <w:rPr>
          <w:rFonts w:hint="eastAsia" w:ascii="宋体" w:hAnsi="宋体" w:eastAsia="宋体" w:cs="宋体"/>
          <w:color w:val="000000"/>
          <w:sz w:val="21"/>
          <w:szCs w:val="21"/>
        </w:rPr>
      </w:pPr>
      <w:bookmarkStart w:id="61" w:name="_Toc271798803"/>
      <w:bookmarkStart w:id="62" w:name="_Toc28108"/>
      <w:bookmarkStart w:id="63" w:name="_Toc26300"/>
      <w:bookmarkStart w:id="64" w:name="_Toc142370538"/>
      <w:r>
        <w:rPr>
          <w:rFonts w:hint="eastAsia" w:ascii="宋体" w:hAnsi="宋体" w:eastAsia="宋体" w:cs="宋体"/>
          <w:color w:val="000000"/>
          <w:sz w:val="21"/>
          <w:szCs w:val="21"/>
        </w:rPr>
        <w:t>8．关于评标</w:t>
      </w:r>
      <w:bookmarkEnd w:id="61"/>
      <w:bookmarkEnd w:id="62"/>
      <w:bookmarkEnd w:id="63"/>
      <w:bookmarkEnd w:id="64"/>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8.1评标是谈判工作的重要环节，评标工作在谈判小组内独立进行。</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8.2在竞争性谈判期间，谈判供应商不得向谈判小组询问情况，不得进行旨在影响评标结果的活动。</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8.3谈判小组不向落标方解释落标原因，不退还谈判响应文件。</w:t>
      </w:r>
    </w:p>
    <w:p>
      <w:pPr>
        <w:pStyle w:val="23"/>
        <w:snapToGrid w:val="0"/>
        <w:spacing w:beforeLines="0" w:afterLines="0" w:line="240" w:lineRule="auto"/>
        <w:outlineLvl w:val="1"/>
        <w:rPr>
          <w:rFonts w:hint="eastAsia" w:ascii="宋体" w:hAnsi="宋体" w:eastAsia="宋体" w:cs="宋体"/>
          <w:color w:val="000000"/>
          <w:sz w:val="21"/>
          <w:szCs w:val="21"/>
        </w:rPr>
      </w:pPr>
      <w:bookmarkStart w:id="65" w:name="_Toc271798804"/>
      <w:bookmarkStart w:id="66" w:name="_Toc25214"/>
      <w:bookmarkStart w:id="67" w:name="_Toc142370539"/>
      <w:bookmarkStart w:id="68" w:name="_Toc10524"/>
      <w:r>
        <w:rPr>
          <w:rFonts w:hint="eastAsia" w:ascii="宋体" w:hAnsi="宋体" w:eastAsia="宋体" w:cs="宋体"/>
          <w:color w:val="000000"/>
          <w:sz w:val="21"/>
          <w:szCs w:val="21"/>
        </w:rPr>
        <w:t>9．关于定标</w:t>
      </w:r>
      <w:bookmarkEnd w:id="65"/>
      <w:bookmarkEnd w:id="66"/>
      <w:bookmarkEnd w:id="67"/>
      <w:bookmarkEnd w:id="68"/>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9.1谈判小组根据符合性审查、报价部分、商务、技术方案说明部分的评估结果进行综合评比。</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9.5成交供应商确定后，将发布公示，公示无异议后，向成交供应商发出中标通知书。</w:t>
      </w:r>
    </w:p>
    <w:p>
      <w:pPr>
        <w:pStyle w:val="23"/>
        <w:snapToGrid w:val="0"/>
        <w:spacing w:beforeLines="0" w:afterLines="0" w:line="240" w:lineRule="auto"/>
        <w:outlineLvl w:val="1"/>
        <w:rPr>
          <w:rFonts w:hint="eastAsia" w:ascii="宋体" w:hAnsi="宋体" w:eastAsia="宋体" w:cs="宋体"/>
          <w:color w:val="000000"/>
          <w:sz w:val="21"/>
          <w:szCs w:val="21"/>
        </w:rPr>
      </w:pPr>
      <w:bookmarkStart w:id="69" w:name="_Toc142370540"/>
      <w:bookmarkStart w:id="70" w:name="_Toc30004"/>
      <w:bookmarkStart w:id="71" w:name="_Toc14889"/>
      <w:bookmarkStart w:id="72" w:name="_Toc271798805"/>
      <w:r>
        <w:rPr>
          <w:rFonts w:hint="eastAsia" w:ascii="宋体" w:hAnsi="宋体" w:eastAsia="宋体" w:cs="宋体"/>
          <w:color w:val="000000"/>
          <w:sz w:val="21"/>
          <w:szCs w:val="21"/>
        </w:rPr>
        <w:t>10．关于废标和竞争性谈判失败</w:t>
      </w:r>
      <w:bookmarkEnd w:id="69"/>
      <w:bookmarkEnd w:id="70"/>
      <w:bookmarkEnd w:id="71"/>
      <w:bookmarkEnd w:id="72"/>
    </w:p>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10.1有下列情况之一出现的谈判响应文件，将做废标处理：</w:t>
      </w:r>
    </w:p>
    <w:p>
      <w:pPr>
        <w:pStyle w:val="9"/>
        <w:snapToGrid w:val="0"/>
        <w:spacing w:line="240" w:lineRule="auto"/>
        <w:ind w:left="1155" w:leftChars="200" w:hanging="735" w:hangingChars="350"/>
        <w:rPr>
          <w:rFonts w:hint="eastAsia" w:hAnsi="宋体" w:cs="宋体"/>
          <w:color w:val="000000"/>
          <w:sz w:val="21"/>
          <w:szCs w:val="21"/>
        </w:rPr>
      </w:pPr>
      <w:bookmarkStart w:id="73" w:name="_Toc142882005"/>
      <w:r>
        <w:rPr>
          <w:rFonts w:hint="eastAsia" w:hAnsi="宋体" w:cs="宋体"/>
          <w:color w:val="000000"/>
          <w:sz w:val="21"/>
          <w:szCs w:val="21"/>
        </w:rPr>
        <w:t>10.1.1 谈判响应文件未按谈判文件第二部分“谈判供应商须知”第4.4条款的内容密封和标记；</w:t>
      </w:r>
      <w:bookmarkEnd w:id="73"/>
      <w:r>
        <w:rPr>
          <w:rFonts w:hint="eastAsia" w:hAnsi="宋体" w:cs="宋体"/>
          <w:color w:val="000000"/>
          <w:sz w:val="21"/>
          <w:szCs w:val="21"/>
        </w:rPr>
        <w:t xml:space="preserve"> </w:t>
      </w:r>
    </w:p>
    <w:p>
      <w:pPr>
        <w:pStyle w:val="9"/>
        <w:snapToGrid w:val="0"/>
        <w:spacing w:line="240" w:lineRule="auto"/>
        <w:ind w:left="1155" w:leftChars="200" w:hanging="735" w:hangingChars="350"/>
        <w:rPr>
          <w:rFonts w:hint="eastAsia" w:hAnsi="宋体" w:cs="宋体"/>
          <w:color w:val="000000"/>
          <w:sz w:val="21"/>
          <w:szCs w:val="21"/>
        </w:rPr>
      </w:pPr>
      <w:r>
        <w:rPr>
          <w:rFonts w:hint="eastAsia" w:hAnsi="宋体" w:cs="宋体"/>
          <w:color w:val="000000"/>
          <w:sz w:val="21"/>
          <w:szCs w:val="21"/>
        </w:rPr>
        <w:t>10.1.2 未按谈判文件要求的规定提供法定代表人或法定代表人委托的代理人的私人印鉴或签字；</w:t>
      </w:r>
    </w:p>
    <w:p>
      <w:pPr>
        <w:pStyle w:val="9"/>
        <w:snapToGrid w:val="0"/>
        <w:spacing w:line="240" w:lineRule="auto"/>
        <w:ind w:firstLine="420" w:firstLineChars="200"/>
        <w:rPr>
          <w:rFonts w:hint="eastAsia" w:hAnsi="宋体" w:cs="宋体"/>
          <w:color w:val="000000"/>
          <w:sz w:val="21"/>
          <w:szCs w:val="21"/>
        </w:rPr>
      </w:pPr>
      <w:bookmarkStart w:id="74" w:name="_Toc142882006"/>
      <w:r>
        <w:rPr>
          <w:rFonts w:hint="eastAsia" w:hAnsi="宋体" w:cs="宋体"/>
          <w:color w:val="000000"/>
          <w:sz w:val="21"/>
          <w:szCs w:val="21"/>
        </w:rPr>
        <w:t>10.1.3 未按谈判文件要求的规定加盖公章的；</w:t>
      </w:r>
      <w:bookmarkEnd w:id="74"/>
    </w:p>
    <w:p>
      <w:pPr>
        <w:pStyle w:val="9"/>
        <w:snapToGrid w:val="0"/>
        <w:spacing w:line="240" w:lineRule="auto"/>
        <w:ind w:firstLine="420" w:firstLineChars="200"/>
        <w:rPr>
          <w:rFonts w:hint="eastAsia" w:hAnsi="宋体" w:cs="宋体"/>
          <w:color w:val="000000"/>
          <w:sz w:val="21"/>
          <w:szCs w:val="21"/>
        </w:rPr>
      </w:pPr>
      <w:bookmarkStart w:id="75" w:name="_Toc142882007"/>
      <w:r>
        <w:rPr>
          <w:rFonts w:hint="eastAsia" w:hAnsi="宋体" w:cs="宋体"/>
          <w:color w:val="000000"/>
          <w:sz w:val="21"/>
          <w:szCs w:val="21"/>
        </w:rPr>
        <w:t>10.1.4 谈判响应文件未对竞争性谈判文件作出完全的响应导致无效；</w:t>
      </w:r>
      <w:bookmarkEnd w:id="75"/>
    </w:p>
    <w:p>
      <w:pPr>
        <w:pStyle w:val="9"/>
        <w:snapToGrid w:val="0"/>
        <w:spacing w:line="240" w:lineRule="auto"/>
        <w:ind w:firstLine="420" w:firstLineChars="200"/>
        <w:rPr>
          <w:rFonts w:hint="eastAsia" w:hAnsi="宋体" w:cs="宋体"/>
          <w:color w:val="000000"/>
          <w:sz w:val="21"/>
          <w:szCs w:val="21"/>
        </w:rPr>
      </w:pPr>
      <w:bookmarkStart w:id="76" w:name="_Toc142882008"/>
      <w:r>
        <w:rPr>
          <w:rFonts w:hint="eastAsia" w:hAnsi="宋体" w:cs="宋体"/>
          <w:color w:val="000000"/>
          <w:sz w:val="21"/>
          <w:szCs w:val="21"/>
        </w:rPr>
        <w:t>10.1.5 竞争性谈判报价超过最高限价或低于合理成本价；</w:t>
      </w:r>
      <w:bookmarkEnd w:id="76"/>
    </w:p>
    <w:p>
      <w:pPr>
        <w:pStyle w:val="9"/>
        <w:snapToGrid w:val="0"/>
        <w:spacing w:line="240" w:lineRule="auto"/>
        <w:ind w:firstLine="420" w:firstLineChars="200"/>
        <w:rPr>
          <w:rFonts w:hint="eastAsia" w:hAnsi="宋体" w:cs="宋体"/>
          <w:color w:val="000000"/>
          <w:sz w:val="21"/>
          <w:szCs w:val="21"/>
        </w:rPr>
      </w:pPr>
      <w:bookmarkStart w:id="77" w:name="_Toc142882009"/>
      <w:r>
        <w:rPr>
          <w:rFonts w:hint="eastAsia" w:hAnsi="宋体" w:cs="宋体"/>
          <w:color w:val="000000"/>
          <w:sz w:val="21"/>
          <w:szCs w:val="21"/>
        </w:rPr>
        <w:t>10.1.6 谈判供应商未按规定提交投标保证金的；</w:t>
      </w:r>
      <w:bookmarkEnd w:id="77"/>
    </w:p>
    <w:p>
      <w:pPr>
        <w:pStyle w:val="9"/>
        <w:snapToGrid w:val="0"/>
        <w:spacing w:line="240" w:lineRule="auto"/>
        <w:ind w:firstLine="420" w:firstLineChars="200"/>
        <w:rPr>
          <w:rFonts w:hint="eastAsia" w:hAnsi="宋体" w:cs="宋体"/>
          <w:color w:val="000000"/>
          <w:sz w:val="21"/>
          <w:szCs w:val="21"/>
        </w:rPr>
      </w:pPr>
      <w:bookmarkStart w:id="78" w:name="_Toc142882010"/>
      <w:r>
        <w:rPr>
          <w:rFonts w:hint="eastAsia" w:hAnsi="宋体" w:cs="宋体"/>
          <w:color w:val="000000"/>
          <w:sz w:val="21"/>
          <w:szCs w:val="21"/>
        </w:rPr>
        <w:t>10.1.7 未通过符合性审查的；</w:t>
      </w:r>
      <w:bookmarkEnd w:id="78"/>
    </w:p>
    <w:p>
      <w:pPr>
        <w:pStyle w:val="9"/>
        <w:snapToGrid w:val="0"/>
        <w:spacing w:line="240" w:lineRule="auto"/>
        <w:ind w:firstLine="420" w:firstLineChars="200"/>
        <w:rPr>
          <w:rFonts w:hint="eastAsia" w:hAnsi="宋体" w:cs="宋体"/>
          <w:color w:val="000000"/>
          <w:sz w:val="21"/>
          <w:szCs w:val="21"/>
        </w:rPr>
      </w:pPr>
      <w:bookmarkStart w:id="79" w:name="_Toc142882012"/>
      <w:r>
        <w:rPr>
          <w:rFonts w:hint="eastAsia" w:hAnsi="宋体" w:cs="宋体"/>
          <w:color w:val="000000"/>
          <w:sz w:val="21"/>
          <w:szCs w:val="21"/>
        </w:rPr>
        <w:t>10.1.8谈判文件中标有“★”项不响应或不满足的；</w:t>
      </w:r>
      <w:bookmarkEnd w:id="79"/>
    </w:p>
    <w:p>
      <w:pPr>
        <w:pStyle w:val="9"/>
        <w:snapToGrid w:val="0"/>
        <w:spacing w:line="240" w:lineRule="auto"/>
        <w:ind w:firstLine="420" w:firstLineChars="200"/>
        <w:rPr>
          <w:rFonts w:hint="eastAsia" w:hAnsi="宋体" w:cs="宋体"/>
          <w:color w:val="000000"/>
          <w:sz w:val="21"/>
          <w:szCs w:val="21"/>
        </w:rPr>
      </w:pPr>
      <w:bookmarkStart w:id="80" w:name="_Toc142882015"/>
      <w:r>
        <w:rPr>
          <w:rFonts w:hint="eastAsia" w:hAnsi="宋体" w:cs="宋体"/>
          <w:color w:val="000000"/>
          <w:sz w:val="21"/>
          <w:szCs w:val="21"/>
        </w:rPr>
        <w:t>10.1.9 不符合法律、法规和竞争性谈判文件中规定的其他实质性要求的</w:t>
      </w:r>
      <w:bookmarkEnd w:id="80"/>
      <w:r>
        <w:rPr>
          <w:rFonts w:hint="eastAsia" w:hAnsi="宋体" w:cs="宋体"/>
          <w:color w:val="000000"/>
          <w:sz w:val="21"/>
          <w:szCs w:val="21"/>
        </w:rPr>
        <w:t>。</w:t>
      </w:r>
    </w:p>
    <w:p>
      <w:pPr>
        <w:adjustRightInd w:val="0"/>
        <w:snapToGrid w:val="0"/>
        <w:spacing w:line="240" w:lineRule="auto"/>
        <w:rPr>
          <w:rFonts w:hint="eastAsia" w:ascii="宋体" w:hAnsi="宋体" w:eastAsia="宋体" w:cs="宋体"/>
          <w:b/>
          <w:color w:val="000000"/>
          <w:szCs w:val="21"/>
        </w:rPr>
      </w:pPr>
      <w:r>
        <w:rPr>
          <w:rFonts w:hint="eastAsia" w:ascii="宋体" w:hAnsi="宋体" w:eastAsia="宋体" w:cs="宋体"/>
          <w:b/>
          <w:color w:val="000000"/>
          <w:szCs w:val="21"/>
        </w:rPr>
        <w:t>10.2下列情况之一出现，将视为谈判失败，采购人将重新组织采购：</w:t>
      </w:r>
    </w:p>
    <w:p>
      <w:pPr>
        <w:pStyle w:val="9"/>
        <w:snapToGrid w:val="0"/>
        <w:spacing w:line="240" w:lineRule="auto"/>
        <w:ind w:firstLine="420" w:firstLineChars="200"/>
        <w:rPr>
          <w:rFonts w:hint="eastAsia" w:hAnsi="宋体" w:cs="宋体"/>
          <w:color w:val="000000"/>
          <w:sz w:val="21"/>
          <w:szCs w:val="21"/>
        </w:rPr>
      </w:pPr>
      <w:r>
        <w:rPr>
          <w:rFonts w:hint="eastAsia" w:hAnsi="宋体" w:cs="宋体"/>
          <w:color w:val="000000"/>
          <w:sz w:val="21"/>
          <w:szCs w:val="21"/>
        </w:rPr>
        <w:t>10.2.1 投标截止时供应商少于二家；</w:t>
      </w:r>
    </w:p>
    <w:p>
      <w:pPr>
        <w:adjustRightInd w:val="0"/>
        <w:snapToGrid w:val="0"/>
        <w:spacing w:line="240" w:lineRule="auto"/>
        <w:ind w:firstLine="435"/>
        <w:rPr>
          <w:rFonts w:hint="eastAsia" w:ascii="宋体" w:hAnsi="宋体" w:eastAsia="宋体" w:cs="宋体"/>
          <w:color w:val="000000"/>
          <w:szCs w:val="21"/>
        </w:rPr>
      </w:pPr>
      <w:r>
        <w:rPr>
          <w:rFonts w:hint="eastAsia" w:ascii="宋体" w:hAnsi="宋体" w:eastAsia="宋体" w:cs="宋体"/>
          <w:color w:val="000000"/>
          <w:kern w:val="0"/>
          <w:szCs w:val="21"/>
        </w:rPr>
        <w:t>10.2.2</w:t>
      </w:r>
      <w:r>
        <w:rPr>
          <w:rFonts w:hint="eastAsia" w:ascii="宋体" w:hAnsi="宋体" w:eastAsia="宋体" w:cs="宋体"/>
          <w:color w:val="000000"/>
          <w:szCs w:val="21"/>
        </w:rPr>
        <w:t>评标时发现废标，致使有效谈判少于二家，谈判小组有权宣布此次谈判无效。</w:t>
      </w:r>
    </w:p>
    <w:p>
      <w:pPr>
        <w:adjustRightInd w:val="0"/>
        <w:snapToGrid w:val="0"/>
        <w:spacing w:line="240" w:lineRule="auto"/>
        <w:rPr>
          <w:rFonts w:hint="eastAsia" w:ascii="宋体" w:hAnsi="宋体" w:eastAsia="宋体" w:cs="宋体"/>
          <w:b/>
          <w:color w:val="000000"/>
          <w:szCs w:val="21"/>
          <w:lang w:eastAsia="zh-CN"/>
        </w:rPr>
      </w:pPr>
      <w:r>
        <w:rPr>
          <w:rFonts w:hint="eastAsia" w:ascii="宋体" w:hAnsi="宋体" w:eastAsia="宋体" w:cs="宋体"/>
          <w:b/>
          <w:color w:val="000000"/>
          <w:szCs w:val="21"/>
        </w:rPr>
        <w:t>10.3 如本项目竞争性谈判失败，</w:t>
      </w:r>
      <w:r>
        <w:rPr>
          <w:rFonts w:hint="eastAsia" w:ascii="宋体" w:hAnsi="宋体" w:eastAsia="宋体" w:cs="宋体"/>
          <w:color w:val="000000"/>
          <w:szCs w:val="21"/>
        </w:rPr>
        <w:t>根据情况，采购人将决定采用以下形式继续组织采购</w:t>
      </w:r>
      <w:r>
        <w:rPr>
          <w:rFonts w:hint="eastAsia" w:ascii="宋体" w:hAnsi="宋体" w:eastAsia="宋体" w:cs="宋体"/>
          <w:color w:val="000000"/>
          <w:szCs w:val="21"/>
          <w:lang w:eastAsia="zh-CN"/>
        </w:rPr>
        <w:t>：</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b/>
          <w:color w:val="000000"/>
          <w:szCs w:val="21"/>
        </w:rPr>
        <w:t xml:space="preserve"> </w:t>
      </w:r>
      <w:r>
        <w:rPr>
          <w:rFonts w:hint="eastAsia" w:ascii="宋体" w:hAnsi="宋体" w:eastAsia="宋体" w:cs="宋体"/>
          <w:color w:val="000000"/>
          <w:szCs w:val="21"/>
        </w:rPr>
        <w:t xml:space="preserve">    10.3.1 重新组织竞争性谈判</w:t>
      </w:r>
    </w:p>
    <w:p>
      <w:pPr>
        <w:numPr>
          <w:ilvl w:val="2"/>
          <w:numId w:val="5"/>
        </w:num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综合评分法</w:t>
      </w:r>
    </w:p>
    <w:p>
      <w:pPr>
        <w:numPr>
          <w:ilvl w:val="2"/>
          <w:numId w:val="5"/>
        </w:num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最低价法</w:t>
      </w:r>
    </w:p>
    <w:p>
      <w:pPr>
        <w:numPr>
          <w:ilvl w:val="2"/>
          <w:numId w:val="5"/>
        </w:num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性价比法</w:t>
      </w:r>
    </w:p>
    <w:p>
      <w:pPr>
        <w:adjustRightInd w:val="0"/>
        <w:snapToGrid w:val="0"/>
        <w:spacing w:line="240" w:lineRule="auto"/>
        <w:ind w:firstLine="1260" w:firstLineChars="600"/>
        <w:rPr>
          <w:rFonts w:hint="eastAsia" w:ascii="宋体" w:hAnsi="宋体" w:eastAsia="宋体" w:cs="宋体"/>
          <w:color w:val="000000"/>
          <w:szCs w:val="21"/>
        </w:rPr>
      </w:pPr>
      <w:r>
        <w:rPr>
          <w:rFonts w:hint="eastAsia" w:ascii="宋体" w:hAnsi="宋体" w:eastAsia="宋体" w:cs="宋体"/>
          <w:color w:val="000000"/>
          <w:szCs w:val="21"/>
        </w:rPr>
        <w:t>10.3.3.1 邀请邀请招标失败项目少于</w:t>
      </w:r>
      <w:r>
        <w:rPr>
          <w:rFonts w:hint="eastAsia" w:ascii="宋体" w:hAnsi="宋体" w:eastAsia="宋体" w:cs="宋体"/>
          <w:color w:val="000000"/>
          <w:szCs w:val="21"/>
          <w:u w:val="single"/>
        </w:rPr>
        <w:t>3</w:t>
      </w:r>
      <w:r>
        <w:rPr>
          <w:rFonts w:hint="eastAsia" w:ascii="宋体" w:hAnsi="宋体" w:eastAsia="宋体" w:cs="宋体"/>
          <w:color w:val="000000"/>
          <w:szCs w:val="21"/>
        </w:rPr>
        <w:t>家的原谈判供应商进行竞争性谈判；</w:t>
      </w:r>
    </w:p>
    <w:p>
      <w:pPr>
        <w:adjustRightInd w:val="0"/>
        <w:snapToGrid w:val="0"/>
        <w:spacing w:line="240" w:lineRule="auto"/>
        <w:ind w:firstLine="1260" w:firstLineChars="600"/>
        <w:rPr>
          <w:rFonts w:hint="eastAsia" w:ascii="宋体" w:hAnsi="宋体" w:eastAsia="宋体" w:cs="宋体"/>
          <w:color w:val="000000"/>
          <w:szCs w:val="21"/>
        </w:rPr>
      </w:pPr>
      <w:r>
        <w:rPr>
          <w:rFonts w:hint="eastAsia" w:ascii="宋体" w:hAnsi="宋体" w:eastAsia="宋体" w:cs="宋体"/>
          <w:color w:val="000000"/>
          <w:szCs w:val="21"/>
        </w:rPr>
        <w:t>10.3.3.2 推荐不少于</w:t>
      </w:r>
      <w:r>
        <w:rPr>
          <w:rFonts w:hint="eastAsia" w:ascii="宋体" w:hAnsi="宋体" w:eastAsia="宋体" w:cs="宋体"/>
          <w:color w:val="000000"/>
          <w:szCs w:val="21"/>
          <w:u w:val="single"/>
        </w:rPr>
        <w:t>3</w:t>
      </w:r>
      <w:r>
        <w:rPr>
          <w:rFonts w:hint="eastAsia" w:ascii="宋体" w:hAnsi="宋体" w:eastAsia="宋体" w:cs="宋体"/>
          <w:color w:val="000000"/>
          <w:szCs w:val="21"/>
        </w:rPr>
        <w:t>家谈判供应商进行竞争性谈判；</w:t>
      </w:r>
    </w:p>
    <w:p>
      <w:pPr>
        <w:adjustRightInd w:val="0"/>
        <w:snapToGrid w:val="0"/>
        <w:spacing w:line="240" w:lineRule="auto"/>
        <w:ind w:firstLine="1260" w:firstLineChars="6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10.3.3.3 公开征集谈判供应商进行竞争性谈判；</w:t>
      </w:r>
    </w:p>
    <w:p>
      <w:pPr>
        <w:adjustRightInd w:val="0"/>
        <w:snapToGrid w:val="0"/>
        <w:spacing w:line="24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10.3.4 询价采购；</w:t>
      </w:r>
    </w:p>
    <w:p>
      <w:pPr>
        <w:adjustRightInd w:val="0"/>
        <w:snapToGrid w:val="0"/>
        <w:spacing w:line="24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10.3.5 单一来源谈判。</w:t>
      </w:r>
    </w:p>
    <w:p>
      <w:pPr>
        <w:adjustRightInd w:val="0"/>
        <w:snapToGrid w:val="0"/>
        <w:spacing w:line="240" w:lineRule="auto"/>
        <w:outlineLvl w:val="1"/>
        <w:rPr>
          <w:rFonts w:hint="eastAsia" w:ascii="宋体" w:hAnsi="宋体" w:eastAsia="宋体" w:cs="宋体"/>
          <w:b/>
          <w:color w:val="000000"/>
          <w:szCs w:val="21"/>
        </w:rPr>
      </w:pPr>
      <w:bookmarkStart w:id="81" w:name="_Toc25361"/>
      <w:bookmarkStart w:id="82" w:name="_Toc23479"/>
      <w:r>
        <w:rPr>
          <w:rFonts w:hint="eastAsia" w:ascii="宋体" w:hAnsi="宋体" w:eastAsia="宋体" w:cs="宋体"/>
          <w:b/>
          <w:color w:val="000000"/>
          <w:szCs w:val="21"/>
        </w:rPr>
        <w:t>11</w:t>
      </w:r>
      <w:r>
        <w:rPr>
          <w:rFonts w:hint="eastAsia" w:ascii="宋体" w:hAnsi="宋体" w:eastAsia="宋体" w:cs="宋体"/>
          <w:b/>
          <w:color w:val="000000"/>
          <w:szCs w:val="21"/>
          <w:lang w:val="en-US" w:eastAsia="zh-CN"/>
        </w:rPr>
        <w:t>.</w:t>
      </w:r>
      <w:r>
        <w:rPr>
          <w:rFonts w:hint="eastAsia" w:ascii="宋体" w:hAnsi="宋体" w:eastAsia="宋体" w:cs="宋体"/>
          <w:b/>
          <w:color w:val="000000"/>
          <w:szCs w:val="21"/>
        </w:rPr>
        <w:t>谈判程序</w:t>
      </w:r>
      <w:bookmarkEnd w:id="81"/>
      <w:bookmarkEnd w:id="82"/>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11.1采取两轮谈判、三次报价方式。</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themeColor="text1"/>
          <w:szCs w:val="21"/>
          <w14:textFill>
            <w14:solidFill>
              <w14:schemeClr w14:val="tx1"/>
            </w14:solidFill>
          </w14:textFill>
        </w:rPr>
        <w:t>在谈判中，谈判小组会在每一轮谈判前向所有供应商</w:t>
      </w:r>
      <w:r>
        <w:rPr>
          <w:rFonts w:hint="eastAsia" w:ascii="宋体" w:hAnsi="宋体" w:eastAsia="宋体" w:cs="宋体"/>
          <w:b/>
          <w:color w:val="000000" w:themeColor="text1"/>
          <w:szCs w:val="21"/>
          <w:u w:val="single"/>
          <w14:textFill>
            <w14:solidFill>
              <w14:schemeClr w14:val="tx1"/>
            </w14:solidFill>
          </w14:textFill>
        </w:rPr>
        <w:t>公布各供应商最新的承诺及报价排名</w:t>
      </w:r>
      <w:r>
        <w:rPr>
          <w:rFonts w:hint="eastAsia" w:ascii="宋体" w:hAnsi="宋体" w:eastAsia="宋体" w:cs="宋体"/>
          <w:color w:val="000000" w:themeColor="text1"/>
          <w:szCs w:val="21"/>
          <w14:textFill>
            <w14:solidFill>
              <w14:schemeClr w14:val="tx1"/>
            </w14:solidFill>
          </w14:textFill>
        </w:rPr>
        <w:t>。谈判小组及有关当事人严格遵循保密原则，任何人不得透露除报价排名外的一切与谈判有关的供应商的技术、价格等影响公平竞争的信息。</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11.2第一轮谈判</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谈判小组按已确定的谈判顺序，与单一供应商分别就符合采购需求、质量和服务等进行谈判，并了解其报价组成情况。</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谈判中，谈判的任何一方不得透露与谈判有关的其它供应商的技术资料、价格与其它信息。</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重点确定谈判样品（每个供应商带有几款不同材质、式样、工艺样品）。</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11.3第二轮谈判</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谈判小组就第一轮谈判后合议，根据第一轮谈判掌握的情况，可对谈判文件进行修改，确定采购内容的详细规格或具体要求，优化采购方案。并明确告知谈判供应商，并给予谈判供应商一定的修正时间。</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谈判小组就修正后的内容与谈判供应商分别谈判。</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11.4最后报价</w:t>
      </w:r>
    </w:p>
    <w:p>
      <w:pPr>
        <w:adjustRightInd w:val="0"/>
        <w:snapToGrid w:val="0"/>
        <w:spacing w:line="24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谈判供应商作最后报价，递交谈判小组。谈判小组就谈判内容对谈判供应商评分。按谈判文件规定的评定标准，对供应商提供最后报价及有关承诺进行评审，按照符合采购需求，性价比最高的原则推选成交供应商。</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11.5响应供应商的报价均超过公司的采购上线价格，谈判活动终止。终止后采购人需调整预算或配置标准等，再次组织竞争性谈判或采取其它方式采购。</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11.6谈判工作后，企业管理部根据谈判结果出具谈判报告，推荐成效候选人，报公司批准后确定成交供应商。</w:t>
      </w:r>
    </w:p>
    <w:p>
      <w:pPr>
        <w:pStyle w:val="23"/>
        <w:snapToGrid w:val="0"/>
        <w:spacing w:beforeLines="0" w:afterLines="0" w:line="240" w:lineRule="auto"/>
        <w:outlineLvl w:val="1"/>
        <w:rPr>
          <w:rFonts w:hint="eastAsia" w:ascii="宋体" w:hAnsi="宋体" w:eastAsia="宋体" w:cs="宋体"/>
          <w:color w:val="000000"/>
          <w:sz w:val="21"/>
          <w:szCs w:val="21"/>
        </w:rPr>
      </w:pPr>
      <w:bookmarkStart w:id="83" w:name="_Toc142370542"/>
      <w:bookmarkStart w:id="84" w:name="_Toc9488"/>
      <w:bookmarkStart w:id="85" w:name="_Toc271798807"/>
      <w:bookmarkStart w:id="86" w:name="_Toc31351"/>
      <w:r>
        <w:rPr>
          <w:rFonts w:hint="eastAsia" w:ascii="宋体" w:hAnsi="宋体" w:eastAsia="宋体" w:cs="宋体"/>
          <w:color w:val="000000"/>
          <w:sz w:val="21"/>
          <w:szCs w:val="21"/>
        </w:rPr>
        <w:t>12．名词解释</w:t>
      </w:r>
      <w:bookmarkEnd w:id="83"/>
      <w:bookmarkEnd w:id="84"/>
      <w:bookmarkEnd w:id="85"/>
      <w:bookmarkEnd w:id="86"/>
    </w:p>
    <w:p>
      <w:pPr>
        <w:adjustRightInd w:val="0"/>
        <w:snapToGrid w:val="0"/>
        <w:spacing w:line="240" w:lineRule="auto"/>
        <w:rPr>
          <w:rFonts w:hint="eastAsia" w:ascii="宋体" w:hAnsi="宋体" w:eastAsia="宋体" w:cs="宋体"/>
          <w:color w:val="000000"/>
          <w:szCs w:val="21"/>
          <w:lang w:eastAsia="zh-CN"/>
        </w:rPr>
      </w:pPr>
      <w:r>
        <w:rPr>
          <w:rFonts w:hint="eastAsia" w:ascii="宋体" w:hAnsi="宋体" w:eastAsia="宋体" w:cs="宋体"/>
          <w:color w:val="000000"/>
          <w:szCs w:val="21"/>
        </w:rPr>
        <w:t>12.1采购人：</w:t>
      </w:r>
      <w:r>
        <w:rPr>
          <w:rFonts w:hint="eastAsia" w:ascii="宋体" w:hAnsi="宋体" w:eastAsia="宋体" w:cs="宋体"/>
          <w:color w:val="000000"/>
          <w:szCs w:val="21"/>
          <w:lang w:eastAsia="zh-CN"/>
        </w:rPr>
        <w:t>深圳市设计之都运营发展有限公司</w:t>
      </w:r>
    </w:p>
    <w:p>
      <w:pPr>
        <w:adjustRightInd w:val="0"/>
        <w:snapToGrid w:val="0"/>
        <w:spacing w:line="240" w:lineRule="auto"/>
        <w:rPr>
          <w:rFonts w:hint="eastAsia" w:ascii="宋体" w:hAnsi="宋体" w:eastAsia="宋体" w:cs="宋体"/>
          <w:color w:val="000000"/>
          <w:szCs w:val="21"/>
        </w:rPr>
      </w:pPr>
      <w:r>
        <w:rPr>
          <w:rFonts w:hint="eastAsia" w:ascii="宋体" w:hAnsi="宋体" w:eastAsia="宋体" w:cs="宋体"/>
          <w:color w:val="000000"/>
          <w:szCs w:val="21"/>
        </w:rPr>
        <w:t>12.2 谈判供应商：向采购人提交谈判响应文件的供货商。</w:t>
      </w:r>
    </w:p>
    <w:p>
      <w:pPr>
        <w:adjustRightInd/>
        <w:snapToGrid/>
        <w:spacing w:line="240" w:lineRule="auto"/>
        <w:rPr>
          <w:rFonts w:ascii="宋体" w:hAnsi="宋体" w:cs="Arial"/>
          <w:color w:val="000000"/>
        </w:rPr>
      </w:pPr>
    </w:p>
    <w:p>
      <w:pPr>
        <w:adjustRightInd w:val="0"/>
        <w:snapToGrid w:val="0"/>
        <w:spacing w:line="240" w:lineRule="auto"/>
        <w:rPr>
          <w:rFonts w:ascii="宋体" w:hAnsi="宋体" w:cs="Arial"/>
          <w:color w:val="000000"/>
        </w:rPr>
      </w:pPr>
    </w:p>
    <w:p>
      <w:pPr>
        <w:rPr>
          <w:rFonts w:hint="eastAsia" w:ascii="Times New Roman" w:eastAsia="宋体"/>
          <w:b/>
          <w:sz w:val="44"/>
          <w:szCs w:val="44"/>
        </w:rPr>
      </w:pPr>
      <w:bookmarkStart w:id="87" w:name="_Toc271798808"/>
      <w:r>
        <w:rPr>
          <w:rFonts w:hint="eastAsia" w:ascii="Times New Roman" w:eastAsia="宋体"/>
          <w:b/>
          <w:sz w:val="44"/>
          <w:szCs w:val="44"/>
        </w:rPr>
        <w:br w:type="page"/>
      </w:r>
    </w:p>
    <w:p>
      <w:pPr>
        <w:pStyle w:val="3"/>
        <w:numPr>
          <w:ilvl w:val="0"/>
          <w:numId w:val="1"/>
        </w:numPr>
        <w:ind w:firstLine="402"/>
        <w:jc w:val="center"/>
        <w:rPr>
          <w:rFonts w:hint="eastAsia" w:ascii="Times New Roman" w:eastAsia="宋体"/>
          <w:b/>
          <w:sz w:val="44"/>
          <w:szCs w:val="44"/>
        </w:rPr>
      </w:pPr>
      <w:bookmarkStart w:id="88" w:name="_Toc20300"/>
      <w:r>
        <w:rPr>
          <w:rFonts w:hint="eastAsia" w:ascii="Times New Roman" w:eastAsia="宋体"/>
          <w:b/>
          <w:sz w:val="44"/>
          <w:szCs w:val="44"/>
        </w:rPr>
        <w:t>用户需求</w:t>
      </w:r>
      <w:bookmarkEnd w:id="87"/>
      <w:r>
        <w:rPr>
          <w:rFonts w:hint="eastAsia" w:ascii="Times New Roman" w:eastAsia="宋体"/>
          <w:b/>
          <w:sz w:val="44"/>
          <w:szCs w:val="44"/>
        </w:rPr>
        <w:t>书</w:t>
      </w:r>
      <w:bookmarkEnd w:id="88"/>
    </w:p>
    <w:p>
      <w:pPr>
        <w:numPr>
          <w:ilvl w:val="1"/>
          <w:numId w:val="6"/>
        </w:numPr>
        <w:spacing w:line="240" w:lineRule="auto"/>
        <w:ind w:firstLine="402"/>
        <w:jc w:val="center"/>
        <w:outlineLvl w:val="1"/>
        <w:rPr>
          <w:rFonts w:ascii="黑体" w:eastAsia="黑体"/>
          <w:color w:val="000000" w:themeColor="text1"/>
          <w:sz w:val="28"/>
          <w:szCs w:val="28"/>
          <w14:textFill>
            <w14:solidFill>
              <w14:schemeClr w14:val="tx1"/>
            </w14:solidFill>
          </w14:textFill>
        </w:rPr>
      </w:pPr>
      <w:bookmarkStart w:id="89" w:name="_Toc1472"/>
      <w:r>
        <w:rPr>
          <w:rFonts w:hint="eastAsia" w:ascii="黑体" w:eastAsia="黑体"/>
          <w:color w:val="000000" w:themeColor="text1"/>
          <w:sz w:val="28"/>
          <w:szCs w:val="28"/>
          <w14:textFill>
            <w14:solidFill>
              <w14:schemeClr w14:val="tx1"/>
            </w14:solidFill>
          </w14:textFill>
        </w:rPr>
        <w:t>商务要求</w:t>
      </w:r>
      <w:bookmarkEnd w:id="89"/>
    </w:p>
    <w:p>
      <w:pPr>
        <w:numPr>
          <w:ilvl w:val="0"/>
          <w:numId w:val="7"/>
        </w:numPr>
        <w:spacing w:line="240" w:lineRule="auto"/>
        <w:ind w:left="0" w:firstLine="420"/>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szCs w:val="21"/>
        </w:rPr>
        <w:t>★</w:t>
      </w:r>
      <w:r>
        <w:rPr>
          <w:rFonts w:hint="eastAsia" w:ascii="宋体" w:hAnsi="宋体" w:eastAsia="宋体" w:cs="宋体"/>
          <w:b/>
          <w:color w:val="000000" w:themeColor="text1"/>
          <w:sz w:val="21"/>
          <w:szCs w:val="21"/>
          <w14:textFill>
            <w14:solidFill>
              <w14:schemeClr w14:val="tx1"/>
            </w14:solidFill>
          </w14:textFill>
        </w:rPr>
        <w:t>资格标准：</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（谈判供应商编制的谈判响应文件中须包含以下资格证明文件）</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*1.1、谈判供应商法人代表证明书；</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*1.2、谈判供应商法人代表授权书；</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*1.3、谈判供应商必须是在中华人民共和国境内注册并合法运作的独立法人机构。谈判供应商须提供营业执照副本的复印件（加盖公章）。</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*1.5、投标供应商应根据对项目的具体要求提交应标方案、设备清单（包括技术规格）和单项价格及总体价格。</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*1.6、投标单位要求是有多年从事本行业的专业公司，须具有相当的工作经验和工程案例，须提交20</w:t>
      </w:r>
      <w:r>
        <w:rPr>
          <w:rFonts w:hint="eastAsia" w:ascii="宋体" w:hAnsi="宋体" w:eastAsia="宋体" w:cs="宋体"/>
          <w:color w:val="000000" w:themeColor="text1"/>
          <w:sz w:val="21"/>
          <w:szCs w:val="21"/>
          <w:lang w:val="en-US" w:eastAsia="zh-CN"/>
          <w14:textFill>
            <w14:solidFill>
              <w14:schemeClr w14:val="tx1"/>
            </w14:solidFill>
          </w14:textFill>
        </w:rPr>
        <w:t>21</w:t>
      </w:r>
      <w:r>
        <w:rPr>
          <w:rFonts w:hint="eastAsia" w:ascii="宋体" w:hAnsi="宋体" w:eastAsia="宋体" w:cs="宋体"/>
          <w:color w:val="000000" w:themeColor="text1"/>
          <w:sz w:val="21"/>
          <w:szCs w:val="21"/>
          <w14:textFill>
            <w14:solidFill>
              <w14:schemeClr w14:val="tx1"/>
            </w14:solidFill>
          </w14:textFill>
        </w:rPr>
        <w:t>年1月1日至今同类或同等规模相关项目合同或中标通知书或验收报告（复印件加盖公章）。</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、公司社保参保证明；</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近三年财务报表/审计报告/所得税汇算清缴报表（纳税申报表），投标人成立不足三年的可从成立之日起，加盖公章的复印件</w:t>
      </w:r>
      <w:r>
        <w:rPr>
          <w:rFonts w:hint="eastAsia" w:ascii="宋体" w:hAnsi="宋体" w:eastAsia="宋体" w:cs="宋体"/>
          <w:color w:val="000000" w:themeColor="text1"/>
          <w:sz w:val="21"/>
          <w:szCs w:val="21"/>
          <w14:textFill>
            <w14:solidFill>
              <w14:schemeClr w14:val="tx1"/>
            </w14:solidFill>
          </w14:textFill>
        </w:rPr>
        <w:t>；</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、近三年经营业绩简介（投标人成立不足三年的可从成立之日起）；</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、谈判供应商必须具有实施本项目所需能力，在国内具有良好的服务记录、项目实例和信誉。</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、各谈判供应商必须提供全新、符合标准的设备。</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、本项目不接受联合体投标。</w:t>
      </w:r>
    </w:p>
    <w:p>
      <w:pPr>
        <w:spacing w:line="240" w:lineRule="auto"/>
        <w:rPr>
          <w:rFonts w:hint="eastAsia" w:ascii="宋体" w:hAnsi="宋体" w:eastAsia="宋体" w:cs="宋体"/>
          <w:color w:val="000000" w:themeColor="text1"/>
          <w:szCs w:val="21"/>
          <w14:textFill>
            <w14:solidFill>
              <w14:schemeClr w14:val="tx1"/>
            </w14:solidFill>
          </w14:textFill>
        </w:rPr>
      </w:pPr>
    </w:p>
    <w:p>
      <w:pPr>
        <w:numPr>
          <w:ilvl w:val="0"/>
          <w:numId w:val="7"/>
        </w:numPr>
        <w:spacing w:line="240" w:lineRule="auto"/>
        <w:ind w:left="0" w:firstLine="42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项目工期及地点：</w:t>
      </w:r>
    </w:p>
    <w:p>
      <w:pPr>
        <w:tabs>
          <w:tab w:val="left" w:pos="945"/>
        </w:tabs>
        <w:autoSpaceDE w:val="0"/>
        <w:autoSpaceDN w:val="0"/>
        <w:adjustRightInd w:val="0"/>
        <w:spacing w:line="240" w:lineRule="auto"/>
        <w:ind w:firstLine="422" w:firstLineChars="200"/>
        <w:jc w:val="left"/>
        <w:textAlignment w:val="baseline"/>
        <w:rPr>
          <w:rFonts w:hint="eastAsia" w:ascii="宋体" w:hAnsi="宋体" w:eastAsia="宋体" w:cs="宋体"/>
          <w:b/>
          <w:color w:val="auto"/>
          <w:sz w:val="21"/>
          <w:szCs w:val="21"/>
        </w:rPr>
      </w:pPr>
      <w:r>
        <w:rPr>
          <w:rFonts w:hint="eastAsia" w:ascii="宋体" w:hAnsi="宋体" w:eastAsia="宋体" w:cs="宋体"/>
          <w:b/>
          <w:color w:val="auto"/>
          <w:sz w:val="21"/>
          <w:szCs w:val="21"/>
        </w:rPr>
        <w:t>*确定中标后，中标人组织项目实施。</w:t>
      </w:r>
    </w:p>
    <w:p>
      <w:pPr>
        <w:numPr>
          <w:ilvl w:val="0"/>
          <w:numId w:val="8"/>
        </w:numPr>
        <w:tabs>
          <w:tab w:val="left" w:pos="945"/>
        </w:tabs>
        <w:autoSpaceDE w:val="0"/>
        <w:autoSpaceDN w:val="0"/>
        <w:adjustRightInd w:val="0"/>
        <w:spacing w:line="240" w:lineRule="auto"/>
        <w:ind w:left="439" w:leftChars="209"/>
        <w:jc w:val="left"/>
        <w:textAlignment w:val="baseline"/>
        <w:rPr>
          <w:rFonts w:hint="eastAsia" w:ascii="宋体" w:hAnsi="宋体" w:eastAsia="宋体" w:cs="宋体"/>
          <w:color w:val="auto"/>
          <w:sz w:val="21"/>
          <w:szCs w:val="21"/>
          <w:highlight w:val="none"/>
          <w:u w:val="none"/>
          <w:lang w:eastAsia="zh-CN"/>
        </w:rPr>
      </w:pPr>
      <w:r>
        <w:rPr>
          <w:rFonts w:hint="eastAsia" w:ascii="宋体" w:hAnsi="宋体" w:eastAsia="宋体" w:cs="宋体"/>
          <w:b/>
          <w:color w:val="auto"/>
          <w:sz w:val="21"/>
          <w:szCs w:val="21"/>
          <w:highlight w:val="none"/>
          <w:lang w:val="en-US" w:eastAsia="zh-CN"/>
        </w:rPr>
        <w:t>活动时间：</w:t>
      </w:r>
      <w:r>
        <w:rPr>
          <w:rFonts w:hint="eastAsia" w:ascii="宋体" w:hAnsi="宋体" w:eastAsia="宋体" w:cs="宋体"/>
          <w:color w:val="auto"/>
          <w:sz w:val="21"/>
          <w:szCs w:val="21"/>
          <w:highlight w:val="none"/>
          <w:u w:val="none"/>
          <w:lang w:eastAsia="zh-CN"/>
        </w:rPr>
        <w:t>第十三届深圳动漫节于2024年7月25-28日</w:t>
      </w:r>
    </w:p>
    <w:p>
      <w:pPr>
        <w:numPr>
          <w:ilvl w:val="0"/>
          <w:numId w:val="8"/>
        </w:numPr>
        <w:tabs>
          <w:tab w:val="left" w:pos="945"/>
        </w:tabs>
        <w:autoSpaceDE w:val="0"/>
        <w:autoSpaceDN w:val="0"/>
        <w:adjustRightInd w:val="0"/>
        <w:spacing w:line="240" w:lineRule="auto"/>
        <w:ind w:left="439" w:leftChars="209"/>
        <w:jc w:val="left"/>
        <w:textAlignment w:val="baseline"/>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u w:val="none"/>
          <w:lang w:val="en-US" w:eastAsia="zh-CN"/>
        </w:rPr>
        <w:t>活动地点：</w:t>
      </w:r>
      <w:r>
        <w:rPr>
          <w:rFonts w:hint="eastAsia" w:ascii="宋体" w:hAnsi="宋体" w:eastAsia="宋体" w:cs="宋体"/>
          <w:color w:val="auto"/>
          <w:sz w:val="21"/>
          <w:szCs w:val="21"/>
          <w:highlight w:val="none"/>
          <w:u w:val="none"/>
          <w:lang w:eastAsia="zh-CN"/>
        </w:rPr>
        <w:t>深圳会展中心 2/3/4号馆。</w:t>
      </w:r>
      <w:r>
        <w:rPr>
          <w:rFonts w:hint="eastAsia" w:ascii="宋体" w:hAnsi="宋体" w:eastAsia="宋体" w:cs="宋体"/>
          <w:bCs/>
          <w:color w:val="auto"/>
          <w:kern w:val="0"/>
          <w:sz w:val="21"/>
          <w:szCs w:val="21"/>
          <w:highlight w:val="none"/>
          <w:u w:val="none"/>
          <w:lang w:val="zh-CN"/>
        </w:rPr>
        <w:t>（北京时间）</w:t>
      </w:r>
    </w:p>
    <w:p>
      <w:pPr>
        <w:tabs>
          <w:tab w:val="left" w:pos="945"/>
        </w:tabs>
        <w:autoSpaceDE w:val="0"/>
        <w:autoSpaceDN w:val="0"/>
        <w:adjustRightInd w:val="0"/>
        <w:spacing w:line="240" w:lineRule="auto"/>
        <w:ind w:left="439" w:leftChars="209"/>
        <w:jc w:val="left"/>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rPr>
        <w:t>、中标人需在</w:t>
      </w:r>
      <w:r>
        <w:rPr>
          <w:rFonts w:hint="eastAsia" w:ascii="宋体" w:hAnsi="宋体" w:eastAsia="宋体" w:cs="宋体"/>
          <w:b/>
          <w:color w:val="auto"/>
          <w:sz w:val="21"/>
          <w:szCs w:val="21"/>
          <w:highlight w:val="none"/>
          <w:lang w:val="en-US" w:eastAsia="zh-CN"/>
        </w:rPr>
        <w:t>中标后合同签订一周内根据甲方的要求调整项目方案，并根据甲方确认后的方案开始执行项目，包含活动策划、选手招募、资格筛查、宣传推广、嘉宾邀请等具体工作</w:t>
      </w:r>
      <w:r>
        <w:rPr>
          <w:rFonts w:hint="eastAsia" w:ascii="宋体" w:hAnsi="宋体" w:eastAsia="宋体" w:cs="宋体"/>
          <w:b/>
          <w:color w:val="auto"/>
          <w:sz w:val="21"/>
          <w:szCs w:val="21"/>
          <w:highlight w:val="none"/>
        </w:rPr>
        <w:t>。</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p>
    <w:p>
      <w:pPr>
        <w:numPr>
          <w:ilvl w:val="0"/>
          <w:numId w:val="7"/>
        </w:numPr>
        <w:spacing w:line="240" w:lineRule="auto"/>
        <w:ind w:firstLine="42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*付款方法：</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b w:val="0"/>
          <w:bCs/>
          <w:color w:val="auto"/>
          <w:szCs w:val="21"/>
          <w:u w:val="single"/>
        </w:rPr>
      </w:pPr>
      <w:r>
        <w:rPr>
          <w:rFonts w:hint="eastAsia" w:ascii="宋体" w:hAnsi="宋体" w:eastAsia="宋体" w:cs="宋体"/>
          <w:b w:val="0"/>
          <w:bCs/>
          <w:color w:val="auto"/>
          <w:szCs w:val="21"/>
          <w:u w:val="single"/>
        </w:rPr>
        <w:t>合同签署后十个工作日内支付 10%，项目开始前五个工作日内支付 50%，项目完成后，经甲方验收及履约评价考核后（具体履约评价要求见附件）书面签字确认，十五个工作日内，根据履约考核情况，向乙方支付对应的合同尾款。</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b w:val="0"/>
          <w:bCs/>
          <w:color w:val="auto"/>
          <w:szCs w:val="21"/>
          <w:u w:val="single"/>
        </w:rPr>
      </w:pPr>
      <w:r>
        <w:rPr>
          <w:rFonts w:hint="eastAsia" w:ascii="宋体" w:hAnsi="宋体" w:eastAsia="宋体" w:cs="宋体"/>
          <w:b w:val="0"/>
          <w:bCs/>
          <w:color w:val="auto"/>
          <w:szCs w:val="21"/>
          <w:u w:val="single"/>
        </w:rPr>
        <w:t>（必需提供增值税专用发票）</w:t>
      </w:r>
    </w:p>
    <w:p>
      <w:pPr>
        <w:tabs>
          <w:tab w:val="left" w:pos="945"/>
        </w:tabs>
        <w:autoSpaceDE w:val="0"/>
        <w:autoSpaceDN w:val="0"/>
        <w:adjustRightInd w:val="0"/>
        <w:spacing w:line="240" w:lineRule="auto"/>
        <w:ind w:firstLine="420" w:firstLineChars="200"/>
        <w:textAlignment w:val="baseline"/>
        <w:rPr>
          <w:rFonts w:hint="eastAsia" w:ascii="宋体" w:hAnsi="宋体" w:eastAsia="宋体" w:cs="宋体"/>
          <w:b w:val="0"/>
          <w:bCs/>
          <w:color w:val="auto"/>
          <w:szCs w:val="21"/>
          <w:u w:val="single"/>
        </w:rPr>
      </w:pPr>
      <w:r>
        <w:rPr>
          <w:rFonts w:hint="eastAsia" w:ascii="宋体" w:hAnsi="宋体" w:eastAsia="宋体" w:cs="宋体"/>
          <w:b w:val="0"/>
          <w:bCs/>
          <w:color w:val="auto"/>
          <w:szCs w:val="21"/>
          <w:u w:val="single"/>
        </w:rPr>
        <w:t>注：上述费用为含税价，包括活动相关所有费用。供应商报价时需单列增值税率。</w:t>
      </w:r>
    </w:p>
    <w:p>
      <w:pPr>
        <w:pStyle w:val="13"/>
        <w:spacing w:line="240" w:lineRule="auto"/>
        <w:rPr>
          <w:rFonts w:hint="eastAsia" w:ascii="宋体" w:hAnsi="宋体" w:eastAsia="宋体" w:cs="宋体"/>
          <w:sz w:val="21"/>
          <w:szCs w:val="21"/>
        </w:rPr>
      </w:pPr>
    </w:p>
    <w:p>
      <w:pPr>
        <w:numPr>
          <w:ilvl w:val="0"/>
          <w:numId w:val="7"/>
        </w:numPr>
        <w:spacing w:line="240" w:lineRule="auto"/>
        <w:ind w:firstLine="420"/>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*.履约评价考核：</w:t>
      </w:r>
    </w:p>
    <w:p>
      <w:pPr>
        <w:pStyle w:val="13"/>
        <w:numPr>
          <w:ilvl w:val="0"/>
          <w:numId w:val="9"/>
        </w:numPr>
        <w:spacing w:line="240" w:lineRule="auto"/>
        <w:ind w:firstLine="420"/>
        <w:rPr>
          <w:rFonts w:hint="eastAsia" w:ascii="宋体" w:hAnsi="宋体" w:eastAsia="宋体" w:cs="宋体"/>
          <w:sz w:val="21"/>
          <w:szCs w:val="21"/>
        </w:rPr>
      </w:pPr>
      <w:r>
        <w:rPr>
          <w:rFonts w:hint="eastAsia" w:ascii="宋体" w:hAnsi="宋体" w:eastAsia="宋体" w:cs="宋体"/>
          <w:sz w:val="21"/>
          <w:szCs w:val="21"/>
        </w:rPr>
        <w:t>履约评价考核方式：</w:t>
      </w:r>
    </w:p>
    <w:p>
      <w:pPr>
        <w:pStyle w:val="13"/>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完成本合同项下全部服务事项后20个工作日内向甲方提交项目结算报告，经甲方对照本合同约定的考核内容考核合格后，甲方向乙方支付尾款。项目成果应取得甲方认可，否则应进行相应的履约扣减，乙方不得因此主张任何违约或赔偿等权利，乙方服务考核评价按下表执行。</w:t>
      </w:r>
    </w:p>
    <w:p>
      <w:pPr>
        <w:pStyle w:val="13"/>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乙方履约评价考核按下表执行，其中履约评价考核得分在60分以下（不含本数）者为不合格：</w:t>
      </w:r>
    </w:p>
    <w:tbl>
      <w:tblPr>
        <w:tblStyle w:val="15"/>
        <w:tblW w:w="8526" w:type="dxa"/>
        <w:tblInd w:w="0" w:type="dxa"/>
        <w:tblLayout w:type="autofit"/>
        <w:tblCellMar>
          <w:top w:w="0" w:type="dxa"/>
          <w:left w:w="108" w:type="dxa"/>
          <w:bottom w:w="0" w:type="dxa"/>
          <w:right w:w="108" w:type="dxa"/>
        </w:tblCellMar>
      </w:tblPr>
      <w:tblGrid>
        <w:gridCol w:w="2301"/>
        <w:gridCol w:w="4283"/>
        <w:gridCol w:w="1942"/>
      </w:tblGrid>
      <w:tr>
        <w:tblPrEx>
          <w:tblCellMar>
            <w:top w:w="0" w:type="dxa"/>
            <w:left w:w="108" w:type="dxa"/>
            <w:bottom w:w="0" w:type="dxa"/>
            <w:right w:w="108" w:type="dxa"/>
          </w:tblCellMar>
        </w:tblPrEx>
        <w:trPr>
          <w:trHeight w:val="477" w:hRule="atLeast"/>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履约评价得分</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对应支付的合同尾款</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备注</w:t>
            </w:r>
          </w:p>
        </w:tc>
      </w:tr>
      <w:tr>
        <w:tblPrEx>
          <w:tblCellMar>
            <w:top w:w="0" w:type="dxa"/>
            <w:left w:w="108" w:type="dxa"/>
            <w:bottom w:w="0" w:type="dxa"/>
            <w:right w:w="108" w:type="dxa"/>
          </w:tblCellMar>
        </w:tblPrEx>
        <w:trPr>
          <w:trHeight w:val="167" w:hRule="atLeast"/>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80分以上（含80分）</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剩余尾款全额支付</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w:t>
            </w:r>
          </w:p>
        </w:tc>
      </w:tr>
      <w:tr>
        <w:tblPrEx>
          <w:tblCellMar>
            <w:top w:w="0" w:type="dxa"/>
            <w:left w:w="108" w:type="dxa"/>
            <w:bottom w:w="0" w:type="dxa"/>
            <w:right w:w="108" w:type="dxa"/>
          </w:tblCellMar>
        </w:tblPrEx>
        <w:trPr>
          <w:trHeight w:val="831" w:hRule="atLeast"/>
        </w:trPr>
        <w:tc>
          <w:tcPr>
            <w:tcW w:w="1349" w:type="pct"/>
            <w:tcBorders>
              <w:top w:val="single" w:color="000000" w:sz="4" w:space="0"/>
              <w:left w:val="single" w:color="000000" w:sz="4" w:space="0"/>
              <w:right w:val="single" w:color="000000" w:sz="4" w:space="0"/>
            </w:tcBorders>
            <w:noWrap w:val="0"/>
            <w:vAlign w:val="center"/>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lang w:eastAsia="zh-CN"/>
              </w:rPr>
              <w:t>6</w:t>
            </w:r>
            <w:r>
              <w:rPr>
                <w:rFonts w:hint="eastAsia" w:ascii="宋体" w:hAnsi="宋体" w:eastAsia="宋体" w:cs="宋体"/>
                <w:szCs w:val="21"/>
                <w:highlight w:val="none"/>
              </w:rPr>
              <w:t>0分以上，80分以下</w:t>
            </w:r>
          </w:p>
        </w:tc>
        <w:tc>
          <w:tcPr>
            <w:tcW w:w="2511" w:type="pct"/>
            <w:tcBorders>
              <w:top w:val="single" w:color="000000" w:sz="4" w:space="0"/>
              <w:left w:val="nil"/>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以80分为基准，履约评价实际得分每少1分，对应扣减合同总价款的1%，扣除后结算余款</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w:t>
            </w:r>
          </w:p>
          <w:p>
            <w:pPr>
              <w:widowControl w:val="0"/>
              <w:adjustRightInd w:val="0"/>
              <w:spacing w:line="240" w:lineRule="auto"/>
              <w:jc w:val="both"/>
              <w:rPr>
                <w:rFonts w:hint="eastAsia" w:ascii="宋体" w:hAnsi="宋体" w:eastAsia="宋体" w:cs="宋体"/>
                <w:szCs w:val="21"/>
                <w:highlight w:val="none"/>
              </w:rPr>
            </w:pPr>
          </w:p>
        </w:tc>
      </w:tr>
      <w:tr>
        <w:tblPrEx>
          <w:tblCellMar>
            <w:top w:w="0" w:type="dxa"/>
            <w:left w:w="108" w:type="dxa"/>
            <w:bottom w:w="0" w:type="dxa"/>
            <w:right w:w="108" w:type="dxa"/>
          </w:tblCellMar>
        </w:tblPrEx>
        <w:trPr>
          <w:trHeight w:val="477" w:hRule="atLeast"/>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rPr>
              <w:t>60分以下</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Fonts w:hint="eastAsia" w:ascii="宋体" w:hAnsi="宋体" w:eastAsia="宋体" w:cs="宋体"/>
                <w:szCs w:val="21"/>
                <w:highlight w:val="none"/>
                <w:lang w:val="en-US" w:eastAsia="zh-CN"/>
              </w:rPr>
              <w:t>不付尾款</w:t>
            </w:r>
            <w:r>
              <w:rPr>
                <w:rFonts w:hint="eastAsia" w:ascii="宋体" w:hAnsi="宋体" w:eastAsia="宋体" w:cs="宋体"/>
                <w:szCs w:val="21"/>
                <w:highlight w:val="none"/>
              </w:rPr>
              <w:t>（不合格）</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eastAsia="宋体" w:cs="宋体"/>
                <w:szCs w:val="21"/>
                <w:highlight w:val="none"/>
              </w:rPr>
            </w:pPr>
            <w:r>
              <w:rPr>
                <w:rStyle w:val="19"/>
                <w:rFonts w:hint="eastAsia" w:ascii="宋体" w:hAnsi="宋体" w:eastAsia="宋体" w:cs="宋体"/>
                <w:b w:val="0"/>
                <w:bCs w:val="0"/>
                <w:color w:val="auto"/>
                <w:sz w:val="21"/>
                <w:szCs w:val="21"/>
                <w:highlight w:val="none"/>
                <w:lang w:val="en-US" w:eastAsia="zh-CN"/>
              </w:rPr>
              <w:t>并被剔除供应商库</w:t>
            </w:r>
          </w:p>
        </w:tc>
      </w:tr>
    </w:tbl>
    <w:p>
      <w:pPr>
        <w:pStyle w:val="13"/>
        <w:spacing w:line="240" w:lineRule="auto"/>
        <w:rPr>
          <w:rFonts w:hint="eastAsia" w:ascii="宋体" w:hAnsi="宋体" w:eastAsia="宋体" w:cs="宋体"/>
          <w:sz w:val="21"/>
          <w:szCs w:val="21"/>
        </w:rPr>
      </w:pPr>
    </w:p>
    <w:p>
      <w:pPr>
        <w:pStyle w:val="13"/>
        <w:numPr>
          <w:ilvl w:val="0"/>
          <w:numId w:val="9"/>
        </w:numPr>
        <w:spacing w:line="240" w:lineRule="auto"/>
        <w:ind w:firstLine="420"/>
        <w:rPr>
          <w:rFonts w:hint="eastAsia" w:ascii="宋体" w:hAnsi="宋体" w:eastAsia="宋体" w:cs="宋体"/>
          <w:sz w:val="21"/>
          <w:szCs w:val="21"/>
        </w:rPr>
      </w:pPr>
      <w:r>
        <w:rPr>
          <w:rFonts w:hint="eastAsia" w:ascii="宋体" w:hAnsi="宋体" w:eastAsia="宋体" w:cs="宋体"/>
          <w:sz w:val="21"/>
          <w:szCs w:val="21"/>
        </w:rPr>
        <w:t>履约评价管理办法：</w:t>
      </w:r>
    </w:p>
    <w:p>
      <w:pPr>
        <w:pStyle w:val="13"/>
        <w:numPr>
          <w:ilvl w:val="0"/>
          <w:numId w:val="10"/>
        </w:num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根据得分（用字母“N”表示）情况，履约评价结果分为以下五个等级：</w:t>
      </w:r>
    </w:p>
    <w:p>
      <w:pPr>
        <w:pStyle w:val="13"/>
        <w:numPr>
          <w:ilvl w:val="0"/>
          <w:numId w:val="11"/>
        </w:numPr>
        <w:spacing w:line="240" w:lineRule="auto"/>
        <w:ind w:firstLine="0" w:firstLineChars="0"/>
        <w:rPr>
          <w:rFonts w:hint="eastAsia" w:ascii="宋体" w:hAnsi="宋体" w:eastAsia="宋体" w:cs="宋体"/>
          <w:sz w:val="21"/>
          <w:szCs w:val="21"/>
        </w:rPr>
      </w:pPr>
      <w:r>
        <w:rPr>
          <w:rFonts w:hint="eastAsia" w:ascii="宋体" w:hAnsi="宋体" w:eastAsia="宋体" w:cs="宋体"/>
          <w:sz w:val="21"/>
          <w:szCs w:val="21"/>
        </w:rPr>
        <w:t>当N≥90分时，评价结果为优秀；</w:t>
      </w:r>
    </w:p>
    <w:p>
      <w:pPr>
        <w:pStyle w:val="13"/>
        <w:numPr>
          <w:ilvl w:val="0"/>
          <w:numId w:val="11"/>
        </w:numPr>
        <w:spacing w:line="240" w:lineRule="auto"/>
        <w:rPr>
          <w:rFonts w:hint="eastAsia" w:ascii="宋体" w:hAnsi="宋体" w:eastAsia="宋体" w:cs="宋体"/>
          <w:sz w:val="21"/>
          <w:szCs w:val="21"/>
        </w:rPr>
      </w:pPr>
      <w:r>
        <w:rPr>
          <w:rFonts w:hint="eastAsia" w:ascii="宋体" w:hAnsi="宋体" w:eastAsia="宋体" w:cs="宋体"/>
          <w:sz w:val="21"/>
          <w:szCs w:val="21"/>
        </w:rPr>
        <w:t>当80≤N＜90分时，评价结果为良好；</w:t>
      </w:r>
    </w:p>
    <w:p>
      <w:pPr>
        <w:pStyle w:val="13"/>
        <w:numPr>
          <w:ilvl w:val="0"/>
          <w:numId w:val="11"/>
        </w:numPr>
        <w:spacing w:line="240" w:lineRule="auto"/>
        <w:rPr>
          <w:rFonts w:hint="eastAsia" w:ascii="宋体" w:hAnsi="宋体" w:eastAsia="宋体" w:cs="宋体"/>
          <w:sz w:val="21"/>
          <w:szCs w:val="21"/>
        </w:rPr>
      </w:pPr>
      <w:r>
        <w:rPr>
          <w:rFonts w:hint="eastAsia" w:ascii="宋体" w:hAnsi="宋体" w:eastAsia="宋体" w:cs="宋体"/>
          <w:sz w:val="21"/>
          <w:szCs w:val="21"/>
        </w:rPr>
        <w:t>当70≤N＜80分时，评价结果为中等；</w:t>
      </w:r>
    </w:p>
    <w:p>
      <w:pPr>
        <w:pStyle w:val="13"/>
        <w:numPr>
          <w:ilvl w:val="0"/>
          <w:numId w:val="11"/>
        </w:numPr>
        <w:spacing w:line="240" w:lineRule="auto"/>
        <w:rPr>
          <w:rFonts w:hint="eastAsia" w:ascii="宋体" w:hAnsi="宋体" w:eastAsia="宋体" w:cs="宋体"/>
          <w:sz w:val="21"/>
          <w:szCs w:val="21"/>
        </w:rPr>
      </w:pPr>
      <w:r>
        <w:rPr>
          <w:rFonts w:hint="eastAsia" w:ascii="宋体" w:hAnsi="宋体" w:eastAsia="宋体" w:cs="宋体"/>
          <w:sz w:val="21"/>
          <w:szCs w:val="21"/>
        </w:rPr>
        <w:t>当60≤N＜70分时，评价结果为合格；</w:t>
      </w:r>
    </w:p>
    <w:p>
      <w:pPr>
        <w:pStyle w:val="13"/>
        <w:numPr>
          <w:ilvl w:val="0"/>
          <w:numId w:val="11"/>
        </w:numPr>
        <w:spacing w:line="240" w:lineRule="auto"/>
        <w:rPr>
          <w:rFonts w:hint="eastAsia" w:ascii="宋体" w:hAnsi="宋体" w:eastAsia="宋体" w:cs="宋体"/>
          <w:sz w:val="21"/>
          <w:szCs w:val="21"/>
        </w:rPr>
      </w:pPr>
      <w:r>
        <w:rPr>
          <w:rFonts w:hint="eastAsia" w:ascii="宋体" w:hAnsi="宋体" w:eastAsia="宋体" w:cs="宋体"/>
          <w:sz w:val="21"/>
          <w:szCs w:val="21"/>
        </w:rPr>
        <w:t>当N＜60分时，评价结果为不合格。</w:t>
      </w:r>
    </w:p>
    <w:p>
      <w:pPr>
        <w:pStyle w:val="13"/>
        <w:numPr>
          <w:ilvl w:val="0"/>
          <w:numId w:val="10"/>
        </w:num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有下列情形之一的，供应商/承包商履约评价不得被评为优秀、良好等级，履约评价得分不得高于79分：</w:t>
      </w:r>
    </w:p>
    <w:p>
      <w:pPr>
        <w:pStyle w:val="13"/>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因自身原因拖延合同工期6个月以上的；</w:t>
      </w:r>
    </w:p>
    <w:p>
      <w:pPr>
        <w:pStyle w:val="13"/>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项目管理班子未按投标承诺配备或者不到位的；</w:t>
      </w:r>
    </w:p>
    <w:p>
      <w:pPr>
        <w:pStyle w:val="13"/>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经认定使用假冒伪劣材料或偷工减料的；</w:t>
      </w:r>
    </w:p>
    <w:p>
      <w:pPr>
        <w:pStyle w:val="13"/>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因自身原因造成工程发生一般质量安全事故的；</w:t>
      </w:r>
    </w:p>
    <w:p>
      <w:pPr>
        <w:pStyle w:val="13"/>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因设计原因导致工程变更超过施工合同价5%的（仅限设计合同）;</w:t>
      </w:r>
    </w:p>
    <w:p>
      <w:pPr>
        <w:pStyle w:val="13"/>
        <w:numPr>
          <w:ilvl w:val="0"/>
          <w:numId w:val="12"/>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招标文件或者合同文件中列明的其他情形。</w:t>
      </w:r>
    </w:p>
    <w:p>
      <w:pPr>
        <w:pStyle w:val="13"/>
        <w:numPr>
          <w:ilvl w:val="0"/>
          <w:numId w:val="10"/>
        </w:numPr>
        <w:spacing w:line="24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有下列情形之一的，供应商/承包商履约评价直接被评为“不合格”，得分不得高于59分，并被剔除供应商库：</w:t>
      </w:r>
    </w:p>
    <w:p>
      <w:pPr>
        <w:pStyle w:val="13"/>
        <w:numPr>
          <w:ilvl w:val="0"/>
          <w:numId w:val="13"/>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因自身原因拖延合同工期12个月以上的；</w:t>
      </w:r>
    </w:p>
    <w:p>
      <w:pPr>
        <w:pStyle w:val="13"/>
        <w:numPr>
          <w:ilvl w:val="0"/>
          <w:numId w:val="13"/>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因拖欠工人工资或分包商工程款，引发群体性上访事件的；</w:t>
      </w:r>
    </w:p>
    <w:p>
      <w:pPr>
        <w:pStyle w:val="13"/>
        <w:numPr>
          <w:ilvl w:val="0"/>
          <w:numId w:val="13"/>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因自身原因未按合同约定提交项目结算报告的；</w:t>
      </w:r>
    </w:p>
    <w:p>
      <w:pPr>
        <w:pStyle w:val="13"/>
        <w:numPr>
          <w:ilvl w:val="0"/>
          <w:numId w:val="13"/>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经认定使用假冒伪劣材料或偷工减料，情节恶劣或者情形严重的；</w:t>
      </w:r>
    </w:p>
    <w:p>
      <w:pPr>
        <w:pStyle w:val="13"/>
        <w:numPr>
          <w:ilvl w:val="0"/>
          <w:numId w:val="13"/>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因自身原因造成工程发生较大及以上质量安全事故的；</w:t>
      </w:r>
    </w:p>
    <w:p>
      <w:pPr>
        <w:pStyle w:val="13"/>
        <w:numPr>
          <w:ilvl w:val="0"/>
          <w:numId w:val="13"/>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因该工程存在串通投标、转包、以他人名义投标、违法分包或者弄虚作假等违法行为，被行政监督部门行政处罚的；</w:t>
      </w:r>
    </w:p>
    <w:p>
      <w:pPr>
        <w:pStyle w:val="13"/>
        <w:numPr>
          <w:ilvl w:val="0"/>
          <w:numId w:val="13"/>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经纪检监察机关或者有关部门认定，存在贿赂政府部门公职人员的行为的；</w:t>
      </w:r>
    </w:p>
    <w:p>
      <w:pPr>
        <w:pStyle w:val="13"/>
        <w:numPr>
          <w:ilvl w:val="0"/>
          <w:numId w:val="13"/>
        </w:numPr>
        <w:spacing w:line="240" w:lineRule="auto"/>
        <w:ind w:left="425" w:hanging="425"/>
        <w:rPr>
          <w:rFonts w:hint="eastAsia" w:ascii="宋体" w:hAnsi="宋体" w:eastAsia="宋体" w:cs="宋体"/>
          <w:sz w:val="21"/>
          <w:szCs w:val="21"/>
        </w:rPr>
      </w:pPr>
      <w:r>
        <w:rPr>
          <w:rFonts w:hint="eastAsia" w:ascii="宋体" w:hAnsi="宋体" w:eastAsia="宋体" w:cs="宋体"/>
          <w:sz w:val="21"/>
          <w:szCs w:val="21"/>
        </w:rPr>
        <w:t>招标文件或者合同文件中列明的其他情形。</w:t>
      </w:r>
    </w:p>
    <w:p>
      <w:pPr>
        <w:tabs>
          <w:tab w:val="left" w:pos="945"/>
        </w:tabs>
        <w:autoSpaceDE w:val="0"/>
        <w:autoSpaceDN w:val="0"/>
        <w:adjustRightInd w:val="0"/>
        <w:spacing w:line="240" w:lineRule="auto"/>
        <w:ind w:firstLine="420" w:firstLineChars="200"/>
        <w:jc w:val="left"/>
        <w:textAlignment w:val="baseline"/>
        <w:rPr>
          <w:rFonts w:hint="eastAsia" w:ascii="宋体" w:hAnsi="宋体" w:eastAsia="宋体" w:cs="宋体"/>
          <w:color w:val="000000" w:themeColor="text1"/>
          <w:sz w:val="21"/>
          <w:szCs w:val="21"/>
          <w14:textFill>
            <w14:solidFill>
              <w14:schemeClr w14:val="tx1"/>
            </w14:solidFill>
          </w14:textFill>
        </w:rPr>
      </w:pPr>
    </w:p>
    <w:p>
      <w:pPr>
        <w:numPr>
          <w:ilvl w:val="0"/>
          <w:numId w:val="7"/>
        </w:numPr>
        <w:spacing w:line="240" w:lineRule="auto"/>
        <w:ind w:firstLine="42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*.报价方式和币种：</w:t>
      </w:r>
    </w:p>
    <w:p>
      <w:pPr>
        <w:autoSpaceDE w:val="0"/>
        <w:autoSpaceDN w:val="0"/>
        <w:adjustRightInd w:val="0"/>
        <w:snapToGrid w:val="0"/>
        <w:spacing w:line="240" w:lineRule="auto"/>
        <w:ind w:firstLine="482"/>
        <w:rPr>
          <w:rFonts w:hint="eastAsia" w:ascii="宋体" w:hAnsi="宋体" w:eastAsia="宋体" w:cs="宋体"/>
          <w:b/>
          <w:bCs/>
          <w:color w:val="000000"/>
          <w:szCs w:val="21"/>
        </w:rPr>
      </w:pPr>
    </w:p>
    <w:p>
      <w:pPr>
        <w:autoSpaceDE w:val="0"/>
        <w:autoSpaceDN w:val="0"/>
        <w:adjustRightInd w:val="0"/>
        <w:snapToGrid w:val="0"/>
        <w:spacing w:line="240" w:lineRule="auto"/>
        <w:ind w:firstLine="482"/>
        <w:rPr>
          <w:rFonts w:hint="eastAsia" w:ascii="宋体" w:hAnsi="宋体" w:eastAsia="宋体" w:cs="宋体"/>
          <w:b/>
          <w:color w:val="000000" w:themeColor="text1"/>
          <w:szCs w:val="21"/>
          <w:u w:val="single"/>
          <w14:textFill>
            <w14:solidFill>
              <w14:schemeClr w14:val="tx1"/>
            </w14:solidFill>
          </w14:textFill>
        </w:rPr>
      </w:pPr>
      <w:r>
        <w:rPr>
          <w:rFonts w:hint="eastAsia" w:ascii="宋体" w:hAnsi="宋体" w:eastAsia="宋体" w:cs="宋体"/>
          <w:b/>
          <w:bCs/>
          <w:color w:val="000000"/>
          <w:szCs w:val="21"/>
        </w:rPr>
        <w:t>★</w:t>
      </w:r>
      <w:r>
        <w:rPr>
          <w:rFonts w:hint="eastAsia" w:ascii="宋体" w:hAnsi="宋体" w:eastAsia="宋体" w:cs="宋体"/>
          <w:b/>
          <w:color w:val="000000" w:themeColor="text1"/>
          <w:szCs w:val="21"/>
          <w:u w:val="single"/>
          <w14:textFill>
            <w14:solidFill>
              <w14:schemeClr w14:val="tx1"/>
            </w14:solidFill>
          </w14:textFill>
        </w:rPr>
        <w:t>本项目最高限价：人民币</w:t>
      </w:r>
      <w:r>
        <w:rPr>
          <w:rFonts w:hint="eastAsia" w:ascii="宋体" w:hAnsi="宋体" w:eastAsia="宋体" w:cs="宋体"/>
          <w:b/>
          <w:color w:val="000000" w:themeColor="text1"/>
          <w:szCs w:val="21"/>
          <w:u w:val="single"/>
          <w:lang w:val="en-US" w:eastAsia="zh-CN"/>
          <w14:textFill>
            <w14:solidFill>
              <w14:schemeClr w14:val="tx1"/>
            </w14:solidFill>
          </w14:textFill>
        </w:rPr>
        <w:t>玖</w:t>
      </w:r>
      <w:r>
        <w:rPr>
          <w:rFonts w:hint="eastAsia" w:ascii="宋体" w:hAnsi="宋体" w:eastAsia="宋体" w:cs="宋体"/>
          <w:b/>
          <w:color w:val="000000" w:themeColor="text1"/>
          <w:szCs w:val="21"/>
          <w:u w:val="single"/>
          <w14:textFill>
            <w14:solidFill>
              <w14:schemeClr w14:val="tx1"/>
            </w14:solidFill>
          </w14:textFill>
        </w:rPr>
        <w:t>万元整（¥</w:t>
      </w:r>
      <w:r>
        <w:rPr>
          <w:rFonts w:hint="eastAsia" w:ascii="宋体" w:hAnsi="宋体" w:eastAsia="宋体" w:cs="宋体"/>
          <w:b/>
          <w:color w:val="000000" w:themeColor="text1"/>
          <w:szCs w:val="21"/>
          <w:highlight w:val="none"/>
          <w:u w:val="single"/>
          <w:lang w:val="en-US" w:eastAsia="zh-CN"/>
          <w14:textFill>
            <w14:solidFill>
              <w14:schemeClr w14:val="tx1"/>
            </w14:solidFill>
          </w14:textFill>
        </w:rPr>
        <w:t>90000</w:t>
      </w:r>
      <w:r>
        <w:rPr>
          <w:rFonts w:hint="eastAsia" w:ascii="宋体" w:hAnsi="宋体" w:eastAsia="宋体" w:cs="宋体"/>
          <w:b/>
          <w:color w:val="000000" w:themeColor="text1"/>
          <w:szCs w:val="21"/>
          <w:highlight w:val="none"/>
          <w:u w:val="single"/>
          <w14:textFill>
            <w14:solidFill>
              <w14:schemeClr w14:val="tx1"/>
            </w14:solidFill>
          </w14:textFill>
        </w:rPr>
        <w:t>元</w:t>
      </w:r>
      <w:r>
        <w:rPr>
          <w:rFonts w:hint="eastAsia" w:ascii="宋体" w:hAnsi="宋体" w:eastAsia="宋体" w:cs="宋体"/>
          <w:b/>
          <w:color w:val="000000" w:themeColor="text1"/>
          <w:szCs w:val="21"/>
          <w:u w:val="single"/>
          <w14:textFill>
            <w14:solidFill>
              <w14:schemeClr w14:val="tx1"/>
            </w14:solidFill>
          </w14:textFill>
        </w:rPr>
        <w:t>），任何超过此限价的竞标报价，采购人不予接受。（最高限价为控制价）</w:t>
      </w:r>
    </w:p>
    <w:p>
      <w:pPr>
        <w:spacing w:line="24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投标报价应包括：所有采购服务、货物费用、运至合同指定地点的运输费、保险费、安装、技术培训费、各种税费等。(包含以上费用且不仅限于以上费用，其他与项目相关的费用均包含在投标报价内。)</w:t>
      </w:r>
    </w:p>
    <w:p>
      <w:pPr>
        <w:spacing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投标货币：人民币　</w:t>
      </w:r>
    </w:p>
    <w:p>
      <w:pPr>
        <w:spacing w:line="240" w:lineRule="auto"/>
        <w:rPr>
          <w:rFonts w:hint="eastAsia" w:ascii="宋体" w:hAnsi="宋体" w:eastAsia="宋体" w:cs="宋体"/>
          <w:b/>
          <w:color w:val="000000" w:themeColor="text1"/>
          <w:szCs w:val="21"/>
          <w14:textFill>
            <w14:solidFill>
              <w14:schemeClr w14:val="tx1"/>
            </w14:solidFill>
          </w14:textFill>
        </w:rPr>
      </w:pPr>
    </w:p>
    <w:p>
      <w:pPr>
        <w:numPr>
          <w:ilvl w:val="0"/>
          <w:numId w:val="7"/>
        </w:numPr>
        <w:spacing w:line="240" w:lineRule="auto"/>
        <w:ind w:firstLine="42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特别说明</w:t>
      </w:r>
    </w:p>
    <w:p>
      <w:pPr>
        <w:spacing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当竞争性谈判文件中出现前后表述不一致的时候，以竞争性谈判文件中对谈判供应商责任规定较严格的为准。</w:t>
      </w:r>
    </w:p>
    <w:p>
      <w:pPr>
        <w:spacing w:line="24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当谈判响应文件中出现前后表述不一致的时候，以谈判响应文件中对谈判供应商责任规定较严格的为准。</w:t>
      </w:r>
    </w:p>
    <w:p>
      <w:pPr>
        <w:spacing w:line="24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采购人在本竞争性谈判文件中所列举的软硬件设备需求应视为保证本系统运行所需的最低要求，如有遗漏，投标方应予以补充，否则一旦中标将认为投标方认同遗漏部分并免费提供</w:t>
      </w:r>
      <w:r>
        <w:rPr>
          <w:rFonts w:hint="eastAsia" w:ascii="宋体" w:hAnsi="宋体" w:eastAsia="宋体" w:cs="宋体"/>
          <w:color w:val="000000" w:themeColor="text1"/>
          <w:szCs w:val="21"/>
          <w:lang w:eastAsia="zh-CN"/>
          <w14:textFill>
            <w14:solidFill>
              <w14:schemeClr w14:val="tx1"/>
            </w14:solidFill>
          </w14:textFill>
        </w:rPr>
        <w:t>。</w:t>
      </w:r>
    </w:p>
    <w:p>
      <w:pPr>
        <w:spacing w:line="240" w:lineRule="auto"/>
        <w:jc w:val="left"/>
        <w:rPr>
          <w:rFonts w:ascii="黑体" w:eastAsia="黑体"/>
          <w:color w:val="000000" w:themeColor="text1"/>
          <w:sz w:val="28"/>
          <w:szCs w:val="28"/>
          <w14:textFill>
            <w14:solidFill>
              <w14:schemeClr w14:val="tx1"/>
            </w14:solidFill>
          </w14:textFill>
        </w:rPr>
      </w:pPr>
      <w:r>
        <w:rPr>
          <w:rFonts w:ascii="黑体" w:eastAsia="黑体"/>
          <w:color w:val="000000" w:themeColor="text1"/>
          <w:sz w:val="28"/>
          <w:szCs w:val="28"/>
          <w14:textFill>
            <w14:solidFill>
              <w14:schemeClr w14:val="tx1"/>
            </w14:solidFill>
          </w14:textFill>
        </w:rPr>
        <w:br w:type="page"/>
      </w:r>
    </w:p>
    <w:p>
      <w:pPr>
        <w:pStyle w:val="13"/>
      </w:pPr>
    </w:p>
    <w:p>
      <w:pPr>
        <w:numPr>
          <w:ilvl w:val="1"/>
          <w:numId w:val="6"/>
        </w:numPr>
        <w:spacing w:line="240" w:lineRule="auto"/>
        <w:ind w:firstLine="402"/>
        <w:jc w:val="center"/>
        <w:outlineLvl w:val="1"/>
        <w:rPr>
          <w:rFonts w:ascii="黑体" w:eastAsia="黑体"/>
          <w:color w:val="000000" w:themeColor="text1"/>
          <w:sz w:val="28"/>
          <w:szCs w:val="28"/>
          <w14:textFill>
            <w14:solidFill>
              <w14:schemeClr w14:val="tx1"/>
            </w14:solidFill>
          </w14:textFill>
        </w:rPr>
      </w:pPr>
      <w:bookmarkStart w:id="90" w:name="_Toc11003"/>
      <w:r>
        <w:rPr>
          <w:rFonts w:hint="eastAsia" w:ascii="黑体" w:eastAsia="黑体" w:hAnsiTheme="minorHAnsi"/>
          <w:color w:val="000000" w:themeColor="text1"/>
          <w:sz w:val="28"/>
          <w:szCs w:val="28"/>
          <w14:textFill>
            <w14:solidFill>
              <w14:schemeClr w14:val="tx1"/>
            </w14:solidFill>
          </w14:textFill>
        </w:rPr>
        <w:t>*</w:t>
      </w:r>
      <w:r>
        <w:rPr>
          <w:rFonts w:hint="eastAsia" w:ascii="黑体" w:eastAsia="黑体"/>
          <w:color w:val="000000" w:themeColor="text1"/>
          <w:sz w:val="28"/>
          <w:szCs w:val="28"/>
          <w:lang w:val="en-US" w:eastAsia="zh-CN"/>
          <w14:textFill>
            <w14:solidFill>
              <w14:schemeClr w14:val="tx1"/>
            </w14:solidFill>
          </w14:textFill>
        </w:rPr>
        <w:t>用户</w:t>
      </w:r>
      <w:r>
        <w:rPr>
          <w:rFonts w:hint="eastAsia" w:ascii="黑体" w:eastAsia="黑体"/>
          <w:color w:val="000000" w:themeColor="text1"/>
          <w:sz w:val="28"/>
          <w:szCs w:val="28"/>
          <w14:textFill>
            <w14:solidFill>
              <w14:schemeClr w14:val="tx1"/>
            </w14:solidFill>
          </w14:textFill>
        </w:rPr>
        <w:t>要求</w:t>
      </w:r>
      <w:bookmarkEnd w:id="90"/>
    </w:p>
    <w:p>
      <w:pPr>
        <w:numPr>
          <w:ilvl w:val="-1"/>
          <w:numId w:val="0"/>
        </w:numPr>
        <w:spacing w:line="240" w:lineRule="auto"/>
        <w:ind w:left="420" w:firstLine="0"/>
        <w:rPr>
          <w:rFonts w:asciiTheme="minorEastAsia" w:hAnsiTheme="minorEastAsia"/>
          <w:b/>
          <w:color w:val="000000" w:themeColor="text1"/>
          <w:sz w:val="24"/>
          <w14:textFill>
            <w14:solidFill>
              <w14:schemeClr w14:val="tx1"/>
            </w14:solidFill>
          </w14:textFill>
        </w:rPr>
      </w:pPr>
      <w:bookmarkStart w:id="91" w:name="_Toc3582"/>
      <w:bookmarkStart w:id="92" w:name="_Toc23921"/>
    </w:p>
    <w:p>
      <w:pPr>
        <w:pageBreakBefore w:val="0"/>
        <w:numPr>
          <w:ilvl w:val="0"/>
          <w:numId w:val="14"/>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赛事规模及时间要求：</w:t>
      </w:r>
    </w:p>
    <w:p>
      <w:pPr>
        <w:numPr>
          <w:ilvl w:val="0"/>
          <w:numId w:val="15"/>
        </w:numPr>
        <w:rPr>
          <w:rFonts w:hint="eastAsia"/>
        </w:rPr>
      </w:pPr>
      <w:r>
        <w:rPr>
          <w:rFonts w:hint="eastAsia"/>
        </w:rPr>
        <w:t>赛事规模及时间要求：</w:t>
      </w:r>
    </w:p>
    <w:p>
      <w:pPr>
        <w:numPr>
          <w:ilvl w:val="0"/>
          <w:numId w:val="16"/>
        </w:numPr>
        <w:tabs>
          <w:tab w:val="left" w:pos="945"/>
        </w:tabs>
        <w:autoSpaceDE w:val="0"/>
        <w:autoSpaceDN w:val="0"/>
        <w:adjustRightInd w:val="0"/>
        <w:spacing w:line="360" w:lineRule="auto"/>
        <w:ind w:left="420" w:leftChars="0" w:firstLine="0" w:firstLineChars="0"/>
        <w:jc w:val="left"/>
        <w:textAlignment w:val="baseline"/>
        <w:rPr>
          <w:rFonts w:hint="eastAsia" w:ascii="宋体" w:hAnsi="宋体" w:eastAsia="宋体" w:cs="宋体"/>
          <w:b w:val="0"/>
          <w:bCs w:val="0"/>
          <w:sz w:val="21"/>
          <w:szCs w:val="21"/>
          <w:highlight w:val="none"/>
          <w:u w:val="single"/>
        </w:rPr>
      </w:pPr>
      <w:r>
        <w:rPr>
          <w:rFonts w:hint="eastAsia"/>
        </w:rPr>
        <w:t>2024年第十三届深圳动漫节宅舞大赛---初赛</w:t>
      </w:r>
    </w:p>
    <w:p>
      <w:pPr>
        <w:tabs>
          <w:tab w:val="left" w:pos="945"/>
        </w:tabs>
        <w:autoSpaceDE w:val="0"/>
        <w:autoSpaceDN w:val="0"/>
        <w:adjustRightInd w:val="0"/>
        <w:spacing w:line="360" w:lineRule="auto"/>
        <w:ind w:left="439" w:leftChars="209"/>
        <w:jc w:val="left"/>
        <w:textAlignment w:val="baseline"/>
        <w:rPr>
          <w:rFonts w:hint="eastAsia" w:ascii="宋体" w:hAnsi="宋体" w:eastAsia="宋体" w:cs="宋体"/>
          <w:b w:val="0"/>
          <w:bCs w:val="0"/>
          <w:sz w:val="21"/>
          <w:szCs w:val="21"/>
          <w:highlight w:val="yellow"/>
          <w:u w:val="single"/>
        </w:rPr>
      </w:pPr>
      <w:r>
        <w:rPr>
          <w:rFonts w:hint="eastAsia"/>
        </w:rPr>
        <w:t>规模：在动漫节现场舞台进行选拔，再根据比赛选出团队及组合晋级决赛。</w:t>
      </w:r>
    </w:p>
    <w:p>
      <w:pPr>
        <w:tabs>
          <w:tab w:val="left" w:pos="945"/>
        </w:tabs>
        <w:autoSpaceDE w:val="0"/>
        <w:autoSpaceDN w:val="0"/>
        <w:adjustRightInd w:val="0"/>
        <w:spacing w:line="360" w:lineRule="auto"/>
        <w:ind w:left="439" w:leftChars="209"/>
        <w:jc w:val="left"/>
        <w:textAlignment w:val="baseline"/>
        <w:rPr>
          <w:rFonts w:hint="eastAsia" w:ascii="宋体" w:hAnsi="宋体" w:eastAsia="宋体" w:cs="宋体"/>
          <w:b w:val="0"/>
          <w:bCs w:val="0"/>
          <w:sz w:val="21"/>
          <w:szCs w:val="21"/>
          <w:highlight w:val="yellow"/>
          <w:u w:val="single"/>
        </w:rPr>
      </w:pPr>
      <w:r>
        <w:rPr>
          <w:rFonts w:hint="eastAsia"/>
        </w:rPr>
        <w:t>时间要求：2024年7月25-28日期间。每日须按照规定时间完成舞台赛事。</w:t>
      </w:r>
    </w:p>
    <w:p>
      <w:pPr>
        <w:numPr>
          <w:ilvl w:val="0"/>
          <w:numId w:val="16"/>
        </w:numPr>
        <w:tabs>
          <w:tab w:val="left" w:pos="945"/>
        </w:tabs>
        <w:autoSpaceDE w:val="0"/>
        <w:autoSpaceDN w:val="0"/>
        <w:adjustRightInd w:val="0"/>
        <w:spacing w:line="360" w:lineRule="auto"/>
        <w:ind w:left="420" w:leftChars="0" w:firstLine="0" w:firstLineChars="0"/>
        <w:jc w:val="left"/>
        <w:textAlignment w:val="baseline"/>
        <w:rPr>
          <w:rFonts w:hint="eastAsia" w:ascii="宋体" w:hAnsi="宋体" w:eastAsia="宋体" w:cs="宋体"/>
          <w:b w:val="0"/>
          <w:bCs w:val="0"/>
          <w:sz w:val="21"/>
          <w:szCs w:val="21"/>
          <w:highlight w:val="none"/>
          <w:u w:val="single"/>
        </w:rPr>
      </w:pPr>
      <w:r>
        <w:rPr>
          <w:rFonts w:hint="eastAsia"/>
        </w:rPr>
        <w:t>2024年第十三届深圳动漫节宅舞大赛---决赛</w:t>
      </w:r>
    </w:p>
    <w:p>
      <w:pPr>
        <w:tabs>
          <w:tab w:val="left" w:pos="945"/>
        </w:tabs>
        <w:autoSpaceDE w:val="0"/>
        <w:autoSpaceDN w:val="0"/>
        <w:adjustRightInd w:val="0"/>
        <w:spacing w:line="360" w:lineRule="auto"/>
        <w:ind w:left="439" w:leftChars="209"/>
        <w:jc w:val="left"/>
        <w:textAlignment w:val="baseline"/>
        <w:rPr>
          <w:rFonts w:hint="eastAsia" w:ascii="宋体" w:hAnsi="宋体" w:eastAsia="宋体" w:cs="宋体"/>
          <w:b w:val="0"/>
          <w:bCs w:val="0"/>
          <w:sz w:val="21"/>
          <w:szCs w:val="21"/>
          <w:highlight w:val="yellow"/>
          <w:u w:val="single"/>
        </w:rPr>
      </w:pPr>
      <w:r>
        <w:rPr>
          <w:rFonts w:hint="eastAsia"/>
        </w:rPr>
        <w:t>规模：最终角逐出组合及团队各自冠、亚、季军、最具潜力奖等。</w:t>
      </w:r>
    </w:p>
    <w:p>
      <w:pPr>
        <w:tabs>
          <w:tab w:val="left" w:pos="945"/>
        </w:tabs>
        <w:autoSpaceDE w:val="0"/>
        <w:autoSpaceDN w:val="0"/>
        <w:adjustRightInd w:val="0"/>
        <w:spacing w:line="360" w:lineRule="auto"/>
        <w:ind w:left="439" w:leftChars="209"/>
        <w:jc w:val="left"/>
        <w:textAlignment w:val="baseline"/>
        <w:rPr>
          <w:rFonts w:hint="eastAsia" w:ascii="宋体" w:hAnsi="宋体" w:eastAsia="宋体" w:cs="宋体"/>
          <w:b w:val="0"/>
          <w:bCs w:val="0"/>
          <w:sz w:val="21"/>
          <w:szCs w:val="21"/>
          <w:highlight w:val="yellow"/>
          <w:u w:val="single"/>
        </w:rPr>
      </w:pPr>
      <w:r>
        <w:rPr>
          <w:rFonts w:hint="eastAsia"/>
        </w:rPr>
        <w:t>备注：需要保证一定数量的优秀团队参赛，可参考往年赛事获奖作品、规模，可采取邀请、补贴的方式</w:t>
      </w:r>
    </w:p>
    <w:p>
      <w:pPr>
        <w:numPr>
          <w:ilvl w:val="0"/>
          <w:numId w:val="16"/>
        </w:numPr>
        <w:tabs>
          <w:tab w:val="left" w:pos="945"/>
        </w:tabs>
        <w:autoSpaceDE w:val="0"/>
        <w:autoSpaceDN w:val="0"/>
        <w:adjustRightInd w:val="0"/>
        <w:spacing w:line="360" w:lineRule="auto"/>
        <w:ind w:left="420" w:leftChars="0" w:firstLine="0" w:firstLineChars="0"/>
        <w:jc w:val="left"/>
        <w:textAlignment w:val="baseline"/>
        <w:rPr>
          <w:rFonts w:hint="eastAsia" w:ascii="宋体" w:hAnsi="宋体" w:eastAsia="宋体" w:cs="宋体"/>
          <w:b w:val="0"/>
          <w:bCs w:val="0"/>
          <w:sz w:val="21"/>
          <w:szCs w:val="21"/>
          <w:highlight w:val="none"/>
          <w:u w:val="single"/>
        </w:rPr>
      </w:pPr>
      <w:r>
        <w:rPr>
          <w:rFonts w:hint="eastAsia"/>
        </w:rPr>
        <w:t>2024年第十三届深圳动漫节主题巡游活动</w:t>
      </w:r>
    </w:p>
    <w:p>
      <w:pPr>
        <w:tabs>
          <w:tab w:val="left" w:pos="945"/>
        </w:tabs>
        <w:autoSpaceDE w:val="0"/>
        <w:autoSpaceDN w:val="0"/>
        <w:adjustRightInd w:val="0"/>
        <w:spacing w:line="360" w:lineRule="auto"/>
        <w:ind w:left="439" w:leftChars="209"/>
        <w:jc w:val="left"/>
        <w:textAlignment w:val="baseline"/>
        <w:rPr>
          <w:rFonts w:hint="eastAsia"/>
        </w:rPr>
      </w:pPr>
      <w:r>
        <w:rPr>
          <w:rFonts w:hint="eastAsia"/>
        </w:rPr>
        <w:t>时间要求：2024年7月25-28日期间。</w:t>
      </w:r>
    </w:p>
    <w:p>
      <w:pPr>
        <w:tabs>
          <w:tab w:val="left" w:pos="945"/>
        </w:tabs>
        <w:autoSpaceDE w:val="0"/>
        <w:autoSpaceDN w:val="0"/>
        <w:adjustRightInd w:val="0"/>
        <w:spacing w:line="360" w:lineRule="auto"/>
        <w:ind w:left="439" w:leftChars="209"/>
        <w:jc w:val="left"/>
        <w:textAlignment w:val="baseline"/>
        <w:rPr>
          <w:rFonts w:hint="eastAsia" w:ascii="宋体" w:hAnsi="宋体" w:eastAsia="宋体" w:cs="宋体"/>
          <w:b w:val="0"/>
          <w:bCs w:val="0"/>
          <w:sz w:val="21"/>
          <w:szCs w:val="21"/>
          <w:highlight w:val="yellow"/>
          <w:u w:val="single"/>
        </w:rPr>
      </w:pPr>
      <w:r>
        <w:rPr>
          <w:rFonts w:hint="eastAsia"/>
        </w:rPr>
        <w:t>规模：每日须按照完成不同主题再规定时间在动漫节现场组织巡游活动。</w:t>
      </w:r>
    </w:p>
    <w:p>
      <w:pPr>
        <w:numPr>
          <w:ilvl w:val="-1"/>
          <w:numId w:val="0"/>
        </w:numPr>
        <w:rPr>
          <w:rFonts w:hint="eastAsia"/>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color w:val="auto"/>
          <w:sz w:val="21"/>
          <w:szCs w:val="21"/>
        </w:rPr>
        <w:t>如因其他不可抗力因素，致使本项目展会被取消、暂停、缩短展期或举办日期和地点的变更的，招标人有权解除本合同，招标人不承担违约责任，对于中标人已发生的费用据实结算，中标人应向招标人退还多余合同款项。</w:t>
      </w:r>
    </w:p>
    <w:p>
      <w:pPr>
        <w:pageBreakBefore w:val="0"/>
        <w:numPr>
          <w:ilvl w:val="0"/>
          <w:numId w:val="14"/>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zh-CN"/>
        </w:rPr>
        <w:t>★</w:t>
      </w:r>
      <w:r>
        <w:rPr>
          <w:rFonts w:hint="eastAsia" w:ascii="宋体" w:hAnsi="宋体" w:eastAsia="宋体" w:cs="宋体"/>
          <w:b/>
          <w:bCs/>
          <w:color w:val="auto"/>
          <w:sz w:val="24"/>
          <w:szCs w:val="24"/>
        </w:rPr>
        <w:t>投标人负责工作</w:t>
      </w:r>
      <w:r>
        <w:rPr>
          <w:rFonts w:hint="eastAsia" w:ascii="宋体" w:hAnsi="宋体" w:eastAsia="宋体" w:cs="宋体"/>
          <w:b/>
          <w:bCs/>
          <w:color w:val="auto"/>
          <w:sz w:val="24"/>
          <w:szCs w:val="24"/>
          <w:lang w:eastAsia="zh-CN"/>
        </w:rPr>
        <w:t>：</w:t>
      </w:r>
    </w:p>
    <w:p>
      <w:pPr>
        <w:tabs>
          <w:tab w:val="left" w:pos="945"/>
        </w:tabs>
        <w:autoSpaceDE w:val="0"/>
        <w:autoSpaceDN w:val="0"/>
        <w:adjustRightInd w:val="0"/>
        <w:spacing w:line="360" w:lineRule="auto"/>
        <w:ind w:firstLine="403" w:firstLineChars="192"/>
        <w:jc w:val="left"/>
        <w:textAlignment w:val="baseline"/>
        <w:rPr>
          <w:rFonts w:hint="eastAsia" w:ascii="宋体" w:hAnsi="宋体" w:eastAsia="宋体" w:cs="宋体"/>
          <w:b w:val="0"/>
          <w:bCs/>
          <w:sz w:val="21"/>
          <w:szCs w:val="21"/>
          <w:highlight w:val="none"/>
        </w:rPr>
      </w:pPr>
      <w:r>
        <w:rPr>
          <w:rFonts w:hint="eastAsia"/>
        </w:rPr>
        <w:t>1. 负责2024年第十三届深圳动漫节宅舞大赛及主题巡游项目活动策划；</w:t>
      </w:r>
    </w:p>
    <w:p>
      <w:pPr>
        <w:tabs>
          <w:tab w:val="left" w:pos="945"/>
        </w:tabs>
        <w:autoSpaceDE w:val="0"/>
        <w:autoSpaceDN w:val="0"/>
        <w:adjustRightInd w:val="0"/>
        <w:spacing w:line="360" w:lineRule="auto"/>
        <w:ind w:firstLine="403" w:firstLineChars="192"/>
        <w:jc w:val="left"/>
        <w:textAlignment w:val="baseline"/>
        <w:rPr>
          <w:rFonts w:hint="eastAsia" w:ascii="宋体" w:hAnsi="宋体" w:eastAsia="宋体" w:cs="宋体"/>
          <w:b w:val="0"/>
          <w:bCs/>
          <w:sz w:val="21"/>
          <w:szCs w:val="21"/>
          <w:highlight w:val="none"/>
        </w:rPr>
      </w:pPr>
      <w:r>
        <w:rPr>
          <w:rFonts w:hint="eastAsia"/>
        </w:rPr>
        <w:t>2. 负责赛事、巡游全程组织、比赛选手招募、资格筛选及全程执行；</w:t>
      </w:r>
    </w:p>
    <w:p>
      <w:pPr>
        <w:tabs>
          <w:tab w:val="left" w:pos="945"/>
        </w:tabs>
        <w:autoSpaceDE w:val="0"/>
        <w:autoSpaceDN w:val="0"/>
        <w:adjustRightInd w:val="0"/>
        <w:spacing w:line="360" w:lineRule="auto"/>
        <w:ind w:firstLine="403" w:firstLineChars="192"/>
        <w:jc w:val="left"/>
        <w:textAlignment w:val="baseline"/>
        <w:rPr>
          <w:rFonts w:hint="eastAsia" w:ascii="宋体" w:hAnsi="宋体" w:eastAsia="宋体" w:cs="宋体"/>
          <w:b w:val="0"/>
          <w:bCs/>
          <w:sz w:val="21"/>
          <w:szCs w:val="21"/>
          <w:highlight w:val="none"/>
        </w:rPr>
      </w:pPr>
      <w:r>
        <w:rPr>
          <w:rFonts w:hint="eastAsia"/>
        </w:rPr>
        <w:t>3. 负责赛事、证书、奖杯制作颁发</w:t>
      </w:r>
      <w:r>
        <w:rPr>
          <w:rFonts w:hint="eastAsia"/>
          <w:lang w:eastAsia="zh-CN"/>
        </w:rPr>
        <w:t>（</w:t>
      </w:r>
      <w:r>
        <w:rPr>
          <w:rFonts w:hint="eastAsia"/>
          <w:lang w:val="en-US" w:eastAsia="zh-CN"/>
        </w:rPr>
        <w:t>赛事奖金由主办方发放，中标人配合</w:t>
      </w:r>
      <w:r>
        <w:rPr>
          <w:rFonts w:hint="eastAsia"/>
          <w:lang w:eastAsia="zh-CN"/>
        </w:rPr>
        <w:t>）</w:t>
      </w:r>
      <w:r>
        <w:rPr>
          <w:rFonts w:hint="eastAsia"/>
        </w:rPr>
        <w:t>；</w:t>
      </w:r>
    </w:p>
    <w:p>
      <w:pPr>
        <w:tabs>
          <w:tab w:val="left" w:pos="945"/>
        </w:tabs>
        <w:autoSpaceDE w:val="0"/>
        <w:autoSpaceDN w:val="0"/>
        <w:adjustRightInd w:val="0"/>
        <w:spacing w:line="360" w:lineRule="auto"/>
        <w:ind w:firstLine="403" w:firstLineChars="192"/>
        <w:jc w:val="left"/>
        <w:textAlignment w:val="baseline"/>
        <w:rPr>
          <w:rFonts w:hint="eastAsia" w:ascii="宋体" w:hAnsi="宋体" w:eastAsia="宋体" w:cs="宋体"/>
          <w:b w:val="0"/>
          <w:bCs/>
          <w:sz w:val="21"/>
          <w:szCs w:val="21"/>
          <w:highlight w:val="none"/>
        </w:rPr>
      </w:pPr>
      <w:r>
        <w:rPr>
          <w:rFonts w:hint="eastAsia"/>
        </w:rPr>
        <w:t>4. 负责项目推广、含私域平台、微博微信抖音等；</w:t>
      </w:r>
    </w:p>
    <w:p>
      <w:pPr>
        <w:tabs>
          <w:tab w:val="left" w:pos="945"/>
        </w:tabs>
        <w:autoSpaceDE w:val="0"/>
        <w:autoSpaceDN w:val="0"/>
        <w:adjustRightInd w:val="0"/>
        <w:spacing w:line="360" w:lineRule="auto"/>
        <w:ind w:firstLine="403" w:firstLineChars="192"/>
        <w:jc w:val="left"/>
        <w:textAlignment w:val="baseline"/>
        <w:rPr>
          <w:rFonts w:hint="eastAsia" w:ascii="宋体" w:hAnsi="宋体" w:eastAsia="宋体" w:cs="宋体"/>
          <w:b w:val="0"/>
          <w:bCs/>
          <w:sz w:val="21"/>
          <w:szCs w:val="21"/>
          <w:highlight w:val="none"/>
          <w:lang w:val="en-US"/>
        </w:rPr>
      </w:pPr>
      <w:r>
        <w:rPr>
          <w:rFonts w:hint="eastAsia"/>
        </w:rPr>
        <w:t>5. 负责项目评委、主持人的对接、接待；</w:t>
      </w:r>
    </w:p>
    <w:p>
      <w:pPr>
        <w:tabs>
          <w:tab w:val="left" w:pos="945"/>
        </w:tabs>
        <w:autoSpaceDE w:val="0"/>
        <w:autoSpaceDN w:val="0"/>
        <w:adjustRightInd w:val="0"/>
        <w:spacing w:line="360" w:lineRule="auto"/>
        <w:ind w:firstLine="403" w:firstLineChars="192"/>
        <w:jc w:val="left"/>
        <w:textAlignment w:val="baseline"/>
        <w:rPr>
          <w:rFonts w:hint="eastAsia" w:ascii="宋体" w:hAnsi="宋体" w:eastAsia="宋体" w:cs="宋体"/>
          <w:b w:val="0"/>
          <w:bCs/>
          <w:sz w:val="21"/>
          <w:szCs w:val="21"/>
          <w:highlight w:val="none"/>
          <w:lang w:eastAsia="zh-CN"/>
        </w:rPr>
      </w:pPr>
      <w:r>
        <w:rPr>
          <w:rFonts w:hint="eastAsia"/>
        </w:rPr>
        <w:t>6. 负责赛事评委邀请费、赛事奖金发放、劳务费、接待费等所有赛事相关费用支出；</w:t>
      </w:r>
    </w:p>
    <w:p>
      <w:pPr>
        <w:tabs>
          <w:tab w:val="left" w:pos="945"/>
        </w:tabs>
        <w:autoSpaceDE w:val="0"/>
        <w:autoSpaceDN w:val="0"/>
        <w:adjustRightInd w:val="0"/>
        <w:spacing w:line="360" w:lineRule="auto"/>
        <w:ind w:firstLine="403" w:firstLineChars="192"/>
        <w:jc w:val="left"/>
        <w:textAlignment w:val="baseline"/>
        <w:rPr>
          <w:rFonts w:hint="eastAsia" w:ascii="宋体" w:hAnsi="宋体" w:eastAsia="宋体" w:cs="宋体"/>
          <w:b w:val="0"/>
          <w:bCs/>
          <w:sz w:val="21"/>
          <w:szCs w:val="21"/>
          <w:highlight w:val="none"/>
          <w:u w:val="none"/>
          <w:lang w:val="en-US" w:eastAsia="zh-CN"/>
        </w:rPr>
      </w:pPr>
      <w:r>
        <w:rPr>
          <w:rFonts w:hint="eastAsia"/>
        </w:rPr>
        <w:t>7. 活动现场照片的拍摄、简短视频、总结等；</w:t>
      </w:r>
    </w:p>
    <w:p>
      <w:pPr>
        <w:numPr>
          <w:ilvl w:val="0"/>
          <w:numId w:val="17"/>
        </w:numPr>
        <w:tabs>
          <w:tab w:val="left" w:pos="945"/>
        </w:tabs>
        <w:autoSpaceDE w:val="0"/>
        <w:autoSpaceDN w:val="0"/>
        <w:adjustRightInd w:val="0"/>
        <w:spacing w:line="360" w:lineRule="auto"/>
        <w:ind w:firstLine="403" w:firstLineChars="192"/>
        <w:jc w:val="left"/>
        <w:textAlignment w:val="baseline"/>
        <w:rPr>
          <w:rFonts w:hint="eastAsia" w:ascii="宋体" w:hAnsi="宋体" w:eastAsia="宋体" w:cs="宋体"/>
          <w:b/>
          <w:color w:val="auto"/>
          <w:sz w:val="21"/>
          <w:szCs w:val="21"/>
          <w:highlight w:val="none"/>
          <w:u w:val="none"/>
        </w:rPr>
      </w:pPr>
      <w:r>
        <w:rPr>
          <w:rFonts w:hint="eastAsia"/>
        </w:rPr>
        <w:t>主题巡游纪念品的定制、采购；</w:t>
      </w:r>
    </w:p>
    <w:p>
      <w:pPr>
        <w:numPr>
          <w:ilvl w:val="0"/>
          <w:numId w:val="17"/>
        </w:numPr>
        <w:tabs>
          <w:tab w:val="left" w:pos="945"/>
        </w:tabs>
        <w:autoSpaceDE w:val="0"/>
        <w:autoSpaceDN w:val="0"/>
        <w:adjustRightInd w:val="0"/>
        <w:spacing w:line="360" w:lineRule="auto"/>
        <w:ind w:firstLine="403" w:firstLineChars="192"/>
        <w:jc w:val="left"/>
        <w:textAlignment w:val="baseline"/>
        <w:rPr>
          <w:rFonts w:hint="eastAsia" w:ascii="宋体" w:hAnsi="宋体" w:eastAsia="宋体" w:cs="宋体"/>
          <w:b/>
          <w:color w:val="auto"/>
          <w:sz w:val="21"/>
          <w:szCs w:val="21"/>
          <w:highlight w:val="none"/>
          <w:u w:val="none"/>
        </w:rPr>
      </w:pPr>
      <w:r>
        <w:rPr>
          <w:rFonts w:hint="eastAsia"/>
        </w:rPr>
        <w:t>现场巡游秩序的维护、巡游人员的管理、签到、证件发放、纪念品发放等。</w:t>
      </w:r>
    </w:p>
    <w:bookmarkEnd w:id="91"/>
    <w:bookmarkEnd w:id="92"/>
    <w:p>
      <w:pPr>
        <w:spacing w:line="240" w:lineRule="auto"/>
        <w:ind w:firstLine="249" w:firstLineChars="118"/>
        <w:rPr>
          <w:rFonts w:hint="eastAsia" w:ascii="宋体" w:hAnsi="宋体" w:eastAsia="宋体" w:cs="宋体"/>
          <w:b/>
          <w:color w:val="000000" w:themeColor="text1"/>
          <w:sz w:val="21"/>
          <w:szCs w:val="21"/>
          <w14:textFill>
            <w14:solidFill>
              <w14:schemeClr w14:val="tx1"/>
            </w14:solidFill>
          </w14:textFill>
        </w:rPr>
      </w:pPr>
    </w:p>
    <w:p>
      <w:pPr>
        <w:pageBreakBefore w:val="0"/>
        <w:numPr>
          <w:ilvl w:val="0"/>
          <w:numId w:val="14"/>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★需提供的方案：</w:t>
      </w:r>
    </w:p>
    <w:tbl>
      <w:tblPr>
        <w:tblStyle w:val="16"/>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2600"/>
        <w:gridCol w:w="1782"/>
        <w:gridCol w:w="1452"/>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600"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内容</w:t>
            </w:r>
          </w:p>
        </w:tc>
        <w:tc>
          <w:tcPr>
            <w:tcW w:w="1782"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452"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费用</w:t>
            </w:r>
          </w:p>
        </w:tc>
        <w:tc>
          <w:tcPr>
            <w:tcW w:w="2581"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numPr>
                <w:ilvl w:val="0"/>
                <w:numId w:val="18"/>
              </w:numPr>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tc>
        <w:tc>
          <w:tcPr>
            <w:tcW w:w="2600"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项目整体策划、执行方案</w:t>
            </w:r>
          </w:p>
        </w:tc>
        <w:tc>
          <w:tcPr>
            <w:tcW w:w="1782"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tc>
        <w:tc>
          <w:tcPr>
            <w:tcW w:w="1452"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tc>
        <w:tc>
          <w:tcPr>
            <w:tcW w:w="2581"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numPr>
                <w:ilvl w:val="0"/>
                <w:numId w:val="18"/>
              </w:numPr>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tc>
        <w:tc>
          <w:tcPr>
            <w:tcW w:w="2600"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活动细项预算</w:t>
            </w:r>
          </w:p>
        </w:tc>
        <w:tc>
          <w:tcPr>
            <w:tcW w:w="1782"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tc>
        <w:tc>
          <w:tcPr>
            <w:tcW w:w="1452"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tc>
        <w:tc>
          <w:tcPr>
            <w:tcW w:w="2581"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numPr>
                <w:ilvl w:val="0"/>
                <w:numId w:val="18"/>
              </w:numPr>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tc>
        <w:tc>
          <w:tcPr>
            <w:tcW w:w="2600"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奖金方案</w:t>
            </w:r>
          </w:p>
        </w:tc>
        <w:tc>
          <w:tcPr>
            <w:tcW w:w="1782"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tc>
        <w:tc>
          <w:tcPr>
            <w:tcW w:w="1452"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tc>
        <w:tc>
          <w:tcPr>
            <w:tcW w:w="2581"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numPr>
                <w:ilvl w:val="0"/>
                <w:numId w:val="18"/>
              </w:numPr>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tc>
        <w:tc>
          <w:tcPr>
            <w:tcW w:w="2600"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项目宣传推广方案</w:t>
            </w:r>
          </w:p>
        </w:tc>
        <w:tc>
          <w:tcPr>
            <w:tcW w:w="1782"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tc>
        <w:tc>
          <w:tcPr>
            <w:tcW w:w="1452"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tc>
        <w:tc>
          <w:tcPr>
            <w:tcW w:w="2581"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tc>
      </w:tr>
    </w:tbl>
    <w:p>
      <w:pPr>
        <w:rPr>
          <w:rFonts w:hint="eastAsia" w:ascii="Times New Roman" w:eastAsia="宋体"/>
          <w:b/>
          <w:sz w:val="44"/>
          <w:szCs w:val="44"/>
        </w:rPr>
      </w:pPr>
      <w:bookmarkStart w:id="93" w:name="_Toc271798817"/>
      <w:bookmarkStart w:id="94" w:name="_Toc142370552"/>
      <w:r>
        <w:rPr>
          <w:rFonts w:hint="eastAsia" w:ascii="Times New Roman" w:eastAsia="宋体"/>
          <w:b/>
          <w:sz w:val="44"/>
          <w:szCs w:val="44"/>
        </w:rPr>
        <w:br w:type="page"/>
      </w:r>
    </w:p>
    <w:p>
      <w:pPr>
        <w:pStyle w:val="3"/>
        <w:numPr>
          <w:ilvl w:val="0"/>
          <w:numId w:val="1"/>
        </w:numPr>
        <w:ind w:firstLine="402"/>
        <w:jc w:val="center"/>
        <w:rPr>
          <w:rFonts w:hint="eastAsia" w:ascii="Times New Roman" w:eastAsia="宋体"/>
          <w:b/>
          <w:sz w:val="44"/>
          <w:szCs w:val="44"/>
        </w:rPr>
      </w:pPr>
      <w:bookmarkStart w:id="95" w:name="_Toc27447"/>
      <w:r>
        <w:rPr>
          <w:rFonts w:hint="eastAsia" w:ascii="Times New Roman" w:eastAsia="宋体"/>
          <w:b/>
          <w:sz w:val="44"/>
          <w:szCs w:val="44"/>
        </w:rPr>
        <w:t>附件</w:t>
      </w:r>
      <w:bookmarkEnd w:id="93"/>
      <w:bookmarkEnd w:id="94"/>
      <w:bookmarkEnd w:id="95"/>
    </w:p>
    <w:p>
      <w:pPr>
        <w:numPr>
          <w:ilvl w:val="1"/>
          <w:numId w:val="19"/>
        </w:numPr>
        <w:spacing w:line="240" w:lineRule="auto"/>
        <w:ind w:firstLine="402"/>
        <w:jc w:val="center"/>
        <w:outlineLvl w:val="1"/>
        <w:rPr>
          <w:rFonts w:ascii="黑体" w:eastAsia="黑体"/>
          <w:b/>
          <w:sz w:val="28"/>
          <w:szCs w:val="28"/>
        </w:rPr>
      </w:pPr>
      <w:bookmarkStart w:id="96" w:name="_Toc15791"/>
      <w:r>
        <w:rPr>
          <w:rFonts w:hint="eastAsia" w:ascii="黑体" w:hAnsi="宋体" w:eastAsia="黑体"/>
          <w:color w:val="000000"/>
          <w:sz w:val="28"/>
          <w:szCs w:val="28"/>
        </w:rPr>
        <w:t>合同主要条款</w:t>
      </w:r>
      <w:bookmarkEnd w:id="96"/>
    </w:p>
    <w:p>
      <w:pPr>
        <w:spacing w:line="240" w:lineRule="auto"/>
      </w:pPr>
    </w:p>
    <w:p>
      <w:pPr>
        <w:pStyle w:val="14"/>
        <w:spacing w:after="240" w:line="240" w:lineRule="auto"/>
        <w:ind w:firstLine="537" w:firstLineChars="224"/>
        <w:jc w:val="center"/>
        <w:rPr>
          <w:rFonts w:hint="eastAsia" w:ascii="仿宋_GB2312" w:hAnsi="宋体" w:eastAsia="仿宋_GB2312"/>
          <w:color w:val="FF0000"/>
          <w:highlight w:val="yellow"/>
        </w:rPr>
      </w:pPr>
      <w:r>
        <w:rPr>
          <w:rFonts w:hint="eastAsia" w:ascii="仿宋_GB2312" w:hAnsi="宋体" w:eastAsia="仿宋_GB2312"/>
          <w:color w:val="FF0000"/>
          <w:highlight w:val="none"/>
        </w:rPr>
        <w:t>（仅供参考）</w:t>
      </w:r>
      <w:bookmarkStart w:id="97" w:name="_Toc142370554"/>
    </w:p>
    <w:p>
      <w:pPr>
        <w:jc w:val="center"/>
        <w:outlineLvl w:val="1"/>
        <w:rPr>
          <w:rFonts w:ascii="仿宋" w:hAnsi="仿宋" w:eastAsia="仿宋"/>
          <w:b/>
          <w:sz w:val="30"/>
          <w:szCs w:val="30"/>
        </w:rPr>
      </w:pPr>
      <w:r>
        <w:rPr>
          <w:rFonts w:hint="eastAsia" w:ascii="仿宋" w:hAnsi="仿宋" w:eastAsia="仿宋"/>
          <w:b/>
          <w:sz w:val="30"/>
          <w:szCs w:val="30"/>
          <w:lang w:eastAsia="zh-CN"/>
        </w:rPr>
        <w:t>2024年第十三届</w:t>
      </w:r>
      <w:r>
        <w:rPr>
          <w:rFonts w:hint="eastAsia" w:ascii="仿宋" w:hAnsi="仿宋" w:eastAsia="仿宋"/>
          <w:b/>
          <w:sz w:val="30"/>
          <w:szCs w:val="30"/>
        </w:rPr>
        <w:t>深圳动漫节</w:t>
      </w:r>
      <w:r>
        <w:rPr>
          <w:rFonts w:hint="eastAsia" w:ascii="仿宋" w:hAnsi="仿宋" w:eastAsia="仿宋"/>
          <w:b/>
          <w:color w:val="000000" w:themeColor="text1"/>
          <w:sz w:val="30"/>
          <w:szCs w:val="30"/>
          <w:lang w:val="en-US" w:eastAsia="zh-CN"/>
          <w14:textFill>
            <w14:solidFill>
              <w14:schemeClr w14:val="tx1"/>
            </w14:solidFill>
          </w14:textFill>
        </w:rPr>
        <w:t>宅舞大赛及主题巡游项目</w:t>
      </w:r>
    </w:p>
    <w:p>
      <w:pPr>
        <w:jc w:val="center"/>
        <w:outlineLvl w:val="1"/>
        <w:rPr>
          <w:rFonts w:ascii="仿宋" w:hAnsi="仿宋" w:eastAsia="仿宋"/>
          <w:b/>
          <w:sz w:val="30"/>
          <w:szCs w:val="30"/>
        </w:rPr>
      </w:pPr>
      <w:r>
        <w:rPr>
          <w:rFonts w:hint="eastAsia" w:ascii="仿宋" w:hAnsi="仿宋" w:eastAsia="仿宋"/>
          <w:b/>
          <w:sz w:val="30"/>
          <w:szCs w:val="30"/>
        </w:rPr>
        <w:t>承制合同</w:t>
      </w:r>
    </w:p>
    <w:p>
      <w:pPr>
        <w:rPr>
          <w:rFonts w:ascii="仿宋_GB2312" w:hAnsi="仿宋" w:eastAsia="仿宋_GB2312"/>
          <w:sz w:val="30"/>
          <w:szCs w:val="30"/>
        </w:rPr>
      </w:pPr>
    </w:p>
    <w:p>
      <w:pPr>
        <w:spacing w:line="360" w:lineRule="auto"/>
        <w:outlineLvl w:val="0"/>
        <w:rPr>
          <w:rFonts w:hint="eastAsia" w:ascii="仿宋" w:hAnsi="仿宋" w:eastAsia="仿宋" w:cs="仿宋"/>
          <w:szCs w:val="21"/>
        </w:rPr>
      </w:pPr>
      <w:r>
        <w:rPr>
          <w:rFonts w:hint="eastAsia" w:ascii="仿宋" w:hAnsi="仿宋" w:eastAsia="仿宋" w:cs="仿宋"/>
          <w:szCs w:val="21"/>
        </w:rPr>
        <w:t>甲  方：</w:t>
      </w:r>
      <w:r>
        <w:rPr>
          <w:rFonts w:hint="eastAsia" w:ascii="仿宋" w:hAnsi="仿宋" w:eastAsia="仿宋" w:cs="仿宋"/>
          <w:b w:val="0"/>
          <w:sz w:val="21"/>
          <w:szCs w:val="21"/>
          <w:u w:val="none"/>
          <w:lang w:eastAsia="zh-CN"/>
        </w:rPr>
        <w:t>深圳市设计之都运营发展有限公司</w:t>
      </w:r>
    </w:p>
    <w:p>
      <w:pPr>
        <w:spacing w:line="360" w:lineRule="auto"/>
        <w:outlineLvl w:val="0"/>
        <w:rPr>
          <w:rFonts w:hint="eastAsia" w:ascii="仿宋" w:hAnsi="仿宋" w:eastAsia="仿宋" w:cs="仿宋"/>
          <w:szCs w:val="21"/>
        </w:rPr>
      </w:pPr>
      <w:r>
        <w:rPr>
          <w:rFonts w:hint="eastAsia" w:ascii="仿宋" w:hAnsi="仿宋" w:eastAsia="仿宋" w:cs="仿宋"/>
          <w:szCs w:val="21"/>
        </w:rPr>
        <w:t>地  址：</w:t>
      </w:r>
      <w:r>
        <w:rPr>
          <w:rFonts w:hint="eastAsia" w:ascii="仿宋" w:hAnsi="仿宋" w:eastAsia="仿宋" w:cs="仿宋"/>
          <w:b w:val="0"/>
          <w:bCs w:val="0"/>
          <w:szCs w:val="21"/>
          <w:u w:val="none"/>
        </w:rPr>
        <w:t>深圳市福田区鹏程一路广电金融中心48楼</w:t>
      </w:r>
    </w:p>
    <w:p>
      <w:pPr>
        <w:spacing w:line="360" w:lineRule="auto"/>
        <w:rPr>
          <w:rFonts w:hint="eastAsia" w:ascii="仿宋" w:hAnsi="仿宋" w:eastAsia="仿宋" w:cs="仿宋"/>
          <w:szCs w:val="21"/>
        </w:rPr>
      </w:pPr>
    </w:p>
    <w:p>
      <w:pPr>
        <w:spacing w:line="360" w:lineRule="auto"/>
        <w:outlineLvl w:val="0"/>
        <w:rPr>
          <w:rFonts w:hint="eastAsia" w:ascii="仿宋" w:hAnsi="仿宋" w:eastAsia="仿宋" w:cs="仿宋"/>
          <w:szCs w:val="21"/>
          <w:lang w:val="en-US" w:eastAsia="zh-CN"/>
        </w:rPr>
      </w:pPr>
      <w:r>
        <w:rPr>
          <w:rFonts w:hint="eastAsia" w:ascii="仿宋" w:hAnsi="仿宋" w:eastAsia="仿宋" w:cs="仿宋"/>
          <w:szCs w:val="21"/>
        </w:rPr>
        <w:t>乙  方：</w:t>
      </w:r>
      <w:r>
        <w:rPr>
          <w:rFonts w:hint="eastAsia" w:ascii="仿宋" w:hAnsi="仿宋" w:eastAsia="仿宋" w:cs="仿宋"/>
          <w:szCs w:val="21"/>
          <w:lang w:val="en-US" w:eastAsia="zh-CN"/>
        </w:rPr>
        <w:t xml:space="preserve"> </w:t>
      </w:r>
    </w:p>
    <w:p>
      <w:pPr>
        <w:spacing w:line="360" w:lineRule="auto"/>
        <w:rPr>
          <w:rFonts w:hint="eastAsia" w:ascii="仿宋" w:hAnsi="仿宋" w:eastAsia="仿宋" w:cs="仿宋"/>
          <w:szCs w:val="21"/>
          <w:lang w:eastAsia="zh-CN"/>
        </w:rPr>
      </w:pPr>
      <w:r>
        <w:rPr>
          <w:rFonts w:hint="eastAsia" w:ascii="仿宋" w:hAnsi="仿宋" w:eastAsia="仿宋" w:cs="仿宋"/>
          <w:szCs w:val="21"/>
        </w:rPr>
        <w:t>地  址：</w:t>
      </w:r>
      <w:r>
        <w:rPr>
          <w:rFonts w:hint="eastAsia" w:ascii="仿宋" w:hAnsi="仿宋" w:eastAsia="仿宋" w:cs="仿宋"/>
          <w:szCs w:val="21"/>
          <w:lang w:val="en-US" w:eastAsia="zh-CN"/>
        </w:rPr>
        <w:t xml:space="preserve"> </w:t>
      </w:r>
    </w:p>
    <w:p>
      <w:pPr>
        <w:spacing w:line="360" w:lineRule="auto"/>
        <w:rPr>
          <w:rFonts w:hint="eastAsia" w:ascii="仿宋" w:hAnsi="仿宋" w:eastAsia="仿宋" w:cs="仿宋"/>
          <w:szCs w:val="21"/>
        </w:rPr>
      </w:pPr>
    </w:p>
    <w:p>
      <w:pPr>
        <w:spacing w:line="360" w:lineRule="auto"/>
        <w:ind w:firstLine="420" w:firstLineChars="200"/>
        <w:outlineLvl w:val="0"/>
        <w:rPr>
          <w:rFonts w:hint="eastAsia" w:ascii="仿宋" w:hAnsi="仿宋" w:eastAsia="仿宋" w:cs="仿宋"/>
          <w:szCs w:val="21"/>
        </w:rPr>
      </w:pPr>
      <w:r>
        <w:rPr>
          <w:rFonts w:hint="eastAsia" w:ascii="仿宋" w:hAnsi="仿宋" w:eastAsia="仿宋" w:cs="仿宋"/>
          <w:szCs w:val="21"/>
          <w:lang w:eastAsia="zh-CN"/>
        </w:rPr>
        <w:t>2024年第十三届</w:t>
      </w:r>
      <w:r>
        <w:rPr>
          <w:rFonts w:hint="eastAsia" w:ascii="仿宋" w:hAnsi="仿宋" w:eastAsia="仿宋" w:cs="仿宋"/>
          <w:szCs w:val="21"/>
        </w:rPr>
        <w:t>深圳动漫节将于</w:t>
      </w:r>
      <w:r>
        <w:rPr>
          <w:rFonts w:hint="eastAsia" w:ascii="仿宋" w:hAnsi="仿宋" w:eastAsia="仿宋" w:cs="仿宋"/>
          <w:szCs w:val="21"/>
          <w:lang w:eastAsia="zh-CN"/>
        </w:rPr>
        <w:t xml:space="preserve">2024年 </w:t>
      </w:r>
      <w:r>
        <w:rPr>
          <w:rFonts w:hint="eastAsia" w:ascii="仿宋" w:hAnsi="仿宋" w:eastAsia="仿宋" w:cs="仿宋"/>
          <w:szCs w:val="21"/>
        </w:rPr>
        <w:t>7月</w:t>
      </w:r>
      <w:r>
        <w:rPr>
          <w:rFonts w:hint="eastAsia" w:ascii="仿宋" w:hAnsi="仿宋" w:eastAsia="仿宋" w:cs="仿宋"/>
          <w:szCs w:val="21"/>
          <w:lang w:val="en-US" w:eastAsia="zh-CN"/>
        </w:rPr>
        <w:t>25</w:t>
      </w:r>
      <w:r>
        <w:rPr>
          <w:rFonts w:hint="eastAsia" w:ascii="仿宋" w:hAnsi="仿宋" w:eastAsia="仿宋" w:cs="仿宋"/>
          <w:szCs w:val="21"/>
        </w:rPr>
        <w:t>-2</w:t>
      </w:r>
      <w:r>
        <w:rPr>
          <w:rFonts w:hint="eastAsia" w:ascii="仿宋" w:hAnsi="仿宋" w:eastAsia="仿宋" w:cs="仿宋"/>
          <w:szCs w:val="21"/>
          <w:lang w:val="en-US" w:eastAsia="zh-CN"/>
        </w:rPr>
        <w:t>8</w:t>
      </w:r>
      <w:r>
        <w:rPr>
          <w:rFonts w:hint="eastAsia" w:ascii="仿宋" w:hAnsi="仿宋" w:eastAsia="仿宋" w:cs="仿宋"/>
          <w:szCs w:val="21"/>
        </w:rPr>
        <w:t>日在深圳市会展中心</w:t>
      </w:r>
      <w:r>
        <w:rPr>
          <w:rFonts w:hint="eastAsia" w:ascii="仿宋" w:hAnsi="仿宋" w:eastAsia="仿宋" w:cs="仿宋"/>
          <w:szCs w:val="21"/>
          <w:lang w:val="en-US" w:eastAsia="zh-CN"/>
        </w:rPr>
        <w:t>2.3.4</w:t>
      </w:r>
      <w:r>
        <w:rPr>
          <w:rFonts w:hint="eastAsia" w:ascii="仿宋" w:hAnsi="仿宋" w:eastAsia="仿宋" w:cs="仿宋"/>
          <w:szCs w:val="21"/>
        </w:rPr>
        <w:t>号馆举行。甲方（</w:t>
      </w:r>
      <w:r>
        <w:rPr>
          <w:rFonts w:hint="eastAsia" w:ascii="仿宋" w:hAnsi="仿宋" w:eastAsia="仿宋" w:cs="仿宋"/>
          <w:szCs w:val="21"/>
          <w:lang w:eastAsia="zh-CN"/>
        </w:rPr>
        <w:t>深圳市设计之都运营发展有限公司</w:t>
      </w:r>
      <w:r>
        <w:rPr>
          <w:rFonts w:hint="eastAsia" w:ascii="仿宋" w:hAnsi="仿宋" w:eastAsia="仿宋" w:cs="仿宋"/>
          <w:szCs w:val="21"/>
        </w:rPr>
        <w:t>）为本次活动的主办方，乙方（</w:t>
      </w:r>
      <w:r>
        <w:rPr>
          <w:rFonts w:hint="eastAsia" w:ascii="仿宋" w:hAnsi="仿宋" w:eastAsia="仿宋" w:cs="仿宋"/>
          <w:szCs w:val="21"/>
          <w:lang w:eastAsia="zh-CN"/>
        </w:rPr>
        <w:t>xxx</w:t>
      </w:r>
      <w:r>
        <w:rPr>
          <w:rFonts w:hint="eastAsia" w:ascii="仿宋" w:hAnsi="仿宋" w:eastAsia="仿宋" w:cs="仿宋"/>
          <w:szCs w:val="21"/>
        </w:rPr>
        <w:t>）为</w:t>
      </w:r>
      <w:r>
        <w:rPr>
          <w:rFonts w:hint="eastAsia" w:ascii="仿宋" w:hAnsi="仿宋" w:eastAsia="仿宋" w:cs="仿宋"/>
          <w:szCs w:val="21"/>
          <w:lang w:eastAsia="zh-CN"/>
        </w:rPr>
        <w:t>2024年第十三届</w:t>
      </w:r>
      <w:r>
        <w:rPr>
          <w:rFonts w:hint="eastAsia" w:ascii="仿宋" w:hAnsi="仿宋" w:eastAsia="仿宋" w:cs="仿宋"/>
          <w:szCs w:val="21"/>
        </w:rPr>
        <w:t>深圳动漫节</w:t>
      </w:r>
      <w:r>
        <w:rPr>
          <w:rFonts w:hint="eastAsia" w:ascii="仿宋" w:hAnsi="仿宋" w:eastAsia="仿宋" w:cs="仿宋"/>
          <w:b w:val="0"/>
          <w:sz w:val="21"/>
          <w:szCs w:val="21"/>
          <w:u w:val="none"/>
          <w:lang w:val="en-US" w:eastAsia="zh-CN"/>
        </w:rPr>
        <w:t>宅舞大赛及主题巡游项目</w:t>
      </w:r>
      <w:r>
        <w:rPr>
          <w:rFonts w:hint="eastAsia" w:ascii="仿宋" w:hAnsi="仿宋" w:eastAsia="仿宋" w:cs="仿宋"/>
          <w:szCs w:val="21"/>
        </w:rPr>
        <w:t>活动（以下简称‘本次活动’或‘该项目’）的承办方。经甲乙双方友好协商，双方就本次活动达成以下合作意向：</w:t>
      </w:r>
    </w:p>
    <w:p>
      <w:pPr>
        <w:spacing w:line="360" w:lineRule="auto"/>
        <w:outlineLvl w:val="1"/>
        <w:rPr>
          <w:rFonts w:hint="eastAsia" w:ascii="仿宋" w:hAnsi="仿宋" w:eastAsia="仿宋" w:cs="仿宋"/>
          <w:b/>
          <w:szCs w:val="21"/>
        </w:rPr>
      </w:pPr>
      <w:r>
        <w:rPr>
          <w:rFonts w:hint="eastAsia" w:ascii="仿宋" w:hAnsi="仿宋" w:eastAsia="仿宋" w:cs="仿宋"/>
          <w:b/>
          <w:szCs w:val="21"/>
        </w:rPr>
        <w:t>一、合作内容：</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（一）甲方授权乙方为</w:t>
      </w:r>
      <w:r>
        <w:rPr>
          <w:rFonts w:hint="eastAsia" w:ascii="仿宋" w:hAnsi="仿宋" w:eastAsia="仿宋" w:cs="仿宋"/>
          <w:szCs w:val="21"/>
          <w:lang w:eastAsia="zh-CN"/>
        </w:rPr>
        <w:t>2024年第十三届</w:t>
      </w:r>
      <w:r>
        <w:rPr>
          <w:rFonts w:hint="eastAsia" w:ascii="仿宋" w:hAnsi="仿宋" w:eastAsia="仿宋" w:cs="仿宋"/>
          <w:szCs w:val="21"/>
        </w:rPr>
        <w:t>深圳动漫节</w:t>
      </w:r>
      <w:r>
        <w:rPr>
          <w:rFonts w:hint="eastAsia" w:ascii="仿宋" w:hAnsi="仿宋" w:eastAsia="仿宋" w:cs="仿宋"/>
          <w:b w:val="0"/>
          <w:sz w:val="21"/>
          <w:szCs w:val="21"/>
          <w:lang w:val="en-US" w:eastAsia="zh-CN"/>
        </w:rPr>
        <w:t>宅舞大赛及主题巡游项目</w:t>
      </w:r>
      <w:r>
        <w:rPr>
          <w:rFonts w:hint="eastAsia" w:ascii="仿宋" w:hAnsi="仿宋" w:eastAsia="仿宋" w:cs="仿宋"/>
          <w:szCs w:val="21"/>
        </w:rPr>
        <w:t>承办单位，乙方为该项目进行</w:t>
      </w:r>
      <w:r>
        <w:rPr>
          <w:rFonts w:hint="eastAsia" w:ascii="仿宋" w:hAnsi="仿宋" w:eastAsia="仿宋" w:cs="仿宋"/>
          <w:b w:val="0"/>
          <w:sz w:val="21"/>
          <w:szCs w:val="21"/>
          <w:lang w:val="en-US" w:eastAsia="zh-CN"/>
        </w:rPr>
        <w:t>活动策划、选手招募、资格筛查、宣传推广、嘉宾邀请、主题巡游等具体工作</w:t>
      </w:r>
      <w:r>
        <w:rPr>
          <w:rFonts w:hint="eastAsia" w:ascii="仿宋" w:hAnsi="仿宋" w:eastAsia="仿宋" w:cs="仿宋"/>
          <w:szCs w:val="21"/>
        </w:rPr>
        <w:t>及</w:t>
      </w:r>
      <w:r>
        <w:rPr>
          <w:rFonts w:hint="eastAsia" w:ascii="仿宋" w:hAnsi="仿宋" w:eastAsia="仿宋" w:cs="仿宋"/>
          <w:szCs w:val="21"/>
          <w:lang w:val="en-US" w:eastAsia="zh-CN"/>
        </w:rPr>
        <w:t>赛事</w:t>
      </w:r>
      <w:r>
        <w:rPr>
          <w:rFonts w:hint="eastAsia" w:ascii="仿宋" w:hAnsi="仿宋" w:eastAsia="仿宋" w:cs="仿宋"/>
          <w:szCs w:val="21"/>
        </w:rPr>
        <w:t>全程执行；</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（二）甲方授权乙方</w:t>
      </w:r>
      <w:r>
        <w:rPr>
          <w:rFonts w:hint="eastAsia" w:ascii="仿宋" w:hAnsi="仿宋" w:eastAsia="仿宋" w:cs="仿宋"/>
          <w:szCs w:val="21"/>
          <w:lang w:val="en-US" w:eastAsia="zh-CN"/>
        </w:rPr>
        <w:t>对整体赛事选手</w:t>
      </w:r>
      <w:r>
        <w:rPr>
          <w:rFonts w:hint="eastAsia" w:ascii="仿宋" w:hAnsi="仿宋" w:eastAsia="仿宋" w:cs="仿宋"/>
          <w:szCs w:val="21"/>
        </w:rPr>
        <w:t>进行</w:t>
      </w:r>
      <w:r>
        <w:rPr>
          <w:rFonts w:hint="eastAsia" w:ascii="仿宋" w:hAnsi="仿宋" w:eastAsia="仿宋" w:cs="仿宋"/>
          <w:szCs w:val="21"/>
          <w:lang w:val="en-US" w:eastAsia="zh-CN"/>
        </w:rPr>
        <w:t>招募</w:t>
      </w:r>
      <w:r>
        <w:rPr>
          <w:rFonts w:hint="eastAsia" w:ascii="仿宋" w:hAnsi="仿宋" w:eastAsia="仿宋" w:cs="仿宋"/>
          <w:szCs w:val="21"/>
        </w:rPr>
        <w:t>及</w:t>
      </w:r>
      <w:r>
        <w:rPr>
          <w:rFonts w:hint="eastAsia" w:ascii="仿宋" w:hAnsi="仿宋" w:eastAsia="仿宋" w:cs="仿宋"/>
          <w:sz w:val="21"/>
          <w:szCs w:val="21"/>
          <w:u w:val="none"/>
        </w:rPr>
        <w:t>深圳动漫节期间复赛、决赛等多种形式</w:t>
      </w:r>
      <w:r>
        <w:rPr>
          <w:rFonts w:hint="eastAsia" w:ascii="仿宋" w:hAnsi="仿宋" w:eastAsia="仿宋" w:cs="仿宋"/>
          <w:szCs w:val="21"/>
        </w:rPr>
        <w:t>；</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（三）甲乙双方共同负责本次“</w:t>
      </w:r>
      <w:r>
        <w:rPr>
          <w:rFonts w:hint="eastAsia" w:ascii="仿宋" w:hAnsi="仿宋" w:eastAsia="仿宋" w:cs="仿宋"/>
          <w:b w:val="0"/>
          <w:sz w:val="21"/>
          <w:szCs w:val="21"/>
          <w:lang w:val="en-US" w:eastAsia="zh-CN"/>
        </w:rPr>
        <w:t>宅舞大赛及主题巡游项目</w:t>
      </w:r>
      <w:r>
        <w:rPr>
          <w:rFonts w:hint="eastAsia" w:ascii="仿宋" w:hAnsi="仿宋" w:eastAsia="仿宋" w:cs="仿宋"/>
          <w:szCs w:val="21"/>
        </w:rPr>
        <w:t>”的全程宣传推广。</w:t>
      </w:r>
    </w:p>
    <w:p>
      <w:pPr>
        <w:spacing w:line="360" w:lineRule="auto"/>
        <w:outlineLvl w:val="1"/>
        <w:rPr>
          <w:rFonts w:hint="eastAsia" w:ascii="仿宋" w:hAnsi="仿宋" w:eastAsia="仿宋" w:cs="仿宋"/>
          <w:b/>
          <w:szCs w:val="21"/>
        </w:rPr>
      </w:pPr>
      <w:r>
        <w:rPr>
          <w:rFonts w:hint="eastAsia" w:ascii="仿宋" w:hAnsi="仿宋" w:eastAsia="仿宋" w:cs="仿宋"/>
          <w:b/>
          <w:szCs w:val="21"/>
        </w:rPr>
        <w:t>二、甲方的权利与义务：</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（一）甲方作为本次活动的主办方，拥有本次合作内容中活动的所有权益，对合作内容的策划、推广、运作等拥有控制权和管理权。</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（二）甲方提供活动场地范围内活动预告铺垫，包括但不仅限于铺设活动地面广告（含地贴、灯箱、</w:t>
      </w:r>
      <w:r>
        <w:rPr>
          <w:rFonts w:ascii="仿宋" w:hAnsi="仿宋" w:eastAsia="仿宋" w:cs="仿宋"/>
          <w:sz w:val="21"/>
          <w:szCs w:val="21"/>
        </w:rPr>
        <w:t>LED广告屏、指示牌、展架等）。</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（三）甲方负责提供活动场地，</w:t>
      </w:r>
      <w:r>
        <w:rPr>
          <w:rFonts w:hint="eastAsia" w:ascii="仿宋" w:hAnsi="仿宋" w:eastAsia="仿宋" w:cs="仿宋"/>
          <w:szCs w:val="21"/>
        </w:rPr>
        <w:t>舞台、灯光、音响、</w:t>
      </w:r>
      <w:r>
        <w:rPr>
          <w:rFonts w:hint="eastAsia" w:ascii="仿宋" w:hAnsi="仿宋" w:eastAsia="仿宋" w:cs="仿宋"/>
          <w:szCs w:val="21"/>
          <w:lang w:val="en-US" w:eastAsia="zh-CN"/>
        </w:rPr>
        <w:t>屏幕</w:t>
      </w:r>
      <w:r>
        <w:rPr>
          <w:rFonts w:hint="eastAsia" w:ascii="仿宋" w:hAnsi="仿宋" w:eastAsia="仿宋" w:cs="仿宋"/>
          <w:szCs w:val="21"/>
        </w:rPr>
        <w:t>等全部设施，</w:t>
      </w:r>
      <w:r>
        <w:rPr>
          <w:rFonts w:hint="eastAsia" w:ascii="仿宋" w:hAnsi="仿宋" w:eastAsia="仿宋" w:cs="仿宋"/>
          <w:sz w:val="21"/>
          <w:szCs w:val="21"/>
        </w:rPr>
        <w:t>甲方应确保本次活动的场地、设施等无安全隐患。</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（四）所有参赛、演出等现场照片、视频，甲方可免费无限次使用于线上、线下活动宣传推广。</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（五）除本次活动预算内的项目，其他增加或变更项目所产生费用需</w:t>
      </w:r>
      <w:r>
        <w:rPr>
          <w:rFonts w:ascii="仿宋" w:hAnsi="仿宋" w:eastAsia="仿宋" w:cs="仿宋"/>
          <w:sz w:val="21"/>
          <w:szCs w:val="21"/>
        </w:rPr>
        <w:t>经甲方书面确认后方可变更</w:t>
      </w:r>
      <w:r>
        <w:rPr>
          <w:rFonts w:hint="eastAsia" w:ascii="仿宋" w:hAnsi="仿宋" w:eastAsia="仿宋" w:cs="仿宋"/>
          <w:sz w:val="21"/>
          <w:szCs w:val="21"/>
        </w:rPr>
        <w:t>。</w:t>
      </w:r>
    </w:p>
    <w:p>
      <w:pPr>
        <w:spacing w:line="360" w:lineRule="auto"/>
        <w:outlineLvl w:val="1"/>
        <w:rPr>
          <w:rFonts w:hint="eastAsia" w:ascii="仿宋" w:hAnsi="仿宋" w:eastAsia="仿宋" w:cs="仿宋"/>
          <w:b/>
          <w:szCs w:val="21"/>
        </w:rPr>
      </w:pPr>
      <w:r>
        <w:rPr>
          <w:rFonts w:hint="eastAsia" w:ascii="仿宋" w:hAnsi="仿宋" w:eastAsia="仿宋" w:cs="仿宋"/>
          <w:b/>
          <w:szCs w:val="21"/>
        </w:rPr>
        <w:t>三、乙方的权利与义务：</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（一）乙方负责安排</w:t>
      </w:r>
      <w:r>
        <w:rPr>
          <w:rFonts w:hint="eastAsia" w:ascii="仿宋" w:hAnsi="仿宋" w:eastAsia="仿宋" w:cs="仿宋"/>
          <w:color w:val="auto"/>
          <w:sz w:val="21"/>
          <w:szCs w:val="21"/>
          <w:u w:val="none"/>
        </w:rPr>
        <w:t>动漫节“</w:t>
      </w:r>
      <w:r>
        <w:rPr>
          <w:rFonts w:hint="eastAsia" w:ascii="仿宋" w:hAnsi="仿宋" w:eastAsia="仿宋" w:cs="仿宋"/>
          <w:b w:val="0"/>
          <w:sz w:val="21"/>
          <w:szCs w:val="21"/>
          <w:lang w:val="en-US" w:eastAsia="zh-CN"/>
        </w:rPr>
        <w:t>宅舞大赛及主题巡游</w:t>
      </w:r>
      <w:r>
        <w:rPr>
          <w:rFonts w:hint="eastAsia" w:ascii="仿宋" w:hAnsi="仿宋" w:eastAsia="仿宋" w:cs="仿宋"/>
          <w:b w:val="0"/>
          <w:color w:val="auto"/>
          <w:sz w:val="21"/>
          <w:szCs w:val="21"/>
          <w:u w:val="none"/>
          <w:lang w:val="en-US" w:eastAsia="zh-CN"/>
        </w:rPr>
        <w:t>项目</w:t>
      </w:r>
      <w:r>
        <w:rPr>
          <w:rFonts w:hint="eastAsia" w:ascii="仿宋" w:hAnsi="仿宋" w:eastAsia="仿宋" w:cs="仿宋"/>
          <w:color w:val="auto"/>
          <w:sz w:val="21"/>
          <w:szCs w:val="21"/>
          <w:u w:val="none"/>
        </w:rPr>
        <w:t>”活动策划</w:t>
      </w:r>
      <w:r>
        <w:rPr>
          <w:rFonts w:hint="eastAsia" w:ascii="仿宋" w:hAnsi="仿宋" w:eastAsia="仿宋" w:cs="仿宋"/>
          <w:color w:val="auto"/>
          <w:szCs w:val="21"/>
          <w:u w:val="none"/>
        </w:rPr>
        <w:t>的主要工作，包括但不限于策划活动执行方案、费用预算、赛事、巡游全程组织、比赛选手招募、资格筛选及全程执行</w:t>
      </w:r>
      <w:r>
        <w:rPr>
          <w:rFonts w:hint="eastAsia" w:ascii="仿宋" w:hAnsi="仿宋" w:eastAsia="仿宋" w:cs="仿宋"/>
          <w:color w:val="auto"/>
          <w:szCs w:val="21"/>
          <w:u w:val="none"/>
          <w:lang w:val="en-US" w:eastAsia="zh-CN"/>
        </w:rPr>
        <w:t>、专业主持人、嘉宾（2-3人）的</w:t>
      </w:r>
      <w:r>
        <w:rPr>
          <w:rFonts w:hint="eastAsia" w:ascii="仿宋" w:hAnsi="仿宋" w:eastAsia="仿宋" w:cs="仿宋"/>
          <w:color w:val="auto"/>
          <w:szCs w:val="21"/>
          <w:u w:val="none"/>
        </w:rPr>
        <w:t>邀请、</w:t>
      </w:r>
      <w:r>
        <w:rPr>
          <w:rFonts w:hint="eastAsia" w:ascii="仿宋" w:hAnsi="仿宋" w:eastAsia="仿宋" w:cs="仿宋"/>
          <w:color w:val="auto"/>
          <w:szCs w:val="21"/>
          <w:u w:val="none"/>
          <w:lang w:val="en-US" w:eastAsia="zh-CN"/>
        </w:rPr>
        <w:t>参赛队伍征集及组</w:t>
      </w:r>
      <w:r>
        <w:rPr>
          <w:rFonts w:hint="eastAsia" w:ascii="仿宋" w:hAnsi="仿宋" w:eastAsia="仿宋" w:cs="仿宋"/>
          <w:color w:val="000000" w:themeColor="text1"/>
          <w:szCs w:val="21"/>
          <w:lang w:val="en-US" w:eastAsia="zh-CN"/>
          <w14:textFill>
            <w14:solidFill>
              <w14:schemeClr w14:val="tx1"/>
            </w14:solidFill>
          </w14:textFill>
        </w:rPr>
        <w:t>织、</w:t>
      </w:r>
      <w:r>
        <w:rPr>
          <w:rFonts w:hint="eastAsia" w:ascii="仿宋" w:hAnsi="仿宋" w:eastAsia="仿宋" w:cs="仿宋"/>
          <w:szCs w:val="21"/>
        </w:rPr>
        <w:t>出席安排等工作（</w:t>
      </w:r>
      <w:r>
        <w:rPr>
          <w:rFonts w:hint="eastAsia" w:ascii="仿宋" w:hAnsi="仿宋" w:eastAsia="仿宋" w:cs="仿宋"/>
          <w:szCs w:val="21"/>
          <w:lang w:val="en-US" w:eastAsia="zh-CN"/>
        </w:rPr>
        <w:t>电子竞技大赛人员邀请</w:t>
      </w:r>
      <w:r>
        <w:rPr>
          <w:rFonts w:hint="eastAsia" w:ascii="仿宋" w:hAnsi="仿宋" w:eastAsia="仿宋" w:cs="仿宋"/>
          <w:szCs w:val="21"/>
        </w:rPr>
        <w:t>方案须报甲方审批通过后，方可落实邀请）；</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（二）乙方负责</w:t>
      </w:r>
      <w:r>
        <w:rPr>
          <w:rFonts w:hint="eastAsia" w:ascii="仿宋" w:hAnsi="仿宋" w:eastAsia="仿宋" w:cs="仿宋"/>
          <w:szCs w:val="21"/>
          <w:lang w:eastAsia="zh-CN"/>
        </w:rPr>
        <w:t>第十三届</w:t>
      </w:r>
      <w:r>
        <w:rPr>
          <w:rFonts w:hint="eastAsia" w:ascii="仿宋" w:hAnsi="仿宋" w:eastAsia="仿宋" w:cs="仿宋"/>
          <w:szCs w:val="21"/>
        </w:rPr>
        <w:t>深圳动漫节</w:t>
      </w:r>
      <w:r>
        <w:rPr>
          <w:rFonts w:hint="eastAsia" w:ascii="仿宋" w:hAnsi="仿宋" w:eastAsia="仿宋" w:cs="仿宋"/>
          <w:b w:val="0"/>
          <w:sz w:val="21"/>
          <w:szCs w:val="21"/>
          <w:lang w:val="en-US" w:eastAsia="zh-CN"/>
        </w:rPr>
        <w:t>宅舞大赛及主题巡游</w:t>
      </w:r>
      <w:r>
        <w:rPr>
          <w:rFonts w:hint="eastAsia" w:ascii="仿宋" w:hAnsi="仿宋" w:eastAsia="仿宋" w:cs="仿宋"/>
          <w:b w:val="0"/>
          <w:color w:val="auto"/>
          <w:sz w:val="21"/>
          <w:szCs w:val="21"/>
          <w:u w:val="none"/>
          <w:lang w:val="en-US" w:eastAsia="zh-CN"/>
        </w:rPr>
        <w:t>项目</w:t>
      </w:r>
      <w:r>
        <w:rPr>
          <w:rFonts w:hint="eastAsia" w:ascii="仿宋" w:hAnsi="仿宋" w:eastAsia="仿宋" w:cs="仿宋"/>
          <w:szCs w:val="21"/>
        </w:rPr>
        <w:t>落地执行（</w:t>
      </w:r>
      <w:r>
        <w:rPr>
          <w:rFonts w:hint="eastAsia" w:ascii="仿宋" w:hAnsi="仿宋" w:eastAsia="仿宋" w:cs="仿宋"/>
          <w:szCs w:val="21"/>
          <w:lang w:val="en-US" w:eastAsia="zh-CN"/>
        </w:rPr>
        <w:t>大赛现场赛事及主题巡游</w:t>
      </w:r>
      <w:r>
        <w:rPr>
          <w:rFonts w:hint="eastAsia" w:ascii="仿宋" w:hAnsi="仿宋" w:eastAsia="仿宋" w:cs="仿宋"/>
          <w:szCs w:val="21"/>
        </w:rPr>
        <w:t>安排、</w:t>
      </w:r>
      <w:r>
        <w:rPr>
          <w:rFonts w:hint="eastAsia" w:ascii="仿宋" w:hAnsi="仿宋" w:eastAsia="仿宋" w:cs="仿宋"/>
          <w:szCs w:val="21"/>
          <w:lang w:val="en-US" w:eastAsia="zh-CN"/>
        </w:rPr>
        <w:t>大赛</w:t>
      </w:r>
      <w:r>
        <w:rPr>
          <w:rFonts w:hint="eastAsia" w:ascii="仿宋" w:hAnsi="仿宋" w:eastAsia="仿宋" w:cs="仿宋"/>
          <w:szCs w:val="21"/>
        </w:rPr>
        <w:t>主持人聘请对接、</w:t>
      </w:r>
      <w:r>
        <w:rPr>
          <w:rFonts w:hint="eastAsia" w:ascii="仿宋" w:hAnsi="仿宋" w:eastAsia="仿宋" w:cs="仿宋"/>
          <w:szCs w:val="21"/>
          <w:lang w:val="en-US" w:eastAsia="zh-CN"/>
        </w:rPr>
        <w:t>现场参赛选手管理、活动宣传</w:t>
      </w:r>
      <w:r>
        <w:rPr>
          <w:rFonts w:hint="eastAsia" w:ascii="仿宋" w:hAnsi="仿宋" w:eastAsia="仿宋" w:cs="仿宋"/>
          <w:szCs w:val="21"/>
        </w:rPr>
        <w:t>执行等内容）；</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（三）乙方应于本协议签订后在5天内提供书面的活动执行方案、活动日程供甲方审定。甲方提出的修改意见，乙方应及时配合调整</w:t>
      </w:r>
      <w:r>
        <w:rPr>
          <w:rFonts w:hint="eastAsia" w:ascii="仿宋" w:hAnsi="仿宋" w:eastAsia="仿宋" w:cs="仿宋"/>
          <w:szCs w:val="21"/>
          <w:lang w:eastAsia="zh-CN"/>
        </w:rPr>
        <w:t>，</w:t>
      </w:r>
      <w:r>
        <w:rPr>
          <w:rFonts w:hint="eastAsia" w:ascii="仿宋" w:hAnsi="仿宋" w:eastAsia="仿宋" w:cs="仿宋"/>
          <w:szCs w:val="21"/>
          <w:lang w:val="en-US" w:eastAsia="zh-CN"/>
        </w:rPr>
        <w:t>所执行内容需严格按照方案计划推进，如有变动需提前一周与甲方提出，征得同意后修改</w:t>
      </w:r>
      <w:r>
        <w:rPr>
          <w:rFonts w:hint="eastAsia" w:ascii="仿宋" w:hAnsi="仿宋" w:eastAsia="仿宋" w:cs="仿宋"/>
          <w:szCs w:val="21"/>
        </w:rPr>
        <w:t>；</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（四）在甲方的监督下，乙方负责本次合同合作内容中活动现场组织、活动进程安排等全部工作，并确保活动时间安排合理性与活动的顺利开展，确保</w:t>
      </w:r>
      <w:r>
        <w:rPr>
          <w:rFonts w:hint="eastAsia" w:ascii="仿宋" w:hAnsi="仿宋" w:eastAsia="仿宋" w:cs="仿宋"/>
          <w:szCs w:val="21"/>
          <w:lang w:val="en-US" w:eastAsia="zh-CN"/>
        </w:rPr>
        <w:t>赛事现场、主题巡游项目的</w:t>
      </w:r>
      <w:r>
        <w:rPr>
          <w:rFonts w:hint="eastAsia" w:ascii="仿宋" w:hAnsi="仿宋" w:eastAsia="仿宋" w:cs="仿宋"/>
          <w:szCs w:val="21"/>
        </w:rPr>
        <w:t>质量及效果；</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（五）乙方积极利用自身传播途径及媒体关系更好的宣传深圳动漫节，如论坛、微博、微信、QQ群、邮箱宣传、网络广告等，扩大深圳动漫节本身的宣传层面；</w:t>
      </w:r>
    </w:p>
    <w:p>
      <w:pPr>
        <w:spacing w:line="360" w:lineRule="auto"/>
        <w:ind w:firstLine="420" w:firstLineChars="200"/>
        <w:rPr>
          <w:rFonts w:hint="eastAsia" w:ascii="仿宋" w:hAnsi="仿宋" w:eastAsia="仿宋" w:cs="仿宋"/>
          <w:color w:val="000000" w:themeColor="text1"/>
          <w:szCs w:val="21"/>
          <w:lang w:val="en-US" w:eastAsia="zh-Hans"/>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（六）乙方须与</w:t>
      </w:r>
      <w:r>
        <w:rPr>
          <w:rFonts w:hint="eastAsia" w:ascii="仿宋" w:hAnsi="仿宋" w:eastAsia="仿宋" w:cs="仿宋"/>
          <w:color w:val="000000" w:themeColor="text1"/>
          <w:szCs w:val="21"/>
          <w:lang w:val="en-US" w:eastAsia="zh-CN"/>
          <w14:textFill>
            <w14:solidFill>
              <w14:schemeClr w14:val="tx1"/>
            </w14:solidFill>
          </w14:textFill>
        </w:rPr>
        <w:t>嘉宾</w:t>
      </w:r>
      <w:r>
        <w:rPr>
          <w:rFonts w:hint="eastAsia" w:ascii="仿宋" w:hAnsi="仿宋" w:eastAsia="仿宋" w:cs="仿宋"/>
          <w:color w:val="000000" w:themeColor="text1"/>
          <w:szCs w:val="21"/>
          <w14:textFill>
            <w14:solidFill>
              <w14:schemeClr w14:val="tx1"/>
            </w14:solidFill>
          </w14:textFill>
        </w:rPr>
        <w:t>签订合作协议</w:t>
      </w:r>
      <w:r>
        <w:rPr>
          <w:rFonts w:hint="eastAsia" w:ascii="仿宋" w:hAnsi="仿宋" w:eastAsia="仿宋" w:cs="仿宋"/>
          <w:color w:val="000000" w:themeColor="text1"/>
          <w:szCs w:val="21"/>
          <w:lang w:val="en-US" w:eastAsia="zh-CN"/>
          <w14:textFill>
            <w14:solidFill>
              <w14:schemeClr w14:val="tx1"/>
            </w14:solidFill>
          </w14:textFill>
        </w:rPr>
        <w:t>明确规定合作内容与活动档期</w:t>
      </w:r>
      <w:r>
        <w:rPr>
          <w:rFonts w:hint="eastAsia" w:ascii="仿宋" w:hAnsi="仿宋" w:eastAsia="仿宋" w:cs="仿宋"/>
          <w:color w:val="000000" w:themeColor="text1"/>
          <w:szCs w:val="21"/>
          <w14:textFill>
            <w14:solidFill>
              <w14:schemeClr w14:val="tx1"/>
            </w14:solidFill>
          </w14:textFill>
        </w:rPr>
        <w:t>，确保</w:t>
      </w:r>
      <w:r>
        <w:rPr>
          <w:rFonts w:hint="eastAsia" w:ascii="仿宋" w:hAnsi="仿宋" w:eastAsia="仿宋" w:cs="仿宋"/>
          <w:color w:val="000000" w:themeColor="text1"/>
          <w:szCs w:val="21"/>
          <w:lang w:val="en-US" w:eastAsia="zh-CN"/>
          <w14:textFill>
            <w14:solidFill>
              <w14:schemeClr w14:val="tx1"/>
            </w14:solidFill>
          </w14:textFill>
        </w:rPr>
        <w:t>大赛</w:t>
      </w:r>
      <w:r>
        <w:rPr>
          <w:rFonts w:hint="eastAsia" w:ascii="仿宋" w:hAnsi="仿宋" w:eastAsia="仿宋" w:cs="仿宋"/>
          <w:color w:val="000000" w:themeColor="text1"/>
          <w:szCs w:val="21"/>
          <w14:textFill>
            <w14:solidFill>
              <w14:schemeClr w14:val="tx1"/>
            </w14:solidFill>
          </w14:textFill>
        </w:rPr>
        <w:t>顺利完成，且明确所有</w:t>
      </w:r>
      <w:r>
        <w:rPr>
          <w:rFonts w:hint="eastAsia" w:ascii="仿宋" w:hAnsi="仿宋" w:eastAsia="仿宋" w:cs="仿宋"/>
          <w:color w:val="000000" w:themeColor="text1"/>
          <w:szCs w:val="21"/>
          <w:lang w:val="en-US" w:eastAsia="zh-CN"/>
          <w14:textFill>
            <w14:solidFill>
              <w14:schemeClr w14:val="tx1"/>
            </w14:solidFill>
          </w14:textFill>
        </w:rPr>
        <w:t>比赛、</w:t>
      </w:r>
      <w:r>
        <w:rPr>
          <w:rFonts w:hint="eastAsia" w:ascii="仿宋" w:hAnsi="仿宋" w:eastAsia="仿宋" w:cs="仿宋"/>
          <w:color w:val="000000" w:themeColor="text1"/>
          <w:szCs w:val="21"/>
          <w14:textFill>
            <w14:solidFill>
              <w14:schemeClr w14:val="tx1"/>
            </w14:solidFill>
          </w14:textFill>
        </w:rPr>
        <w:t>演出等现场照片、音频、视频等版权归甲方所有，可用于线上、线下活动宣传推广使用。</w:t>
      </w:r>
      <w:r>
        <w:rPr>
          <w:rFonts w:hint="eastAsia" w:ascii="仿宋" w:hAnsi="仿宋" w:eastAsia="仿宋" w:cs="仿宋"/>
          <w:color w:val="000000" w:themeColor="text1"/>
          <w:szCs w:val="21"/>
          <w:lang w:val="en-US" w:eastAsia="zh-Hans"/>
          <w14:textFill>
            <w14:solidFill>
              <w14:schemeClr w14:val="tx1"/>
            </w14:solidFill>
          </w14:textFill>
        </w:rPr>
        <w:t>因乙方嘉宾与他人产生任何纠纷，由乙方负责处理并承担责任。</w:t>
      </w:r>
    </w:p>
    <w:p>
      <w:pPr>
        <w:spacing w:line="360" w:lineRule="auto"/>
        <w:ind w:firstLine="420" w:firstLineChars="200"/>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七</w:t>
      </w: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乙方所邀请的嘉宾等需配合甲方拍摄深圳动漫节宣传vcr（个人到场活动宣传及动漫节宣传），作于开展前宣传，及展期现场播放。</w:t>
      </w:r>
    </w:p>
    <w:p>
      <w:pPr>
        <w:spacing w:line="400" w:lineRule="exact"/>
        <w:rPr>
          <w:rFonts w:ascii="仿宋" w:hAnsi="仿宋" w:eastAsia="仿宋" w:cs="仿宋"/>
          <w:b/>
          <w:bCs w:val="0"/>
          <w:sz w:val="21"/>
          <w:szCs w:val="21"/>
        </w:rPr>
      </w:pPr>
      <w:r>
        <w:rPr>
          <w:rFonts w:hint="eastAsia" w:ascii="仿宋" w:hAnsi="仿宋" w:eastAsia="仿宋" w:cs="仿宋"/>
          <w:b/>
          <w:bCs w:val="0"/>
          <w:szCs w:val="21"/>
        </w:rPr>
        <w:t>四、</w:t>
      </w:r>
      <w:r>
        <w:rPr>
          <w:rFonts w:hint="eastAsia" w:ascii="仿宋" w:hAnsi="仿宋" w:eastAsia="仿宋" w:cs="仿宋"/>
          <w:b/>
          <w:bCs w:val="0"/>
          <w:sz w:val="21"/>
          <w:szCs w:val="21"/>
        </w:rPr>
        <w:t>预算费用及支付</w:t>
      </w:r>
    </w:p>
    <w:p>
      <w:pPr>
        <w:spacing w:line="400" w:lineRule="exact"/>
        <w:ind w:firstLine="420" w:firstLineChars="200"/>
        <w:outlineLvl w:val="9"/>
        <w:rPr>
          <w:rFonts w:hint="eastAsia" w:ascii="仿宋" w:hAnsi="仿宋" w:eastAsia="仿宋" w:cs="仿宋"/>
          <w:szCs w:val="21"/>
        </w:rPr>
      </w:pPr>
      <w:r>
        <w:rPr>
          <w:rFonts w:hint="eastAsia" w:ascii="仿宋" w:hAnsi="仿宋" w:eastAsia="仿宋" w:cs="仿宋"/>
          <w:sz w:val="21"/>
          <w:szCs w:val="21"/>
        </w:rPr>
        <w:t>（一）甲方向乙方支付的费用包括本次活动所有相关费用（见</w:t>
      </w:r>
      <w:r>
        <w:rPr>
          <w:rFonts w:ascii="仿宋" w:hAnsi="仿宋" w:eastAsia="仿宋" w:cs="仿宋"/>
          <w:sz w:val="21"/>
          <w:szCs w:val="21"/>
        </w:rPr>
        <w:t>附件</w:t>
      </w:r>
      <w:r>
        <w:rPr>
          <w:rFonts w:hint="eastAsia" w:ascii="仿宋" w:hAnsi="仿宋" w:eastAsia="仿宋" w:cs="仿宋"/>
          <w:sz w:val="21"/>
          <w:szCs w:val="21"/>
        </w:rPr>
        <w:t>一），合同总金额为</w:t>
      </w:r>
      <w:r>
        <w:rPr>
          <w:rFonts w:hint="eastAsia" w:ascii="仿宋" w:hAnsi="仿宋" w:eastAsia="仿宋" w:cs="仿宋"/>
          <w:sz w:val="21"/>
          <w:szCs w:val="21"/>
          <w:u w:val="single"/>
        </w:rPr>
        <w:t>人民币</w:t>
      </w:r>
      <w:r>
        <w:rPr>
          <w:rFonts w:hint="eastAsia" w:ascii="仿宋" w:hAnsi="仿宋" w:eastAsia="仿宋" w:cs="仿宋"/>
          <w:b w:val="0"/>
          <w:sz w:val="21"/>
          <w:szCs w:val="21"/>
          <w:u w:val="single"/>
          <w:lang w:val="en-US" w:eastAsia="zh-CN"/>
        </w:rPr>
        <w:t xml:space="preserve">   </w:t>
      </w:r>
      <w:r>
        <w:rPr>
          <w:rFonts w:hint="eastAsia" w:ascii="仿宋" w:hAnsi="仿宋" w:eastAsia="仿宋" w:cs="仿宋"/>
          <w:b w:val="0"/>
          <w:sz w:val="21"/>
          <w:szCs w:val="21"/>
          <w:u w:val="single"/>
        </w:rPr>
        <w:t xml:space="preserve"> 元（大写：</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元整</w:t>
      </w:r>
      <w:r>
        <w:rPr>
          <w:rFonts w:hint="eastAsia" w:ascii="仿宋" w:hAnsi="仿宋" w:eastAsia="仿宋" w:cs="仿宋"/>
          <w:b w:val="0"/>
          <w:sz w:val="21"/>
          <w:szCs w:val="21"/>
          <w:u w:val="single"/>
        </w:rPr>
        <w:t>）</w:t>
      </w:r>
      <w:r>
        <w:rPr>
          <w:rFonts w:hint="eastAsia" w:ascii="仿宋" w:hAnsi="仿宋" w:eastAsia="仿宋" w:cs="仿宋"/>
          <w:sz w:val="21"/>
          <w:szCs w:val="21"/>
        </w:rPr>
        <w:t>含税。</w:t>
      </w:r>
    </w:p>
    <w:p>
      <w:pPr>
        <w:autoSpaceDE/>
        <w:autoSpaceDN/>
        <w:adjustRightInd/>
        <w:spacing w:line="400" w:lineRule="exact"/>
        <w:ind w:left="0" w:leftChars="0" w:firstLine="420" w:firstLineChars="200"/>
        <w:jc w:val="left"/>
        <w:textAlignment w:val="auto"/>
        <w:rPr>
          <w:rFonts w:hint="eastAsia" w:ascii="仿宋" w:hAnsi="仿宋" w:eastAsia="仿宋" w:cs="仿宋"/>
          <w:b/>
          <w:color w:val="FF0000"/>
          <w:szCs w:val="21"/>
          <w:u w:val="single"/>
        </w:rPr>
      </w:pPr>
      <w:r>
        <w:rPr>
          <w:rFonts w:hint="eastAsia" w:ascii="仿宋" w:hAnsi="仿宋" w:eastAsia="仿宋" w:cs="仿宋"/>
          <w:sz w:val="21"/>
          <w:szCs w:val="21"/>
        </w:rPr>
        <w:t>（二）付款方式：</w:t>
      </w:r>
    </w:p>
    <w:p>
      <w:pPr>
        <w:spacing w:line="400" w:lineRule="exact"/>
        <w:ind w:left="437" w:leftChars="208"/>
        <w:rPr>
          <w:rFonts w:ascii="仿宋" w:hAnsi="仿宋" w:eastAsia="仿宋" w:cs="仿宋"/>
          <w:sz w:val="21"/>
          <w:szCs w:val="21"/>
        </w:rPr>
      </w:pPr>
      <w:r>
        <w:rPr>
          <w:rFonts w:ascii="仿宋" w:hAnsi="仿宋" w:eastAsia="仿宋" w:cs="仿宋"/>
          <w:sz w:val="21"/>
          <w:szCs w:val="21"/>
        </w:rPr>
        <w:t>1.签署合同后10日内，甲方向乙方预付合同总金额的10%,即人民币（大写）</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元整</w:t>
      </w:r>
      <w:r>
        <w:rPr>
          <w:rFonts w:hint="eastAsia" w:ascii="仿宋" w:hAnsi="仿宋" w:eastAsia="仿宋" w:cs="仿宋"/>
          <w:sz w:val="21"/>
          <w:szCs w:val="21"/>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元），活动开始前五日内，甲方向乙方支付合同总金额的</w:t>
      </w:r>
      <w:r>
        <w:rPr>
          <w:rFonts w:ascii="仿宋" w:hAnsi="仿宋" w:eastAsia="仿宋" w:cs="仿宋"/>
          <w:sz w:val="21"/>
          <w:szCs w:val="21"/>
        </w:rPr>
        <w:t>50%，即人民币（大写）</w:t>
      </w:r>
      <w:r>
        <w:rPr>
          <w:rFonts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元整</w:t>
      </w:r>
      <w:r>
        <w:rPr>
          <w:rFonts w:hint="eastAsia" w:ascii="仿宋" w:hAnsi="仿宋" w:eastAsia="仿宋" w:cs="仿宋"/>
          <w:sz w:val="21"/>
          <w:szCs w:val="21"/>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元）。合同总金额预留</w:t>
      </w:r>
      <w:r>
        <w:rPr>
          <w:rFonts w:ascii="仿宋" w:hAnsi="仿宋" w:eastAsia="仿宋" w:cs="仿宋"/>
          <w:sz w:val="21"/>
          <w:szCs w:val="21"/>
        </w:rPr>
        <w:t xml:space="preserve">40% </w:t>
      </w:r>
      <w:r>
        <w:rPr>
          <w:rFonts w:hint="eastAsia" w:ascii="仿宋" w:hAnsi="仿宋" w:eastAsia="仿宋" w:cs="仿宋"/>
          <w:sz w:val="21"/>
          <w:szCs w:val="21"/>
        </w:rPr>
        <w:t>作为质保金，即人民币（大写）</w:t>
      </w:r>
      <w:r>
        <w:rPr>
          <w:rFonts w:ascii="仿宋" w:hAnsi="仿宋" w:eastAsia="仿宋" w:cs="仿宋"/>
          <w:sz w:val="21"/>
          <w:szCs w:val="21"/>
          <w:u w:val="single"/>
        </w:rPr>
        <w:t xml:space="preserve"> </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single"/>
        </w:rPr>
        <w:t>元整</w:t>
      </w:r>
      <w:r>
        <w:rPr>
          <w:rFonts w:hint="eastAsia" w:ascii="仿宋" w:hAnsi="仿宋" w:eastAsia="仿宋" w:cs="仿宋"/>
          <w:sz w:val="21"/>
          <w:szCs w:val="21"/>
        </w:rPr>
        <w:t>（￥</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rPr>
        <w:t>元），活动完成并经甲方书面验收后，确认已完成所有合同内容且乙方不存在任何违约行为后，甲方于</w:t>
      </w:r>
      <w:r>
        <w:rPr>
          <w:rFonts w:ascii="仿宋" w:hAnsi="仿宋" w:eastAsia="仿宋" w:cs="仿宋"/>
          <w:sz w:val="21"/>
          <w:szCs w:val="21"/>
        </w:rPr>
        <w:t>15个工作日内向乙方支付。</w:t>
      </w:r>
    </w:p>
    <w:p>
      <w:pPr>
        <w:spacing w:line="400" w:lineRule="exact"/>
        <w:ind w:left="0" w:leftChars="0" w:firstLine="420" w:firstLineChars="200"/>
        <w:jc w:val="left"/>
        <w:rPr>
          <w:rFonts w:ascii="仿宋" w:hAnsi="仿宋" w:eastAsia="仿宋" w:cs="仿宋"/>
          <w:sz w:val="21"/>
          <w:szCs w:val="21"/>
        </w:rPr>
      </w:pPr>
      <w:r>
        <w:rPr>
          <w:rFonts w:ascii="仿宋" w:hAnsi="仿宋" w:eastAsia="仿宋" w:cs="仿宋"/>
          <w:sz w:val="21"/>
          <w:szCs w:val="21"/>
        </w:rPr>
        <w:t>2.乙方应于甲方每次付款前提供相对额度的增值税发票，因乙方逾期提供发票导致甲方延期付款的，甲方不承担违约责任。</w:t>
      </w:r>
    </w:p>
    <w:p>
      <w:pPr>
        <w:spacing w:line="360" w:lineRule="auto"/>
        <w:ind w:firstLine="420" w:firstLineChars="200"/>
        <w:jc w:val="left"/>
        <w:rPr>
          <w:rFonts w:hint="eastAsia" w:ascii="仿宋" w:hAnsi="仿宋" w:eastAsia="仿宋" w:cs="仿宋"/>
          <w:color w:val="333333"/>
          <w:szCs w:val="21"/>
          <w:shd w:val="clear" w:color="auto" w:fill="FFFFFF"/>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三</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付款信息</w:t>
      </w:r>
    </w:p>
    <w:p>
      <w:pPr>
        <w:spacing w:line="400" w:lineRule="exact"/>
        <w:ind w:firstLine="420" w:firstLineChars="200"/>
        <w:jc w:val="left"/>
        <w:rPr>
          <w:rFonts w:hint="eastAsia" w:ascii="仿宋" w:hAnsi="仿宋" w:eastAsia="仿宋" w:cs="仿宋"/>
          <w:sz w:val="21"/>
          <w:szCs w:val="21"/>
          <w:shd w:val="clear"/>
        </w:rPr>
      </w:pPr>
      <w:r>
        <w:rPr>
          <w:rFonts w:hint="eastAsia" w:ascii="仿宋" w:hAnsi="仿宋" w:eastAsia="仿宋" w:cs="仿宋"/>
          <w:sz w:val="21"/>
          <w:szCs w:val="21"/>
          <w:shd w:val="clear"/>
        </w:rPr>
        <w:t>乙方银行信息：</w:t>
      </w:r>
    </w:p>
    <w:p>
      <w:pPr>
        <w:spacing w:line="400" w:lineRule="exact"/>
        <w:ind w:firstLine="420" w:firstLineChars="200"/>
        <w:jc w:val="left"/>
        <w:rPr>
          <w:rFonts w:hint="eastAsia" w:ascii="仿宋" w:hAnsi="仿宋" w:eastAsia="仿宋" w:cs="仿宋"/>
          <w:sz w:val="21"/>
          <w:szCs w:val="21"/>
          <w:shd w:val="clear"/>
          <w:lang w:eastAsia="zh-CN"/>
        </w:rPr>
      </w:pPr>
      <w:r>
        <w:rPr>
          <w:rFonts w:hint="eastAsia" w:ascii="仿宋" w:hAnsi="仿宋" w:eastAsia="仿宋" w:cs="仿宋"/>
          <w:sz w:val="21"/>
          <w:szCs w:val="21"/>
          <w:shd w:val="clear"/>
        </w:rPr>
        <w:t>开户名称：</w:t>
      </w:r>
      <w:r>
        <w:rPr>
          <w:rFonts w:hint="eastAsia" w:ascii="仿宋" w:hAnsi="仿宋" w:eastAsia="仿宋" w:cs="仿宋"/>
          <w:szCs w:val="21"/>
          <w:lang w:eastAsia="zh-CN"/>
        </w:rPr>
        <w:t>xxx</w:t>
      </w:r>
    </w:p>
    <w:p>
      <w:pPr>
        <w:spacing w:line="400" w:lineRule="exact"/>
        <w:ind w:firstLine="420" w:firstLineChars="200"/>
        <w:jc w:val="left"/>
        <w:rPr>
          <w:rFonts w:hint="eastAsia" w:ascii="仿宋" w:hAnsi="仿宋" w:eastAsia="仿宋" w:cs="仿宋"/>
          <w:sz w:val="21"/>
          <w:szCs w:val="21"/>
          <w:shd w:val="clear"/>
          <w:lang w:eastAsia="zh-CN"/>
        </w:rPr>
      </w:pPr>
      <w:r>
        <w:rPr>
          <w:rFonts w:hint="eastAsia" w:ascii="仿宋" w:hAnsi="仿宋" w:eastAsia="仿宋" w:cs="仿宋"/>
          <w:sz w:val="21"/>
          <w:szCs w:val="21"/>
          <w:shd w:val="clear"/>
        </w:rPr>
        <w:t>银行账号：</w:t>
      </w:r>
      <w:r>
        <w:rPr>
          <w:rFonts w:hint="eastAsia" w:ascii="仿宋" w:hAnsi="仿宋" w:eastAsia="仿宋" w:cs="仿宋"/>
          <w:sz w:val="21"/>
          <w:szCs w:val="21"/>
          <w:shd w:val="clear"/>
          <w:lang w:val="en-US" w:eastAsia="zh-CN"/>
        </w:rPr>
        <w:t xml:space="preserve"> </w:t>
      </w:r>
    </w:p>
    <w:p>
      <w:pPr>
        <w:spacing w:line="400" w:lineRule="exact"/>
        <w:ind w:firstLine="420" w:firstLineChars="200"/>
        <w:jc w:val="left"/>
        <w:rPr>
          <w:rFonts w:hint="eastAsia" w:ascii="仿宋" w:hAnsi="仿宋" w:eastAsia="仿宋" w:cs="仿宋"/>
          <w:sz w:val="21"/>
          <w:szCs w:val="21"/>
          <w:shd w:val="clear"/>
          <w:lang w:val="en-US" w:eastAsia="zh-CN"/>
        </w:rPr>
      </w:pPr>
      <w:r>
        <w:rPr>
          <w:rFonts w:hint="eastAsia" w:ascii="仿宋" w:hAnsi="仿宋" w:eastAsia="仿宋" w:cs="仿宋"/>
          <w:sz w:val="21"/>
          <w:szCs w:val="21"/>
          <w:shd w:val="clear"/>
        </w:rPr>
        <w:t>开</w:t>
      </w:r>
      <w:r>
        <w:rPr>
          <w:rFonts w:hint="eastAsia" w:ascii="仿宋" w:hAnsi="仿宋" w:eastAsia="仿宋" w:cs="仿宋"/>
          <w:sz w:val="21"/>
          <w:szCs w:val="21"/>
          <w:shd w:val="clear"/>
          <w:lang w:val="en-US" w:eastAsia="zh-CN"/>
        </w:rPr>
        <w:t xml:space="preserve"> </w:t>
      </w:r>
      <w:r>
        <w:rPr>
          <w:rFonts w:hint="eastAsia" w:ascii="仿宋" w:hAnsi="仿宋" w:eastAsia="仿宋" w:cs="仿宋"/>
          <w:sz w:val="21"/>
          <w:szCs w:val="21"/>
          <w:shd w:val="clear"/>
        </w:rPr>
        <w:t>户</w:t>
      </w:r>
      <w:r>
        <w:rPr>
          <w:rFonts w:hint="eastAsia" w:ascii="仿宋" w:hAnsi="仿宋" w:eastAsia="仿宋" w:cs="仿宋"/>
          <w:sz w:val="21"/>
          <w:szCs w:val="21"/>
          <w:shd w:val="clear"/>
          <w:lang w:val="en-US" w:eastAsia="zh-CN"/>
        </w:rPr>
        <w:t xml:space="preserve"> </w:t>
      </w:r>
      <w:r>
        <w:rPr>
          <w:rFonts w:hint="eastAsia" w:ascii="仿宋" w:hAnsi="仿宋" w:eastAsia="仿宋" w:cs="仿宋"/>
          <w:sz w:val="21"/>
          <w:szCs w:val="21"/>
          <w:shd w:val="clear"/>
        </w:rPr>
        <w:t>行：</w:t>
      </w:r>
      <w:r>
        <w:rPr>
          <w:rFonts w:hint="eastAsia" w:ascii="仿宋" w:hAnsi="仿宋" w:eastAsia="仿宋" w:cs="仿宋"/>
          <w:sz w:val="21"/>
          <w:szCs w:val="21"/>
          <w:shd w:val="clear"/>
          <w:lang w:val="en-US" w:eastAsia="zh-CN"/>
        </w:rPr>
        <w:t xml:space="preserve"> </w:t>
      </w:r>
    </w:p>
    <w:p>
      <w:pPr>
        <w:numPr>
          <w:ilvl w:val="-1"/>
          <w:numId w:val="0"/>
        </w:numPr>
        <w:spacing w:line="360" w:lineRule="auto"/>
        <w:ind w:firstLine="420" w:firstLineChars="200"/>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四</w:t>
      </w:r>
      <w:r>
        <w:rPr>
          <w:rFonts w:hint="eastAsia" w:ascii="仿宋" w:hAnsi="仿宋" w:eastAsia="仿宋" w:cs="仿宋"/>
          <w:sz w:val="21"/>
          <w:szCs w:val="21"/>
          <w:lang w:eastAsia="zh-CN"/>
        </w:rPr>
        <w:t>）</w:t>
      </w:r>
      <w:r>
        <w:rPr>
          <w:rFonts w:hint="eastAsia" w:ascii="仿宋" w:hAnsi="仿宋" w:eastAsia="仿宋" w:cs="仿宋"/>
          <w:sz w:val="21"/>
          <w:szCs w:val="21"/>
        </w:rPr>
        <w:t>甲方开票信息：</w:t>
      </w:r>
    </w:p>
    <w:p>
      <w:pPr>
        <w:spacing w:line="360" w:lineRule="auto"/>
        <w:ind w:left="0" w:leftChars="0" w:firstLine="420" w:firstLineChars="200"/>
        <w:jc w:val="left"/>
        <w:rPr>
          <w:rFonts w:hint="eastAsia" w:ascii="仿宋" w:hAnsi="仿宋" w:eastAsia="仿宋" w:cs="仿宋"/>
          <w:sz w:val="21"/>
          <w:szCs w:val="21"/>
          <w:lang w:eastAsia="zh-CN"/>
        </w:rPr>
      </w:pPr>
      <w:r>
        <w:rPr>
          <w:rFonts w:hint="eastAsia" w:ascii="仿宋" w:hAnsi="仿宋" w:eastAsia="仿宋" w:cs="仿宋"/>
          <w:sz w:val="21"/>
          <w:szCs w:val="21"/>
        </w:rPr>
        <w:t>账户名称：</w:t>
      </w:r>
      <w:r>
        <w:rPr>
          <w:rFonts w:hint="eastAsia" w:ascii="仿宋" w:hAnsi="仿宋" w:eastAsia="仿宋" w:cs="仿宋"/>
          <w:sz w:val="21"/>
          <w:szCs w:val="21"/>
          <w:lang w:eastAsia="zh-CN"/>
        </w:rPr>
        <w:t>深圳市设计之都运营发展有限公司</w:t>
      </w:r>
    </w:p>
    <w:p>
      <w:pPr>
        <w:spacing w:line="360" w:lineRule="auto"/>
        <w:ind w:left="0" w:leftChars="0" w:firstLine="420" w:firstLineChars="200"/>
        <w:jc w:val="left"/>
        <w:rPr>
          <w:rFonts w:hint="eastAsia" w:ascii="仿宋" w:hAnsi="仿宋" w:eastAsia="仿宋" w:cs="仿宋"/>
          <w:sz w:val="21"/>
          <w:szCs w:val="21"/>
        </w:rPr>
      </w:pPr>
      <w:r>
        <w:rPr>
          <w:rFonts w:hint="eastAsia" w:ascii="仿宋" w:hAnsi="仿宋" w:eastAsia="仿宋" w:cs="仿宋"/>
          <w:sz w:val="21"/>
          <w:szCs w:val="21"/>
        </w:rPr>
        <w:t>统一社会信用代码：91440300746633779J</w:t>
      </w:r>
    </w:p>
    <w:p>
      <w:pPr>
        <w:spacing w:line="360" w:lineRule="auto"/>
        <w:ind w:left="0" w:leftChars="0" w:firstLine="420" w:firstLineChars="200"/>
        <w:jc w:val="left"/>
        <w:rPr>
          <w:rFonts w:hint="eastAsia" w:ascii="仿宋" w:hAnsi="仿宋" w:eastAsia="仿宋" w:cs="仿宋"/>
          <w:sz w:val="21"/>
          <w:szCs w:val="21"/>
        </w:rPr>
      </w:pPr>
      <w:r>
        <w:rPr>
          <w:rFonts w:hint="eastAsia" w:ascii="仿宋" w:hAnsi="仿宋" w:eastAsia="仿宋" w:cs="仿宋"/>
          <w:sz w:val="21"/>
          <w:szCs w:val="21"/>
        </w:rPr>
        <w:t>地址及电话：深圳市龙华新区龙华街道办清湖工业区清庆路一号 0755-23709912</w:t>
      </w:r>
    </w:p>
    <w:p>
      <w:pPr>
        <w:spacing w:line="360" w:lineRule="auto"/>
        <w:ind w:left="0" w:leftChars="0" w:firstLine="420" w:firstLineChars="200"/>
        <w:jc w:val="left"/>
        <w:rPr>
          <w:rFonts w:hint="eastAsia" w:ascii="仿宋" w:hAnsi="仿宋" w:eastAsia="仿宋" w:cs="仿宋"/>
          <w:sz w:val="21"/>
          <w:szCs w:val="21"/>
        </w:rPr>
      </w:pPr>
      <w:r>
        <w:rPr>
          <w:rFonts w:hint="eastAsia" w:ascii="仿宋" w:hAnsi="仿宋" w:eastAsia="仿宋" w:cs="仿宋"/>
          <w:sz w:val="21"/>
          <w:szCs w:val="21"/>
        </w:rPr>
        <w:t>开户行及账号：兴业银行深圳民治支行  338200100100051632</w:t>
      </w:r>
    </w:p>
    <w:p>
      <w:pPr>
        <w:pStyle w:val="2"/>
        <w:rPr>
          <w:rFonts w:hint="eastAsia"/>
          <w:sz w:val="21"/>
          <w:szCs w:val="21"/>
        </w:rPr>
      </w:pPr>
    </w:p>
    <w:p>
      <w:pPr>
        <w:tabs>
          <w:tab w:val="left" w:pos="945"/>
        </w:tabs>
        <w:autoSpaceDE w:val="0"/>
        <w:autoSpaceDN w:val="0"/>
        <w:adjustRightInd w:val="0"/>
        <w:spacing w:line="360" w:lineRule="auto"/>
        <w:jc w:val="left"/>
        <w:textAlignment w:val="baseline"/>
        <w:rPr>
          <w:rFonts w:hint="eastAsia" w:ascii="仿宋" w:hAnsi="仿宋" w:eastAsia="仿宋" w:cs="仿宋"/>
          <w:b/>
          <w:color w:val="FF0000"/>
          <w:szCs w:val="21"/>
          <w:u w:val="single"/>
        </w:rPr>
      </w:pPr>
    </w:p>
    <w:p>
      <w:pPr>
        <w:spacing w:line="360" w:lineRule="auto"/>
        <w:outlineLvl w:val="1"/>
        <w:rPr>
          <w:rFonts w:hint="eastAsia" w:ascii="仿宋" w:hAnsi="仿宋" w:eastAsia="仿宋" w:cs="仿宋"/>
          <w:b/>
          <w:szCs w:val="21"/>
        </w:rPr>
      </w:pPr>
      <w:r>
        <w:rPr>
          <w:rFonts w:hint="eastAsia" w:ascii="仿宋" w:hAnsi="仿宋" w:eastAsia="仿宋" w:cs="仿宋"/>
          <w:b/>
          <w:szCs w:val="21"/>
        </w:rPr>
        <w:t>五、违约责任</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（一）乙方策划、组织、承办本次活动过程中所有行为均不得侵害甲方及任何第三人之合法权益（包括但不限于著作权、名称权、商标权等），否则应由乙方承担相关的赔偿责任；</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 w:val="0"/>
          <w:bCs w:val="0"/>
          <w:sz w:val="21"/>
          <w:szCs w:val="21"/>
        </w:rPr>
        <w:t>二</w:t>
      </w:r>
      <w:r>
        <w:rPr>
          <w:rFonts w:hint="eastAsia" w:ascii="仿宋" w:hAnsi="仿宋" w:eastAsia="仿宋" w:cs="仿宋"/>
          <w:sz w:val="21"/>
          <w:szCs w:val="21"/>
        </w:rPr>
        <w:t>）甲乙双方均应认真履行本合同所有条款，如一方违约造成对方不能履行合同或给对方造成损失，守约方有权解除合同并要求违约方承担守约方遭受的经济损失（包括处理违约纠纷所支付的诉讼费、律师费、公证费、调查费、差旅费等）；</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（三）乙方</w:t>
      </w:r>
      <w:r>
        <w:rPr>
          <w:rFonts w:hint="eastAsia" w:ascii="仿宋" w:hAnsi="仿宋" w:eastAsia="仿宋" w:cs="仿宋"/>
          <w:sz w:val="21"/>
          <w:szCs w:val="21"/>
          <w:lang w:val="en-US" w:eastAsia="zh-Hans"/>
        </w:rPr>
        <w:t>及乙方嘉宾</w:t>
      </w:r>
      <w:r>
        <w:rPr>
          <w:rFonts w:hint="eastAsia" w:ascii="仿宋" w:hAnsi="仿宋" w:eastAsia="仿宋" w:cs="仿宋"/>
          <w:sz w:val="21"/>
          <w:szCs w:val="21"/>
        </w:rPr>
        <w:t>应严格服从甲方对本次活动的安排及管理，乙方的工作内容需及时向甲方汇报,经甲方批准方可进行，在未经甲方批准的情况下造成的一切损失由乙方承担。乙方具有重大过错的情况下，甲方可提前解除合同，并要求乙方赔偿甲方所遭受的经济损失。</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（四）甲方发现乙方在工作中存在的问题时，应及时与乙方沟通并责令其改正,如果乙方不听劝阻拒不改正的，甲方有权根据实际情况扣减活动经费，所造成的后果由乙方承担一切法律责任和赔偿责任；</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五）如果在本合同履行期间发生不可抗力事件，致使一方不能履行或延误履行其在本合同下部分或全部义务，则该遭受不可抗力的一方不承担责任，但遭受不可抗力的一方应及时通知另一方。双方经协商可解除本协议，甲方已支付的费用由乙方除去执行活动过程中的实际且必要性支出后，其余应退还给甲方。甲方未支付的费用不再支付。</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（六）如因乙方原因，导致本次活动不能如期举行的，除需返还甲方所有已支付款项外，还应向甲方支付合同总金额20%的违约金，如仍不足以弥补甲方损失的，还应赔偿甲方经济损失。</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（七）甲乙双方一致确认，若因</w:t>
      </w:r>
      <w:r>
        <w:rPr>
          <w:rFonts w:hint="eastAsia" w:ascii="仿宋" w:hAnsi="仿宋" w:eastAsia="仿宋" w:cs="仿宋"/>
          <w:sz w:val="21"/>
          <w:szCs w:val="21"/>
          <w:lang w:val="en-US" w:eastAsia="zh-Hans"/>
        </w:rPr>
        <w:t>政府管控或政策（如</w:t>
      </w:r>
      <w:r>
        <w:rPr>
          <w:rFonts w:hint="eastAsia" w:ascii="仿宋" w:hAnsi="仿宋" w:eastAsia="仿宋" w:cs="仿宋"/>
          <w:sz w:val="21"/>
          <w:szCs w:val="21"/>
        </w:rPr>
        <w:t>疫情</w:t>
      </w:r>
      <w:r>
        <w:rPr>
          <w:rFonts w:hint="eastAsia" w:ascii="仿宋" w:hAnsi="仿宋" w:eastAsia="仿宋" w:cs="仿宋"/>
          <w:sz w:val="21"/>
          <w:szCs w:val="21"/>
          <w:lang w:val="en-US" w:eastAsia="zh-Hans"/>
        </w:rPr>
        <w:t>等）</w:t>
      </w:r>
      <w:r>
        <w:rPr>
          <w:rFonts w:hint="eastAsia" w:ascii="仿宋" w:hAnsi="仿宋" w:eastAsia="仿宋" w:cs="仿宋"/>
          <w:sz w:val="21"/>
          <w:szCs w:val="21"/>
        </w:rPr>
        <w:t>导致本次活动不能如期举行（包括但不限于取消、延期举行等），或限制举行（包括但不限于限制参观人数、参展单位数量等），甲乙双方互不负违约责任，并应就本合同解除或变更进行友好协商。如甲乙双方经协商一致解除本合同的，甲方已支付的费用由乙方除去执行活动过程中的实际且必要性支出后，其余应退还给甲方。甲方未支付的费用不再支付。</w:t>
      </w:r>
    </w:p>
    <w:p>
      <w:pPr>
        <w:spacing w:line="360" w:lineRule="auto"/>
        <w:ind w:firstLine="420" w:firstLineChars="200"/>
        <w:rPr>
          <w:rFonts w:hint="eastAsia" w:ascii="仿宋" w:hAnsi="仿宋" w:eastAsia="仿宋" w:cs="仿宋"/>
          <w:b w:val="0"/>
          <w:bCs w:val="0"/>
          <w:sz w:val="21"/>
          <w:szCs w:val="21"/>
        </w:rPr>
      </w:pPr>
      <w:r>
        <w:rPr>
          <w:rFonts w:hint="eastAsia" w:ascii="仿宋" w:hAnsi="仿宋" w:eastAsia="仿宋" w:cs="仿宋"/>
          <w:b w:val="0"/>
          <w:bCs w:val="0"/>
          <w:sz w:val="21"/>
          <w:szCs w:val="21"/>
        </w:rPr>
        <w:t>六、争议解决</w:t>
      </w:r>
    </w:p>
    <w:p>
      <w:pPr>
        <w:spacing w:line="400" w:lineRule="exact"/>
        <w:ind w:firstLine="630" w:firstLineChars="300"/>
        <w:rPr>
          <w:rFonts w:ascii="仿宋" w:hAnsi="仿宋" w:eastAsia="仿宋" w:cs="仿宋"/>
          <w:sz w:val="21"/>
          <w:szCs w:val="21"/>
        </w:rPr>
      </w:pPr>
      <w:r>
        <w:rPr>
          <w:rFonts w:hint="eastAsia" w:ascii="仿宋" w:hAnsi="仿宋" w:eastAsia="仿宋" w:cs="仿宋"/>
          <w:sz w:val="21"/>
          <w:szCs w:val="21"/>
        </w:rPr>
        <w:t>甲乙双方因履行本协议发生争执应友好协商解决，协商不成的交由</w:t>
      </w:r>
      <w:r>
        <w:rPr>
          <w:rFonts w:hint="eastAsia" w:ascii="仿宋" w:hAnsi="仿宋" w:eastAsia="仿宋" w:cs="仿宋"/>
          <w:sz w:val="21"/>
          <w:szCs w:val="21"/>
          <w:lang w:val="en-US" w:eastAsia="zh-Hans"/>
        </w:rPr>
        <w:t>活动举办地深圳市福田区</w:t>
      </w:r>
      <w:r>
        <w:rPr>
          <w:rFonts w:hint="eastAsia" w:ascii="仿宋" w:hAnsi="仿宋" w:eastAsia="仿宋" w:cs="仿宋"/>
          <w:sz w:val="21"/>
          <w:szCs w:val="21"/>
        </w:rPr>
        <w:t>人民法院管辖。</w:t>
      </w:r>
    </w:p>
    <w:p>
      <w:pPr>
        <w:spacing w:line="400" w:lineRule="exact"/>
        <w:rPr>
          <w:rFonts w:ascii="仿宋" w:hAnsi="仿宋" w:eastAsia="仿宋" w:cs="仿宋"/>
          <w:b/>
          <w:bCs/>
          <w:sz w:val="21"/>
          <w:szCs w:val="21"/>
        </w:rPr>
      </w:pPr>
      <w:r>
        <w:rPr>
          <w:rFonts w:hint="eastAsia" w:ascii="仿宋" w:hAnsi="仿宋" w:eastAsia="仿宋" w:cs="仿宋"/>
          <w:b/>
          <w:bCs/>
          <w:sz w:val="21"/>
          <w:szCs w:val="21"/>
          <w:lang w:val="en-US" w:eastAsia="zh-CN"/>
        </w:rPr>
        <w:t>七</w:t>
      </w:r>
      <w:r>
        <w:rPr>
          <w:rFonts w:hint="eastAsia" w:ascii="仿宋" w:hAnsi="仿宋" w:eastAsia="仿宋" w:cs="仿宋"/>
          <w:b/>
          <w:bCs/>
          <w:sz w:val="21"/>
          <w:szCs w:val="21"/>
        </w:rPr>
        <w:t>、其他</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（一）本协议一式肆份，甲方执叁份，乙方执壹份，具有同等法律效力。本协议经甲乙双方盖章后生效。</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（二）本协议未尽事宜，甲乙双方可签署补充协议，补充协议与本协议具同等法律效力。</w:t>
      </w:r>
    </w:p>
    <w:p>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（三）本协议附件为本协议组成部分，与本协议具同等法律效力。</w:t>
      </w:r>
    </w:p>
    <w:p>
      <w:pPr>
        <w:spacing w:line="400" w:lineRule="exact"/>
        <w:jc w:val="center"/>
        <w:rPr>
          <w:rFonts w:ascii="仿宋" w:hAnsi="仿宋" w:eastAsia="仿宋" w:cs="仿宋"/>
          <w:sz w:val="21"/>
          <w:szCs w:val="21"/>
        </w:rPr>
      </w:pPr>
      <w:r>
        <w:rPr>
          <w:rFonts w:hint="eastAsia" w:ascii="仿宋" w:hAnsi="仿宋" w:eastAsia="仿宋" w:cs="仿宋"/>
          <w:sz w:val="21"/>
          <w:szCs w:val="21"/>
        </w:rPr>
        <w:t>（以下无正文，为本合同双方签署项。）</w:t>
      </w:r>
    </w:p>
    <w:p>
      <w:pPr>
        <w:spacing w:line="400" w:lineRule="exact"/>
        <w:jc w:val="center"/>
        <w:rPr>
          <w:rFonts w:ascii="仿宋" w:hAnsi="仿宋" w:eastAsia="仿宋" w:cs="仿宋"/>
          <w:sz w:val="21"/>
          <w:szCs w:val="21"/>
        </w:rPr>
      </w:pPr>
    </w:p>
    <w:p>
      <w:pPr>
        <w:spacing w:line="360" w:lineRule="auto"/>
        <w:ind w:right="-624" w:rightChars="-297"/>
        <w:rPr>
          <w:rFonts w:hint="eastAsia" w:ascii="仿宋" w:hAnsi="仿宋" w:eastAsia="仿宋" w:cs="仿宋"/>
          <w:szCs w:val="21"/>
        </w:rPr>
      </w:pPr>
    </w:p>
    <w:p>
      <w:pPr>
        <w:spacing w:line="360" w:lineRule="auto"/>
        <w:ind w:left="-78" w:leftChars="-37" w:right="-624" w:rightChars="-297"/>
        <w:rPr>
          <w:rFonts w:hint="eastAsia" w:ascii="仿宋" w:hAnsi="仿宋" w:eastAsia="仿宋" w:cs="仿宋"/>
          <w:szCs w:val="21"/>
        </w:rPr>
      </w:pPr>
      <w:r>
        <w:rPr>
          <w:rFonts w:hint="eastAsia" w:ascii="仿宋" w:hAnsi="仿宋" w:eastAsia="仿宋" w:cs="仿宋"/>
          <w:szCs w:val="21"/>
        </w:rPr>
        <w:t>甲方：深圳市文化产业（国际）会展有公司      乙方：</w:t>
      </w:r>
      <w:r>
        <w:rPr>
          <w:rFonts w:hint="eastAsia" w:ascii="仿宋" w:hAnsi="仿宋" w:eastAsia="仿宋" w:cs="仿宋"/>
          <w:szCs w:val="21"/>
          <w:lang w:eastAsia="zh-CN"/>
        </w:rPr>
        <w:t>xxx</w:t>
      </w:r>
      <w:r>
        <w:rPr>
          <w:rFonts w:hint="eastAsia" w:ascii="仿宋" w:hAnsi="仿宋" w:eastAsia="仿宋" w:cs="仿宋"/>
          <w:szCs w:val="21"/>
        </w:rPr>
        <w:t xml:space="preserve"> </w:t>
      </w:r>
    </w:p>
    <w:p>
      <w:pPr>
        <w:spacing w:line="360" w:lineRule="auto"/>
        <w:ind w:right="-624" w:rightChars="-297"/>
        <w:rPr>
          <w:rFonts w:hint="eastAsia" w:ascii="仿宋" w:hAnsi="仿宋" w:eastAsia="仿宋" w:cs="仿宋"/>
          <w:szCs w:val="21"/>
        </w:rPr>
      </w:pPr>
      <w:r>
        <w:rPr>
          <w:rFonts w:hint="eastAsia" w:ascii="仿宋" w:hAnsi="仿宋" w:eastAsia="仿宋" w:cs="仿宋"/>
          <w:szCs w:val="21"/>
        </w:rPr>
        <w:t>签章：                                     签章：</w:t>
      </w:r>
    </w:p>
    <w:p>
      <w:pPr>
        <w:pStyle w:val="14"/>
        <w:spacing w:after="240"/>
        <w:outlineLvl w:val="2"/>
        <w:rPr>
          <w:rFonts w:hint="eastAsia" w:ascii="仿宋" w:hAnsi="仿宋" w:eastAsia="仿宋" w:cs="仿宋"/>
          <w:sz w:val="21"/>
          <w:szCs w:val="21"/>
        </w:rPr>
      </w:pPr>
      <w:r>
        <w:rPr>
          <w:rFonts w:hint="eastAsia" w:ascii="仿宋" w:hAnsi="仿宋" w:eastAsia="仿宋" w:cs="仿宋"/>
          <w:sz w:val="21"/>
          <w:szCs w:val="21"/>
        </w:rPr>
        <w:t>负责人：                                   负责人：</w:t>
      </w:r>
    </w:p>
    <w:p>
      <w:pPr>
        <w:pStyle w:val="2"/>
        <w:rPr>
          <w:rFonts w:hint="default"/>
          <w:lang w:val="en-US" w:eastAsia="zh-CN"/>
        </w:rPr>
      </w:pPr>
    </w:p>
    <w:p>
      <w:pPr>
        <w:pStyle w:val="14"/>
        <w:spacing w:after="240" w:line="240" w:lineRule="auto"/>
        <w:ind w:firstLine="537" w:firstLineChars="224"/>
        <w:jc w:val="center"/>
        <w:rPr>
          <w:rFonts w:hint="eastAsia" w:ascii="仿宋_GB2312" w:hAnsi="宋体" w:eastAsia="仿宋_GB2312"/>
          <w:color w:val="FF0000"/>
          <w:highlight w:val="yellow"/>
          <w:lang w:eastAsia="zh-CN"/>
        </w:rPr>
      </w:pPr>
    </w:p>
    <w:p>
      <w:pPr>
        <w:pStyle w:val="14"/>
        <w:spacing w:after="240" w:line="240" w:lineRule="auto"/>
        <w:ind w:firstLine="537" w:firstLineChars="224"/>
        <w:jc w:val="center"/>
        <w:rPr>
          <w:rFonts w:hint="eastAsia" w:ascii="仿宋_GB2312" w:hAnsi="宋体" w:eastAsia="仿宋_GB2312"/>
          <w:color w:val="FF0000"/>
          <w:highlight w:val="yellow"/>
          <w:lang w:eastAsia="zh-CN"/>
        </w:rPr>
      </w:pPr>
    </w:p>
    <w:p>
      <w:pPr>
        <w:pStyle w:val="14"/>
        <w:spacing w:after="240" w:line="240" w:lineRule="auto"/>
        <w:ind w:firstLine="537" w:firstLineChars="224"/>
        <w:jc w:val="center"/>
        <w:rPr>
          <w:rFonts w:hint="eastAsia" w:ascii="仿宋_GB2312" w:hAnsi="宋体" w:eastAsia="仿宋_GB2312"/>
          <w:color w:val="FF0000"/>
          <w:highlight w:val="yellow"/>
          <w:lang w:eastAsia="zh-CN"/>
        </w:rPr>
      </w:pPr>
    </w:p>
    <w:p>
      <w:pPr>
        <w:numPr>
          <w:ilvl w:val="1"/>
          <w:numId w:val="19"/>
        </w:numPr>
        <w:spacing w:line="240" w:lineRule="auto"/>
        <w:ind w:firstLine="402"/>
        <w:jc w:val="center"/>
        <w:outlineLvl w:val="1"/>
        <w:rPr>
          <w:rFonts w:ascii="黑体" w:hAnsi="宋体" w:eastAsia="黑体"/>
          <w:color w:val="000000"/>
          <w:sz w:val="28"/>
          <w:szCs w:val="28"/>
        </w:rPr>
      </w:pPr>
      <w:bookmarkStart w:id="98" w:name="_Toc271798819"/>
      <w:bookmarkStart w:id="99" w:name="_Toc25586"/>
      <w:r>
        <w:rPr>
          <w:rFonts w:hint="eastAsia" w:ascii="黑体" w:hAnsi="宋体" w:eastAsia="黑体"/>
          <w:color w:val="000000"/>
          <w:sz w:val="28"/>
          <w:szCs w:val="28"/>
        </w:rPr>
        <w:t>评标原则与方法</w:t>
      </w:r>
      <w:bookmarkEnd w:id="97"/>
      <w:bookmarkEnd w:id="98"/>
      <w:bookmarkEnd w:id="99"/>
    </w:p>
    <w:p>
      <w:pPr>
        <w:autoSpaceDE w:val="0"/>
        <w:autoSpaceDN w:val="0"/>
        <w:adjustRightInd w:val="0"/>
        <w:snapToGrid w:val="0"/>
        <w:spacing w:line="240" w:lineRule="auto"/>
        <w:outlineLvl w:val="0"/>
        <w:rPr>
          <w:rFonts w:ascii="宋体" w:hAnsi="宋体" w:cs="Arial"/>
          <w:b/>
          <w:color w:val="000000"/>
        </w:rPr>
      </w:pPr>
      <w:bookmarkStart w:id="100" w:name="_Toc271798820"/>
      <w:bookmarkStart w:id="101" w:name="_Toc243212927"/>
      <w:bookmarkStart w:id="102" w:name="_Toc197199126"/>
      <w:bookmarkStart w:id="103" w:name="_Toc143488613"/>
      <w:bookmarkStart w:id="104" w:name="_Toc271608994"/>
      <w:bookmarkStart w:id="105" w:name="_Toc142882038"/>
      <w:bookmarkStart w:id="106" w:name="_Toc143337211"/>
      <w:bookmarkStart w:id="107" w:name="_Toc243201861"/>
      <w:bookmarkStart w:id="108" w:name="_Toc22860"/>
      <w:bookmarkStart w:id="109" w:name="_Toc21142"/>
      <w:r>
        <w:rPr>
          <w:rFonts w:ascii="宋体" w:hAnsi="宋体" w:cs="Arial"/>
          <w:b/>
          <w:color w:val="000000"/>
        </w:rPr>
        <w:t>1. 总则</w:t>
      </w:r>
      <w:bookmarkEnd w:id="100"/>
      <w:bookmarkEnd w:id="101"/>
      <w:bookmarkEnd w:id="102"/>
      <w:bookmarkEnd w:id="103"/>
      <w:bookmarkEnd w:id="104"/>
      <w:bookmarkEnd w:id="105"/>
      <w:bookmarkEnd w:id="106"/>
      <w:bookmarkEnd w:id="107"/>
      <w:bookmarkEnd w:id="108"/>
      <w:bookmarkEnd w:id="109"/>
    </w:p>
    <w:p>
      <w:pPr>
        <w:autoSpaceDE w:val="0"/>
        <w:autoSpaceDN w:val="0"/>
        <w:adjustRightInd w:val="0"/>
        <w:snapToGrid w:val="0"/>
        <w:spacing w:line="240" w:lineRule="auto"/>
        <w:ind w:left="346" w:leftChars="-17" w:hanging="382" w:hangingChars="182"/>
        <w:rPr>
          <w:rFonts w:ascii="宋体" w:hAnsi="宋体" w:cs="Arial"/>
          <w:color w:val="000000"/>
        </w:rPr>
      </w:pPr>
      <w:r>
        <w:rPr>
          <w:rFonts w:ascii="宋体" w:hAnsi="宋体" w:cs="Arial"/>
          <w:color w:val="000000"/>
        </w:rPr>
        <w:t>1.1 本次</w:t>
      </w:r>
      <w:r>
        <w:rPr>
          <w:rFonts w:hint="eastAsia" w:ascii="宋体" w:hAnsi="宋体" w:cs="Arial"/>
          <w:color w:val="000000"/>
        </w:rPr>
        <w:t>采购</w:t>
      </w:r>
      <w:r>
        <w:rPr>
          <w:rFonts w:ascii="宋体" w:hAnsi="宋体" w:cs="Arial"/>
          <w:color w:val="000000"/>
        </w:rPr>
        <w:t>的评标方法遵循国家相关法律、法规的规定。</w:t>
      </w:r>
    </w:p>
    <w:p>
      <w:pPr>
        <w:autoSpaceDE w:val="0"/>
        <w:autoSpaceDN w:val="0"/>
        <w:adjustRightInd w:val="0"/>
        <w:snapToGrid w:val="0"/>
        <w:spacing w:line="240" w:lineRule="auto"/>
        <w:rPr>
          <w:rFonts w:ascii="宋体" w:hAnsi="宋体" w:cs="Arial"/>
          <w:color w:val="000000"/>
        </w:rPr>
      </w:pPr>
      <w:r>
        <w:rPr>
          <w:rFonts w:ascii="宋体" w:hAnsi="宋体" w:cs="Arial"/>
          <w:color w:val="000000"/>
        </w:rPr>
        <w:t>1.2 本次</w:t>
      </w:r>
      <w:r>
        <w:rPr>
          <w:rFonts w:hint="eastAsia" w:ascii="宋体" w:hAnsi="宋体" w:cs="Arial"/>
          <w:color w:val="000000"/>
        </w:rPr>
        <w:t>采购</w:t>
      </w:r>
      <w:r>
        <w:rPr>
          <w:rFonts w:ascii="宋体" w:hAnsi="宋体" w:cs="Arial"/>
          <w:color w:val="000000"/>
        </w:rPr>
        <w:t>采用</w:t>
      </w:r>
      <w:r>
        <w:rPr>
          <w:rFonts w:hint="eastAsia" w:ascii="宋体" w:hAnsi="宋体" w:cs="Arial"/>
          <w:color w:val="000000"/>
        </w:rPr>
        <w:t>竞争性谈判</w:t>
      </w:r>
      <w:r>
        <w:rPr>
          <w:rFonts w:ascii="宋体" w:hAnsi="宋体" w:cs="Arial"/>
          <w:color w:val="000000"/>
        </w:rPr>
        <w:t>方式，对所有合格</w:t>
      </w:r>
      <w:r>
        <w:rPr>
          <w:rFonts w:hint="eastAsia" w:ascii="宋体" w:hAnsi="宋体" w:cs="Arial"/>
          <w:color w:val="000000"/>
        </w:rPr>
        <w:t>谈判供应商</w:t>
      </w:r>
      <w:r>
        <w:rPr>
          <w:rFonts w:ascii="宋体" w:hAnsi="宋体" w:cs="Arial"/>
          <w:color w:val="000000"/>
        </w:rPr>
        <w:t>一视同仁。</w:t>
      </w:r>
    </w:p>
    <w:p>
      <w:pPr>
        <w:autoSpaceDE w:val="0"/>
        <w:autoSpaceDN w:val="0"/>
        <w:adjustRightInd w:val="0"/>
        <w:snapToGrid w:val="0"/>
        <w:spacing w:line="240" w:lineRule="auto"/>
        <w:rPr>
          <w:rFonts w:ascii="宋体" w:hAnsi="宋体" w:cs="Arial"/>
          <w:color w:val="000000"/>
        </w:rPr>
      </w:pPr>
      <w:r>
        <w:rPr>
          <w:rFonts w:ascii="宋体" w:hAnsi="宋体" w:cs="Arial"/>
          <w:color w:val="000000"/>
        </w:rPr>
        <w:t>1.3 评标必须以</w:t>
      </w:r>
      <w:r>
        <w:rPr>
          <w:rFonts w:hint="eastAsia" w:ascii="宋体" w:hAnsi="宋体" w:cs="Arial"/>
          <w:color w:val="000000"/>
        </w:rPr>
        <w:t>谈判</w:t>
      </w:r>
      <w:r>
        <w:rPr>
          <w:rFonts w:ascii="宋体" w:hAnsi="宋体" w:cs="Arial"/>
          <w:color w:val="000000"/>
        </w:rPr>
        <w:t>文件中各项规定条件为准。</w:t>
      </w:r>
    </w:p>
    <w:p>
      <w:pPr>
        <w:autoSpaceDE w:val="0"/>
        <w:autoSpaceDN w:val="0"/>
        <w:adjustRightInd w:val="0"/>
        <w:snapToGrid w:val="0"/>
        <w:spacing w:line="240" w:lineRule="auto"/>
        <w:outlineLvl w:val="0"/>
        <w:rPr>
          <w:rFonts w:ascii="宋体" w:hAnsi="宋体" w:cs="Arial"/>
          <w:b/>
          <w:color w:val="000000"/>
        </w:rPr>
      </w:pPr>
      <w:bookmarkStart w:id="110" w:name="_Toc271608995"/>
      <w:bookmarkStart w:id="111" w:name="_Toc142882039"/>
      <w:bookmarkStart w:id="112" w:name="_Toc143337212"/>
      <w:bookmarkStart w:id="113" w:name="_Toc143488614"/>
      <w:bookmarkStart w:id="114" w:name="_Toc197199127"/>
      <w:bookmarkStart w:id="115" w:name="_Toc10864"/>
      <w:bookmarkStart w:id="116" w:name="_Toc271798821"/>
      <w:bookmarkStart w:id="117" w:name="_Toc243212928"/>
      <w:bookmarkStart w:id="118" w:name="_Toc243201862"/>
      <w:bookmarkStart w:id="119" w:name="_Toc29460"/>
      <w:r>
        <w:rPr>
          <w:rFonts w:ascii="宋体" w:hAnsi="宋体" w:cs="Arial"/>
          <w:b/>
          <w:color w:val="000000"/>
        </w:rPr>
        <w:t>2. 对谈判响应文件的审查和确定</w:t>
      </w:r>
      <w:bookmarkEnd w:id="110"/>
      <w:bookmarkEnd w:id="111"/>
      <w:bookmarkEnd w:id="112"/>
      <w:bookmarkEnd w:id="113"/>
      <w:bookmarkEnd w:id="114"/>
      <w:bookmarkEnd w:id="115"/>
      <w:bookmarkEnd w:id="116"/>
      <w:bookmarkEnd w:id="117"/>
      <w:bookmarkEnd w:id="118"/>
      <w:bookmarkEnd w:id="119"/>
    </w:p>
    <w:p>
      <w:pPr>
        <w:autoSpaceDE w:val="0"/>
        <w:autoSpaceDN w:val="0"/>
        <w:adjustRightInd w:val="0"/>
        <w:snapToGrid w:val="0"/>
        <w:spacing w:line="240" w:lineRule="auto"/>
        <w:rPr>
          <w:rFonts w:ascii="宋体" w:hAnsi="宋体" w:cs="Arial"/>
          <w:color w:val="000000"/>
        </w:rPr>
      </w:pPr>
      <w:r>
        <w:rPr>
          <w:rFonts w:ascii="宋体" w:hAnsi="宋体" w:cs="Arial"/>
          <w:color w:val="000000"/>
        </w:rPr>
        <w:t>2.1 将组织审查</w:t>
      </w:r>
      <w:r>
        <w:rPr>
          <w:rFonts w:hint="eastAsia" w:ascii="宋体" w:hAnsi="宋体" w:cs="Arial"/>
          <w:color w:val="000000"/>
        </w:rPr>
        <w:t>谈判响应文件</w:t>
      </w:r>
      <w:r>
        <w:rPr>
          <w:rFonts w:ascii="宋体" w:hAnsi="宋体" w:cs="Arial"/>
          <w:color w:val="000000"/>
        </w:rPr>
        <w:t>是否完全响应竞争性谈判文件要求（见评标表格一符合性审查表）。　</w:t>
      </w:r>
    </w:p>
    <w:p>
      <w:pPr>
        <w:autoSpaceDE w:val="0"/>
        <w:autoSpaceDN w:val="0"/>
        <w:adjustRightInd w:val="0"/>
        <w:snapToGrid w:val="0"/>
        <w:spacing w:line="240" w:lineRule="auto"/>
        <w:rPr>
          <w:rFonts w:ascii="宋体" w:hAnsi="宋体" w:cs="Arial"/>
          <w:color w:val="000000"/>
        </w:rPr>
      </w:pPr>
      <w:r>
        <w:rPr>
          <w:rFonts w:ascii="宋体" w:hAnsi="宋体" w:cs="Arial"/>
          <w:color w:val="000000"/>
        </w:rPr>
        <w:t>2.1.</w:t>
      </w:r>
      <w:r>
        <w:rPr>
          <w:rFonts w:hint="eastAsia" w:ascii="宋体" w:hAnsi="宋体" w:cs="Arial"/>
          <w:color w:val="000000"/>
        </w:rPr>
        <w:t>1</w:t>
      </w:r>
      <w:r>
        <w:rPr>
          <w:rFonts w:ascii="宋体" w:hAnsi="宋体" w:cs="Arial"/>
          <w:color w:val="000000"/>
        </w:rPr>
        <w:t xml:space="preserve"> </w:t>
      </w:r>
      <w:r>
        <w:rPr>
          <w:rFonts w:hint="eastAsia" w:ascii="宋体" w:hAnsi="宋体" w:cs="Arial"/>
          <w:color w:val="000000"/>
        </w:rPr>
        <w:t>谈判响应文件</w:t>
      </w:r>
      <w:r>
        <w:rPr>
          <w:rFonts w:ascii="宋体" w:hAnsi="宋体" w:cs="Arial"/>
          <w:color w:val="000000"/>
        </w:rPr>
        <w:t>的大写金额和小写金额不一致的，以大写金额为准；总价金额与按单价汇总金额不一致的，以单价金额计算结果为准；单价金额小数点有明显错位的，应以总价为准，并修改单价；对不同文字文本谈判响应文件的解释发生异议的，以中文文本为准；</w:t>
      </w:r>
    </w:p>
    <w:p>
      <w:pPr>
        <w:autoSpaceDE w:val="0"/>
        <w:autoSpaceDN w:val="0"/>
        <w:adjustRightInd w:val="0"/>
        <w:snapToGrid w:val="0"/>
        <w:spacing w:line="240" w:lineRule="auto"/>
        <w:rPr>
          <w:rFonts w:ascii="宋体" w:hAnsi="宋体" w:cs="Arial"/>
          <w:color w:val="000000"/>
        </w:rPr>
      </w:pPr>
      <w:r>
        <w:rPr>
          <w:rFonts w:ascii="宋体" w:hAnsi="宋体" w:cs="Arial"/>
          <w:color w:val="000000"/>
        </w:rPr>
        <w:t>2.1.</w:t>
      </w:r>
      <w:r>
        <w:rPr>
          <w:rFonts w:hint="eastAsia" w:ascii="宋体" w:hAnsi="宋体" w:cs="Arial"/>
          <w:color w:val="000000"/>
        </w:rPr>
        <w:t>2</w:t>
      </w:r>
      <w:r>
        <w:rPr>
          <w:rFonts w:ascii="宋体" w:hAnsi="宋体" w:cs="Arial"/>
          <w:color w:val="000000"/>
        </w:rPr>
        <w:t xml:space="preserve"> 若</w:t>
      </w:r>
      <w:r>
        <w:rPr>
          <w:rFonts w:hint="eastAsia" w:ascii="宋体" w:hAnsi="宋体" w:cs="Arial"/>
          <w:color w:val="000000"/>
        </w:rPr>
        <w:t>谈判</w:t>
      </w:r>
      <w:r>
        <w:rPr>
          <w:rFonts w:ascii="宋体" w:hAnsi="宋体" w:cs="Arial"/>
          <w:color w:val="000000"/>
        </w:rPr>
        <w:t>时的开标一览表中报价及</w:t>
      </w:r>
      <w:r>
        <w:rPr>
          <w:rFonts w:hint="eastAsia" w:ascii="宋体" w:hAnsi="宋体" w:cs="Arial"/>
          <w:color w:val="000000"/>
        </w:rPr>
        <w:t>完成</w:t>
      </w:r>
      <w:r>
        <w:rPr>
          <w:rFonts w:ascii="宋体" w:hAnsi="宋体" w:cs="Arial"/>
          <w:color w:val="000000"/>
        </w:rPr>
        <w:t>期等实质性内容与</w:t>
      </w:r>
      <w:r>
        <w:rPr>
          <w:rFonts w:hint="eastAsia" w:ascii="宋体" w:hAnsi="宋体" w:cs="Arial"/>
          <w:color w:val="000000"/>
        </w:rPr>
        <w:t>谈判响应文件</w:t>
      </w:r>
      <w:r>
        <w:rPr>
          <w:rFonts w:ascii="宋体" w:hAnsi="宋体" w:cs="Arial"/>
          <w:color w:val="000000"/>
        </w:rPr>
        <w:t>中开标一览表不一致时，以</w:t>
      </w:r>
      <w:r>
        <w:rPr>
          <w:rFonts w:hint="eastAsia" w:ascii="宋体" w:hAnsi="宋体" w:cs="Arial"/>
          <w:color w:val="000000"/>
        </w:rPr>
        <w:t>谈判</w:t>
      </w:r>
      <w:r>
        <w:rPr>
          <w:rFonts w:ascii="宋体" w:hAnsi="宋体" w:cs="Arial"/>
          <w:color w:val="000000"/>
        </w:rPr>
        <w:t>时的开标一览表为准；</w:t>
      </w:r>
    </w:p>
    <w:p>
      <w:pPr>
        <w:autoSpaceDE w:val="0"/>
        <w:autoSpaceDN w:val="0"/>
        <w:adjustRightInd w:val="0"/>
        <w:snapToGrid w:val="0"/>
        <w:spacing w:line="240" w:lineRule="auto"/>
        <w:rPr>
          <w:rFonts w:ascii="宋体" w:hAnsi="宋体" w:cs="Arial"/>
          <w:color w:val="000000"/>
        </w:rPr>
      </w:pPr>
      <w:r>
        <w:rPr>
          <w:rFonts w:ascii="宋体" w:hAnsi="宋体" w:cs="Arial"/>
          <w:color w:val="000000"/>
        </w:rPr>
        <w:t>2.1.</w:t>
      </w:r>
      <w:r>
        <w:rPr>
          <w:rFonts w:hint="eastAsia" w:ascii="宋体" w:hAnsi="宋体" w:cs="Arial"/>
          <w:color w:val="000000"/>
        </w:rPr>
        <w:t>3</w:t>
      </w:r>
      <w:r>
        <w:rPr>
          <w:rFonts w:ascii="宋体" w:hAnsi="宋体" w:cs="Arial"/>
          <w:color w:val="000000"/>
        </w:rPr>
        <w:t xml:space="preserve"> 若</w:t>
      </w:r>
      <w:r>
        <w:rPr>
          <w:rFonts w:hint="eastAsia" w:ascii="宋体" w:hAnsi="宋体" w:cs="Arial"/>
          <w:color w:val="000000"/>
        </w:rPr>
        <w:t>谈判供应商</w:t>
      </w:r>
      <w:r>
        <w:rPr>
          <w:rFonts w:ascii="宋体" w:hAnsi="宋体" w:cs="Arial"/>
          <w:color w:val="000000"/>
        </w:rPr>
        <w:t>不接受以上对其错误的更正，其</w:t>
      </w:r>
      <w:r>
        <w:rPr>
          <w:rFonts w:hint="eastAsia" w:ascii="宋体" w:hAnsi="宋体" w:cs="Arial"/>
          <w:color w:val="000000"/>
        </w:rPr>
        <w:t>竞争性谈判</w:t>
      </w:r>
      <w:r>
        <w:rPr>
          <w:rFonts w:ascii="宋体" w:hAnsi="宋体" w:cs="Arial"/>
          <w:color w:val="000000"/>
        </w:rPr>
        <w:t>将被拒绝。</w:t>
      </w:r>
    </w:p>
    <w:p>
      <w:pPr>
        <w:autoSpaceDE w:val="0"/>
        <w:autoSpaceDN w:val="0"/>
        <w:adjustRightInd w:val="0"/>
        <w:snapToGrid w:val="0"/>
        <w:spacing w:line="240" w:lineRule="auto"/>
        <w:rPr>
          <w:rFonts w:ascii="宋体" w:hAnsi="宋体" w:cs="Arial"/>
          <w:color w:val="000000"/>
        </w:rPr>
      </w:pPr>
      <w:r>
        <w:rPr>
          <w:rFonts w:ascii="宋体" w:hAnsi="宋体" w:cs="Arial"/>
          <w:color w:val="000000"/>
        </w:rPr>
        <w:t xml:space="preserve">2.2 </w:t>
      </w:r>
      <w:r>
        <w:rPr>
          <w:rFonts w:hint="eastAsia" w:ascii="宋体" w:hAnsi="宋体" w:cs="Arial"/>
          <w:color w:val="000000"/>
        </w:rPr>
        <w:t>谈判小组</w:t>
      </w:r>
      <w:r>
        <w:rPr>
          <w:rFonts w:ascii="宋体" w:hAnsi="宋体" w:cs="Arial"/>
          <w:color w:val="000000"/>
        </w:rPr>
        <w:t>将确定</w:t>
      </w:r>
      <w:r>
        <w:rPr>
          <w:rFonts w:hint="eastAsia" w:ascii="宋体" w:hAnsi="宋体" w:cs="Arial"/>
          <w:color w:val="000000"/>
        </w:rPr>
        <w:t>竞争性谈判</w:t>
      </w:r>
      <w:r>
        <w:rPr>
          <w:rFonts w:ascii="宋体" w:hAnsi="宋体" w:cs="Arial"/>
          <w:color w:val="000000"/>
        </w:rPr>
        <w:t>是否符合</w:t>
      </w:r>
      <w:r>
        <w:rPr>
          <w:rFonts w:hint="eastAsia" w:ascii="宋体" w:hAnsi="宋体" w:cs="Arial"/>
          <w:color w:val="000000"/>
        </w:rPr>
        <w:t>谈判</w:t>
      </w:r>
      <w:r>
        <w:rPr>
          <w:rFonts w:ascii="宋体" w:hAnsi="宋体" w:cs="Arial"/>
          <w:color w:val="000000"/>
        </w:rPr>
        <w:t>文件的所有条款、条件和规定。</w:t>
      </w:r>
    </w:p>
    <w:p>
      <w:pPr>
        <w:autoSpaceDE w:val="0"/>
        <w:autoSpaceDN w:val="0"/>
        <w:adjustRightInd w:val="0"/>
        <w:snapToGrid w:val="0"/>
        <w:spacing w:line="240" w:lineRule="auto"/>
        <w:rPr>
          <w:rFonts w:ascii="宋体" w:hAnsi="宋体" w:cs="Arial"/>
          <w:color w:val="000000"/>
        </w:rPr>
      </w:pPr>
      <w:r>
        <w:rPr>
          <w:rFonts w:ascii="宋体" w:hAnsi="宋体" w:cs="Arial"/>
          <w:color w:val="000000"/>
        </w:rPr>
        <w:t xml:space="preserve">2.3 </w:t>
      </w:r>
      <w:r>
        <w:rPr>
          <w:rFonts w:hint="eastAsia" w:ascii="宋体" w:hAnsi="宋体" w:cs="Arial"/>
          <w:color w:val="000000"/>
        </w:rPr>
        <w:t>谈判小组</w:t>
      </w:r>
      <w:r>
        <w:rPr>
          <w:rFonts w:ascii="宋体" w:hAnsi="宋体" w:cs="Arial"/>
          <w:color w:val="000000"/>
        </w:rPr>
        <w:t>判断</w:t>
      </w:r>
      <w:r>
        <w:rPr>
          <w:rFonts w:hint="eastAsia" w:ascii="宋体" w:hAnsi="宋体" w:cs="Arial"/>
          <w:color w:val="000000"/>
        </w:rPr>
        <w:t>谈判响应文件</w:t>
      </w:r>
      <w:r>
        <w:rPr>
          <w:rFonts w:ascii="宋体" w:hAnsi="宋体" w:cs="Arial"/>
          <w:color w:val="000000"/>
        </w:rPr>
        <w:t>的响应性仅基于</w:t>
      </w:r>
      <w:r>
        <w:rPr>
          <w:rFonts w:hint="eastAsia" w:ascii="宋体" w:hAnsi="宋体" w:cs="Arial"/>
          <w:color w:val="000000"/>
        </w:rPr>
        <w:t>谈判响应文件</w:t>
      </w:r>
      <w:r>
        <w:rPr>
          <w:rFonts w:ascii="宋体" w:hAnsi="宋体" w:cs="Arial"/>
          <w:color w:val="000000"/>
        </w:rPr>
        <w:t>本身而不靠外部证据。</w:t>
      </w:r>
    </w:p>
    <w:p>
      <w:pPr>
        <w:autoSpaceDE w:val="0"/>
        <w:autoSpaceDN w:val="0"/>
        <w:adjustRightInd w:val="0"/>
        <w:snapToGrid w:val="0"/>
        <w:spacing w:line="240" w:lineRule="auto"/>
        <w:rPr>
          <w:rFonts w:ascii="宋体" w:hAnsi="宋体" w:cs="Arial"/>
          <w:color w:val="000000"/>
        </w:rPr>
      </w:pPr>
      <w:r>
        <w:rPr>
          <w:rFonts w:ascii="宋体" w:hAnsi="宋体" w:cs="Arial"/>
          <w:color w:val="000000"/>
        </w:rPr>
        <w:t xml:space="preserve">2.4 </w:t>
      </w:r>
      <w:r>
        <w:rPr>
          <w:rFonts w:hint="eastAsia" w:ascii="宋体" w:hAnsi="宋体" w:cs="Arial"/>
          <w:color w:val="000000"/>
        </w:rPr>
        <w:t>谈判小组</w:t>
      </w:r>
      <w:r>
        <w:rPr>
          <w:rFonts w:ascii="宋体" w:hAnsi="宋体" w:cs="Arial"/>
          <w:color w:val="000000"/>
        </w:rPr>
        <w:t>将拒绝被确定为非实质性响应的</w:t>
      </w:r>
      <w:r>
        <w:rPr>
          <w:rFonts w:hint="eastAsia" w:ascii="宋体" w:hAnsi="宋体" w:cs="Arial"/>
          <w:color w:val="000000"/>
        </w:rPr>
        <w:t>谈判供应商</w:t>
      </w:r>
      <w:r>
        <w:rPr>
          <w:rFonts w:ascii="宋体" w:hAnsi="宋体" w:cs="Arial"/>
          <w:color w:val="000000"/>
        </w:rPr>
        <w:t>，</w:t>
      </w:r>
      <w:r>
        <w:rPr>
          <w:rFonts w:hint="eastAsia" w:ascii="宋体" w:hAnsi="宋体" w:cs="Arial"/>
          <w:color w:val="000000"/>
        </w:rPr>
        <w:t>谈判供应商</w:t>
      </w:r>
      <w:r>
        <w:rPr>
          <w:rFonts w:ascii="宋体" w:hAnsi="宋体" w:cs="Arial"/>
          <w:color w:val="000000"/>
        </w:rPr>
        <w:t>不能通过修正或撤销不符之处而使其</w:t>
      </w:r>
      <w:r>
        <w:rPr>
          <w:rFonts w:hint="eastAsia" w:ascii="宋体" w:hAnsi="宋体" w:cs="Arial"/>
          <w:color w:val="000000"/>
        </w:rPr>
        <w:t>竞争性谈判</w:t>
      </w:r>
      <w:r>
        <w:rPr>
          <w:rFonts w:ascii="宋体" w:hAnsi="宋体" w:cs="Arial"/>
          <w:color w:val="000000"/>
        </w:rPr>
        <w:t>成为实质性响应的</w:t>
      </w:r>
      <w:r>
        <w:rPr>
          <w:rFonts w:hint="eastAsia" w:ascii="宋体" w:hAnsi="宋体" w:cs="Arial"/>
          <w:color w:val="000000"/>
        </w:rPr>
        <w:t>竞争性谈判</w:t>
      </w:r>
      <w:r>
        <w:rPr>
          <w:rFonts w:ascii="宋体" w:hAnsi="宋体" w:cs="Arial"/>
          <w:color w:val="000000"/>
        </w:rPr>
        <w:t>。</w:t>
      </w:r>
    </w:p>
    <w:p>
      <w:pPr>
        <w:autoSpaceDE w:val="0"/>
        <w:autoSpaceDN w:val="0"/>
        <w:adjustRightInd w:val="0"/>
        <w:snapToGrid w:val="0"/>
        <w:spacing w:line="240" w:lineRule="auto"/>
        <w:outlineLvl w:val="0"/>
        <w:rPr>
          <w:rFonts w:ascii="宋体" w:hAnsi="宋体" w:cs="Arial"/>
          <w:b/>
          <w:color w:val="000000"/>
        </w:rPr>
      </w:pPr>
      <w:bookmarkStart w:id="120" w:name="_Toc243212929"/>
      <w:bookmarkStart w:id="121" w:name="_Toc23114"/>
      <w:bookmarkStart w:id="122" w:name="_Toc243201863"/>
      <w:bookmarkStart w:id="123" w:name="_Toc142882040"/>
      <w:bookmarkStart w:id="124" w:name="_Toc143337213"/>
      <w:bookmarkStart w:id="125" w:name="_Toc271608996"/>
      <w:bookmarkStart w:id="126" w:name="_Toc31568"/>
      <w:bookmarkStart w:id="127" w:name="_Toc143488615"/>
      <w:bookmarkStart w:id="128" w:name="_Toc271798822"/>
      <w:bookmarkStart w:id="129" w:name="_Toc197199128"/>
      <w:r>
        <w:rPr>
          <w:rFonts w:ascii="宋体" w:hAnsi="宋体" w:cs="Arial"/>
          <w:b/>
          <w:color w:val="000000"/>
        </w:rPr>
        <w:t>3. 废标及招标失败</w:t>
      </w:r>
      <w:bookmarkEnd w:id="120"/>
      <w:bookmarkEnd w:id="121"/>
      <w:bookmarkEnd w:id="122"/>
      <w:bookmarkEnd w:id="123"/>
      <w:bookmarkEnd w:id="124"/>
      <w:bookmarkEnd w:id="125"/>
      <w:bookmarkEnd w:id="126"/>
      <w:bookmarkEnd w:id="127"/>
      <w:bookmarkEnd w:id="128"/>
      <w:bookmarkEnd w:id="129"/>
    </w:p>
    <w:p>
      <w:pPr>
        <w:autoSpaceDE w:val="0"/>
        <w:autoSpaceDN w:val="0"/>
        <w:adjustRightInd w:val="0"/>
        <w:snapToGrid w:val="0"/>
        <w:spacing w:line="240" w:lineRule="auto"/>
        <w:ind w:left="42" w:leftChars="20" w:firstLine="420" w:firstLineChars="200"/>
        <w:rPr>
          <w:rFonts w:ascii="宋体" w:hAnsi="宋体" w:cs="Arial"/>
          <w:color w:val="000000"/>
        </w:rPr>
      </w:pPr>
      <w:r>
        <w:rPr>
          <w:rFonts w:ascii="宋体" w:hAnsi="宋体" w:cs="Arial"/>
          <w:color w:val="000000"/>
        </w:rPr>
        <w:t>具体要求见第二</w:t>
      </w:r>
      <w:r>
        <w:rPr>
          <w:rFonts w:hint="eastAsia" w:ascii="宋体" w:hAnsi="宋体" w:cs="Arial"/>
          <w:color w:val="000000"/>
          <w:lang w:val="en-US" w:eastAsia="zh-CN"/>
        </w:rPr>
        <w:t>章</w:t>
      </w:r>
      <w:r>
        <w:rPr>
          <w:rFonts w:ascii="宋体" w:hAnsi="宋体" w:cs="Arial"/>
          <w:color w:val="000000"/>
        </w:rPr>
        <w:t>投标须知中第</w:t>
      </w:r>
      <w:r>
        <w:rPr>
          <w:rFonts w:hint="eastAsia" w:ascii="宋体" w:hAnsi="宋体" w:cs="Arial"/>
          <w:color w:val="000000"/>
        </w:rPr>
        <w:t>10</w:t>
      </w:r>
      <w:r>
        <w:rPr>
          <w:rFonts w:ascii="宋体" w:hAnsi="宋体" w:cs="Arial"/>
          <w:color w:val="000000"/>
        </w:rPr>
        <w:t>项要求。出现废标和</w:t>
      </w:r>
      <w:r>
        <w:rPr>
          <w:rFonts w:hint="eastAsia" w:ascii="宋体" w:hAnsi="宋体" w:cs="Arial"/>
          <w:color w:val="000000"/>
        </w:rPr>
        <w:t>采购</w:t>
      </w:r>
      <w:r>
        <w:rPr>
          <w:rFonts w:ascii="宋体" w:hAnsi="宋体" w:cs="Arial"/>
          <w:color w:val="000000"/>
        </w:rPr>
        <w:t>失败时，按规定填写说明情况后，评标委员会审核通过。</w:t>
      </w:r>
    </w:p>
    <w:p>
      <w:pPr>
        <w:autoSpaceDE w:val="0"/>
        <w:autoSpaceDN w:val="0"/>
        <w:adjustRightInd w:val="0"/>
        <w:snapToGrid w:val="0"/>
        <w:spacing w:line="240" w:lineRule="auto"/>
        <w:outlineLvl w:val="0"/>
        <w:rPr>
          <w:rFonts w:ascii="宋体" w:hAnsi="宋体" w:cs="Arial"/>
          <w:b/>
          <w:color w:val="000000"/>
        </w:rPr>
      </w:pPr>
      <w:bookmarkStart w:id="130" w:name="_Toc142882041"/>
      <w:bookmarkStart w:id="131" w:name="_Toc243201864"/>
      <w:bookmarkStart w:id="132" w:name="_Toc243212930"/>
      <w:bookmarkStart w:id="133" w:name="_Toc271608997"/>
      <w:bookmarkStart w:id="134" w:name="_Toc143488616"/>
      <w:bookmarkStart w:id="135" w:name="_Toc143337214"/>
      <w:bookmarkStart w:id="136" w:name="_Toc197199129"/>
      <w:bookmarkStart w:id="137" w:name="_Toc271798823"/>
      <w:bookmarkStart w:id="138" w:name="_Toc24777"/>
      <w:bookmarkStart w:id="139" w:name="_Toc27582"/>
      <w:r>
        <w:rPr>
          <w:rFonts w:ascii="宋体" w:hAnsi="宋体" w:cs="Arial"/>
          <w:b/>
          <w:color w:val="000000"/>
        </w:rPr>
        <w:t>4.</w:t>
      </w:r>
      <w:bookmarkEnd w:id="130"/>
      <w:bookmarkEnd w:id="131"/>
      <w:bookmarkEnd w:id="132"/>
      <w:bookmarkEnd w:id="133"/>
      <w:bookmarkEnd w:id="134"/>
      <w:bookmarkEnd w:id="135"/>
      <w:bookmarkEnd w:id="136"/>
      <w:bookmarkEnd w:id="137"/>
      <w:r>
        <w:rPr>
          <w:rFonts w:hint="eastAsia" w:ascii="宋体" w:hAnsi="宋体" w:cs="Arial"/>
          <w:b/>
          <w:color w:val="000000"/>
        </w:rPr>
        <w:t>谈判小组</w:t>
      </w:r>
      <w:bookmarkEnd w:id="138"/>
      <w:bookmarkEnd w:id="139"/>
    </w:p>
    <w:p>
      <w:pPr>
        <w:autoSpaceDE w:val="0"/>
        <w:autoSpaceDN w:val="0"/>
        <w:adjustRightInd w:val="0"/>
        <w:snapToGrid w:val="0"/>
        <w:spacing w:line="240" w:lineRule="auto"/>
        <w:ind w:firstLine="420" w:firstLineChars="200"/>
        <w:rPr>
          <w:rFonts w:ascii="宋体" w:hAnsi="宋体" w:cs="Arial"/>
          <w:color w:val="000000"/>
        </w:rPr>
      </w:pPr>
      <w:r>
        <w:rPr>
          <w:rFonts w:hint="eastAsia" w:ascii="宋体" w:hAnsi="宋体" w:cs="Arial"/>
          <w:color w:val="000000"/>
        </w:rPr>
        <w:t>采购</w:t>
      </w:r>
      <w:r>
        <w:rPr>
          <w:rFonts w:ascii="宋体" w:hAnsi="宋体" w:cs="Arial"/>
          <w:color w:val="000000"/>
        </w:rPr>
        <w:t>人将根据《评标委员会和评标方法暂行规定》组建</w:t>
      </w:r>
      <w:r>
        <w:rPr>
          <w:rFonts w:hint="eastAsia" w:ascii="宋体" w:hAnsi="宋体" w:cs="Arial"/>
          <w:color w:val="000000"/>
        </w:rPr>
        <w:t>谈判小组</w:t>
      </w:r>
      <w:r>
        <w:rPr>
          <w:rFonts w:ascii="宋体" w:hAnsi="宋体" w:cs="Arial"/>
          <w:color w:val="000000"/>
        </w:rPr>
        <w:t>，其成员由技术、经济等方面的专家和采购人（即用户单位）代表等</w:t>
      </w:r>
      <w:r>
        <w:rPr>
          <w:rFonts w:hint="eastAsia" w:ascii="宋体" w:hAnsi="宋体" w:cs="Arial"/>
          <w:color w:val="000000"/>
          <w:u w:val="single"/>
        </w:rPr>
        <w:t>五</w:t>
      </w:r>
      <w:r>
        <w:rPr>
          <w:rFonts w:ascii="宋体" w:hAnsi="宋体" w:cs="Arial"/>
          <w:color w:val="000000"/>
        </w:rPr>
        <w:t>人</w:t>
      </w:r>
      <w:r>
        <w:rPr>
          <w:rFonts w:hint="eastAsia" w:ascii="宋体" w:hAnsi="宋体" w:cs="Arial"/>
          <w:color w:val="000000"/>
        </w:rPr>
        <w:t>及以上</w:t>
      </w:r>
      <w:r>
        <w:rPr>
          <w:rFonts w:ascii="宋体" w:hAnsi="宋体" w:cs="Arial"/>
          <w:color w:val="000000"/>
        </w:rPr>
        <w:t>单数组成，其中技术、经济等方面的专家人数不少于总数三分之二，评标委员会对谈判响应文件进行审查、质疑、评估、比较。</w:t>
      </w:r>
    </w:p>
    <w:p>
      <w:pPr>
        <w:autoSpaceDE w:val="0"/>
        <w:autoSpaceDN w:val="0"/>
        <w:adjustRightInd w:val="0"/>
        <w:snapToGrid w:val="0"/>
        <w:spacing w:line="240" w:lineRule="auto"/>
        <w:outlineLvl w:val="0"/>
        <w:rPr>
          <w:rFonts w:ascii="宋体" w:hAnsi="宋体" w:cs="Arial"/>
          <w:b/>
          <w:color w:val="000000"/>
        </w:rPr>
      </w:pPr>
      <w:bookmarkStart w:id="140" w:name="_Toc5723"/>
      <w:bookmarkStart w:id="141" w:name="_Toc271608998"/>
      <w:bookmarkStart w:id="142" w:name="_Toc142882042"/>
      <w:bookmarkStart w:id="143" w:name="_Toc271798824"/>
      <w:bookmarkStart w:id="144" w:name="_Toc143488617"/>
      <w:bookmarkStart w:id="145" w:name="_Toc197199130"/>
      <w:bookmarkStart w:id="146" w:name="_Toc243201865"/>
      <w:bookmarkStart w:id="147" w:name="_Toc8568"/>
      <w:bookmarkStart w:id="148" w:name="_Toc243212931"/>
      <w:bookmarkStart w:id="149" w:name="_Toc143337215"/>
      <w:r>
        <w:rPr>
          <w:rFonts w:ascii="宋体" w:hAnsi="宋体" w:cs="Arial"/>
          <w:b/>
          <w:color w:val="000000"/>
        </w:rPr>
        <w:t>5.</w:t>
      </w:r>
      <w:r>
        <w:rPr>
          <w:rFonts w:hint="eastAsia" w:ascii="宋体" w:hAnsi="宋体" w:cs="Arial"/>
          <w:b/>
          <w:color w:val="000000"/>
        </w:rPr>
        <w:t>谈判响应文件</w:t>
      </w:r>
      <w:r>
        <w:rPr>
          <w:rFonts w:ascii="宋体" w:hAnsi="宋体" w:cs="Arial"/>
          <w:b/>
          <w:color w:val="000000"/>
        </w:rPr>
        <w:t>的澄清</w:t>
      </w:r>
      <w:bookmarkEnd w:id="140"/>
      <w:bookmarkEnd w:id="141"/>
      <w:bookmarkEnd w:id="142"/>
      <w:bookmarkEnd w:id="143"/>
      <w:bookmarkEnd w:id="144"/>
      <w:bookmarkEnd w:id="145"/>
      <w:bookmarkEnd w:id="146"/>
      <w:bookmarkEnd w:id="147"/>
      <w:bookmarkEnd w:id="148"/>
      <w:bookmarkEnd w:id="149"/>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为了有助于对</w:t>
      </w:r>
      <w:r>
        <w:rPr>
          <w:rFonts w:hint="eastAsia" w:ascii="宋体" w:hAnsi="宋体" w:cs="Arial"/>
          <w:color w:val="000000"/>
        </w:rPr>
        <w:t>谈判响应文件</w:t>
      </w:r>
      <w:r>
        <w:rPr>
          <w:rFonts w:ascii="宋体" w:hAnsi="宋体" w:cs="Arial"/>
          <w:color w:val="000000"/>
        </w:rPr>
        <w:t>进行审查、评估和比较，</w:t>
      </w:r>
      <w:r>
        <w:rPr>
          <w:rFonts w:hint="eastAsia" w:ascii="宋体" w:hAnsi="宋体" w:cs="Arial"/>
          <w:color w:val="000000"/>
        </w:rPr>
        <w:t>采购</w:t>
      </w:r>
      <w:r>
        <w:rPr>
          <w:rFonts w:ascii="宋体" w:hAnsi="宋体" w:cs="Arial"/>
          <w:color w:val="000000"/>
        </w:rPr>
        <w:t>人有权向</w:t>
      </w:r>
      <w:r>
        <w:rPr>
          <w:rFonts w:hint="eastAsia" w:ascii="宋体" w:hAnsi="宋体" w:cs="Arial"/>
          <w:color w:val="000000"/>
        </w:rPr>
        <w:t>谈判供应商</w:t>
      </w:r>
      <w:r>
        <w:rPr>
          <w:rFonts w:ascii="宋体" w:hAnsi="宋体" w:cs="Arial"/>
          <w:color w:val="000000"/>
        </w:rPr>
        <w:t>质疑，请</w:t>
      </w:r>
      <w:r>
        <w:rPr>
          <w:rFonts w:hint="eastAsia" w:ascii="宋体" w:hAnsi="宋体" w:cs="Arial"/>
          <w:color w:val="000000"/>
        </w:rPr>
        <w:t>谈判供应商</w:t>
      </w:r>
      <w:r>
        <w:rPr>
          <w:rFonts w:ascii="宋体" w:hAnsi="宋体" w:cs="Arial"/>
          <w:color w:val="000000"/>
        </w:rPr>
        <w:t>澄清其</w:t>
      </w:r>
      <w:r>
        <w:rPr>
          <w:rFonts w:hint="eastAsia" w:ascii="宋体" w:hAnsi="宋体" w:cs="Arial"/>
          <w:color w:val="000000"/>
        </w:rPr>
        <w:t>竞争性谈判</w:t>
      </w:r>
      <w:r>
        <w:rPr>
          <w:rFonts w:ascii="宋体" w:hAnsi="宋体" w:cs="Arial"/>
          <w:color w:val="000000"/>
        </w:rPr>
        <w:t>内容。</w:t>
      </w:r>
      <w:r>
        <w:rPr>
          <w:rFonts w:hint="eastAsia" w:ascii="宋体" w:hAnsi="宋体" w:cs="Arial"/>
          <w:color w:val="000000"/>
        </w:rPr>
        <w:t>谈判供应商</w:t>
      </w:r>
      <w:r>
        <w:rPr>
          <w:rFonts w:ascii="宋体" w:hAnsi="宋体" w:cs="Arial"/>
          <w:color w:val="000000"/>
        </w:rPr>
        <w:t>有责任按照</w:t>
      </w:r>
      <w:r>
        <w:rPr>
          <w:rFonts w:hint="eastAsia" w:ascii="宋体" w:hAnsi="宋体" w:cs="Arial"/>
          <w:color w:val="000000"/>
        </w:rPr>
        <w:t>采购</w:t>
      </w:r>
      <w:r>
        <w:rPr>
          <w:rFonts w:ascii="宋体" w:hAnsi="宋体" w:cs="Arial"/>
          <w:color w:val="000000"/>
        </w:rPr>
        <w:t>人通知的时间、地点派专人进行答疑和书面澄清。</w:t>
      </w:r>
    </w:p>
    <w:p>
      <w:pPr>
        <w:autoSpaceDE w:val="0"/>
        <w:autoSpaceDN w:val="0"/>
        <w:adjustRightInd w:val="0"/>
        <w:snapToGrid w:val="0"/>
        <w:spacing w:line="240" w:lineRule="auto"/>
        <w:outlineLvl w:val="0"/>
        <w:rPr>
          <w:rFonts w:ascii="宋体" w:hAnsi="宋体" w:cs="Arial"/>
          <w:b/>
          <w:color w:val="000000"/>
        </w:rPr>
      </w:pPr>
      <w:bookmarkStart w:id="150" w:name="_Toc142882043"/>
      <w:bookmarkStart w:id="151" w:name="_Toc143337216"/>
      <w:bookmarkStart w:id="152" w:name="_Toc243212932"/>
      <w:bookmarkStart w:id="153" w:name="_Toc243201866"/>
      <w:bookmarkStart w:id="154" w:name="_Toc271608999"/>
      <w:bookmarkStart w:id="155" w:name="_Toc25130"/>
      <w:bookmarkStart w:id="156" w:name="_Toc197199131"/>
      <w:bookmarkStart w:id="157" w:name="_Toc271798825"/>
      <w:bookmarkStart w:id="158" w:name="_Toc6827"/>
      <w:bookmarkStart w:id="159" w:name="_Toc143488618"/>
      <w:r>
        <w:rPr>
          <w:rFonts w:ascii="宋体" w:hAnsi="宋体" w:cs="Arial"/>
          <w:b/>
          <w:color w:val="000000"/>
        </w:rPr>
        <w:t>6. 评标原则与方法</w:t>
      </w:r>
      <w:bookmarkEnd w:id="150"/>
      <w:bookmarkEnd w:id="151"/>
      <w:bookmarkEnd w:id="152"/>
      <w:bookmarkEnd w:id="153"/>
      <w:bookmarkEnd w:id="154"/>
      <w:bookmarkEnd w:id="155"/>
      <w:bookmarkEnd w:id="156"/>
      <w:bookmarkEnd w:id="157"/>
      <w:bookmarkEnd w:id="158"/>
      <w:bookmarkEnd w:id="159"/>
    </w:p>
    <w:p>
      <w:pPr>
        <w:autoSpaceDE w:val="0"/>
        <w:autoSpaceDN w:val="0"/>
        <w:adjustRightInd w:val="0"/>
        <w:snapToGrid w:val="0"/>
        <w:spacing w:line="240" w:lineRule="auto"/>
        <w:ind w:left="420" w:hanging="420" w:hangingChars="200"/>
        <w:rPr>
          <w:rFonts w:ascii="宋体" w:hAnsi="宋体" w:cs="Arial"/>
          <w:color w:val="000000"/>
        </w:rPr>
      </w:pPr>
      <w:r>
        <w:rPr>
          <w:rFonts w:ascii="宋体" w:hAnsi="宋体" w:cs="Arial"/>
          <w:color w:val="000000"/>
        </w:rPr>
        <w:t xml:space="preserve">6.1 </w:t>
      </w:r>
      <w:r>
        <w:rPr>
          <w:rFonts w:hint="eastAsia" w:ascii="宋体" w:hAnsi="宋体" w:cs="Arial"/>
          <w:color w:val="000000"/>
        </w:rPr>
        <w:t>谈判小组</w:t>
      </w:r>
      <w:r>
        <w:rPr>
          <w:rFonts w:ascii="宋体" w:hAnsi="宋体" w:cs="Arial"/>
          <w:color w:val="000000"/>
        </w:rPr>
        <w:t>将遵照公开、公平、公正的评标原则，严格按照</w:t>
      </w:r>
      <w:r>
        <w:rPr>
          <w:rFonts w:hint="eastAsia" w:ascii="宋体" w:hAnsi="宋体" w:cs="Arial"/>
          <w:color w:val="000000"/>
        </w:rPr>
        <w:t>谈判</w:t>
      </w:r>
      <w:r>
        <w:rPr>
          <w:rFonts w:ascii="宋体" w:hAnsi="宋体" w:cs="Arial"/>
          <w:color w:val="000000"/>
        </w:rPr>
        <w:t>文件的要求和条件进行评标，平等地对待所有谈判供应商，择优定标。</w:t>
      </w:r>
    </w:p>
    <w:p>
      <w:pPr>
        <w:autoSpaceDE w:val="0"/>
        <w:autoSpaceDN w:val="0"/>
        <w:adjustRightInd w:val="0"/>
        <w:snapToGrid w:val="0"/>
        <w:spacing w:line="240" w:lineRule="auto"/>
        <w:ind w:left="420" w:hanging="420" w:hangingChars="200"/>
        <w:rPr>
          <w:rFonts w:ascii="宋体" w:hAnsi="宋体" w:cs="Arial"/>
          <w:color w:val="000000"/>
        </w:rPr>
      </w:pPr>
      <w:r>
        <w:rPr>
          <w:rFonts w:ascii="宋体" w:hAnsi="宋体" w:cs="Arial"/>
          <w:color w:val="000000"/>
        </w:rPr>
        <w:t xml:space="preserve">6.2 </w:t>
      </w:r>
      <w:r>
        <w:rPr>
          <w:rFonts w:hint="eastAsia" w:ascii="宋体" w:hAnsi="宋体" w:cs="Arial"/>
          <w:color w:val="000000"/>
        </w:rPr>
        <w:t>谈判小组</w:t>
      </w:r>
      <w:r>
        <w:rPr>
          <w:rFonts w:ascii="宋体" w:hAnsi="宋体" w:cs="Arial"/>
          <w:color w:val="000000"/>
        </w:rPr>
        <w:t>将对</w:t>
      </w:r>
      <w:r>
        <w:rPr>
          <w:rFonts w:hint="eastAsia" w:ascii="宋体" w:hAnsi="宋体" w:cs="Arial"/>
          <w:color w:val="000000"/>
        </w:rPr>
        <w:t>竞争性谈判</w:t>
      </w:r>
      <w:r>
        <w:rPr>
          <w:rFonts w:ascii="宋体" w:hAnsi="宋体" w:cs="Arial"/>
          <w:color w:val="000000"/>
        </w:rPr>
        <w:t>书中的每个响应进行评价，检查其对</w:t>
      </w:r>
      <w:r>
        <w:rPr>
          <w:rFonts w:hint="eastAsia" w:ascii="宋体" w:hAnsi="宋体" w:cs="Arial"/>
          <w:color w:val="000000"/>
        </w:rPr>
        <w:t>谈判文件</w:t>
      </w:r>
      <w:r>
        <w:rPr>
          <w:rFonts w:ascii="宋体" w:hAnsi="宋体" w:cs="Arial"/>
          <w:color w:val="000000"/>
        </w:rPr>
        <w:t>要求的符合程度并给出评分。</w:t>
      </w:r>
    </w:p>
    <w:p>
      <w:pPr>
        <w:autoSpaceDE w:val="0"/>
        <w:autoSpaceDN w:val="0"/>
        <w:adjustRightInd w:val="0"/>
        <w:snapToGrid w:val="0"/>
        <w:spacing w:line="240" w:lineRule="auto"/>
        <w:ind w:left="420" w:hanging="420" w:hangingChars="200"/>
        <w:rPr>
          <w:rFonts w:ascii="宋体" w:hAnsi="宋体" w:cs="Arial"/>
          <w:color w:val="000000"/>
        </w:rPr>
      </w:pPr>
      <w:r>
        <w:rPr>
          <w:rFonts w:ascii="宋体" w:hAnsi="宋体" w:cs="Arial"/>
          <w:color w:val="000000"/>
        </w:rPr>
        <w:t>6.3</w:t>
      </w:r>
      <w:r>
        <w:rPr>
          <w:rFonts w:hint="eastAsia" w:ascii="宋体" w:hAnsi="宋体" w:cs="Arial"/>
          <w:color w:val="000000"/>
        </w:rPr>
        <w:t xml:space="preserve"> </w:t>
      </w:r>
      <w:r>
        <w:rPr>
          <w:rFonts w:ascii="宋体" w:hAnsi="宋体" w:cs="Arial"/>
          <w:color w:val="000000"/>
        </w:rPr>
        <w:t>综合各</w:t>
      </w:r>
      <w:r>
        <w:rPr>
          <w:rFonts w:hint="eastAsia" w:ascii="宋体" w:hAnsi="宋体" w:cs="Arial"/>
          <w:color w:val="000000"/>
        </w:rPr>
        <w:t>谈判供应商</w:t>
      </w:r>
      <w:r>
        <w:rPr>
          <w:rFonts w:ascii="宋体" w:hAnsi="宋体" w:cs="Arial"/>
          <w:color w:val="000000"/>
        </w:rPr>
        <w:t>商务、技术和报价进行综合评价，产生综合评估分，综合评估得分最高者为最优。</w:t>
      </w:r>
    </w:p>
    <w:p>
      <w:pPr>
        <w:pStyle w:val="4"/>
        <w:adjustRightInd w:val="0"/>
        <w:snapToGrid w:val="0"/>
        <w:spacing w:before="0" w:after="0" w:line="240" w:lineRule="auto"/>
        <w:rPr>
          <w:rFonts w:ascii="宋体" w:hAnsi="宋体" w:eastAsia="宋体"/>
          <w:b w:val="0"/>
          <w:color w:val="000000"/>
          <w:sz w:val="30"/>
          <w:szCs w:val="30"/>
        </w:rPr>
      </w:pPr>
      <w:bookmarkStart w:id="160" w:name="_Toc271798826"/>
      <w:bookmarkStart w:id="161" w:name="_Toc8731"/>
      <w:r>
        <w:rPr>
          <w:rFonts w:hint="eastAsia" w:ascii="宋体" w:hAnsi="宋体" w:eastAsia="宋体"/>
          <w:b w:val="0"/>
          <w:color w:val="000000"/>
          <w:sz w:val="30"/>
          <w:szCs w:val="30"/>
        </w:rPr>
        <w:t>附：评标文件</w:t>
      </w:r>
      <w:bookmarkEnd w:id="160"/>
      <w:bookmarkEnd w:id="161"/>
    </w:p>
    <w:p>
      <w:pPr>
        <w:autoSpaceDE w:val="0"/>
        <w:autoSpaceDN w:val="0"/>
        <w:adjustRightInd w:val="0"/>
        <w:snapToGrid w:val="0"/>
        <w:spacing w:line="240" w:lineRule="auto"/>
        <w:ind w:left="422" w:hanging="422" w:hangingChars="200"/>
        <w:rPr>
          <w:rFonts w:ascii="宋体" w:hAnsi="宋体" w:cs="Arial"/>
          <w:b/>
          <w:color w:val="000000"/>
        </w:rPr>
      </w:pPr>
      <w:r>
        <w:rPr>
          <w:rFonts w:ascii="宋体" w:hAnsi="宋体" w:cs="Arial"/>
          <w:b/>
          <w:color w:val="000000"/>
        </w:rPr>
        <w:t>1.评标须知</w:t>
      </w:r>
    </w:p>
    <w:p>
      <w:pPr>
        <w:autoSpaceDE w:val="0"/>
        <w:autoSpaceDN w:val="0"/>
        <w:adjustRightInd w:val="0"/>
        <w:snapToGrid w:val="0"/>
        <w:spacing w:line="240" w:lineRule="auto"/>
        <w:rPr>
          <w:rFonts w:ascii="宋体" w:hAnsi="宋体" w:cs="Arial"/>
          <w:b/>
          <w:color w:val="000000"/>
        </w:rPr>
      </w:pPr>
      <w:r>
        <w:rPr>
          <w:rFonts w:ascii="宋体" w:hAnsi="宋体" w:cs="Arial"/>
          <w:b/>
          <w:color w:val="000000"/>
        </w:rPr>
        <w:t>1.1 关于评标方案</w:t>
      </w:r>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 xml:space="preserve">1.1.1 </w:t>
      </w:r>
      <w:r>
        <w:rPr>
          <w:rFonts w:hint="eastAsia" w:ascii="宋体" w:hAnsi="宋体" w:cs="Arial"/>
          <w:color w:val="000000"/>
        </w:rPr>
        <w:t>谈判小组</w:t>
      </w:r>
      <w:r>
        <w:rPr>
          <w:rFonts w:ascii="宋体" w:hAnsi="宋体" w:cs="Arial"/>
          <w:color w:val="000000"/>
        </w:rPr>
        <w:t>的每个成员(以下简称评委)应认真阅读并确认已经正确理解了评标方案；</w:t>
      </w:r>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1.1.2 评委如对评标方案有异议，应在评标开始前提出。</w:t>
      </w:r>
    </w:p>
    <w:p>
      <w:pPr>
        <w:autoSpaceDE w:val="0"/>
        <w:autoSpaceDN w:val="0"/>
        <w:adjustRightInd w:val="0"/>
        <w:snapToGrid w:val="0"/>
        <w:spacing w:line="240" w:lineRule="auto"/>
        <w:rPr>
          <w:rFonts w:ascii="宋体" w:hAnsi="宋体" w:cs="Arial"/>
          <w:b/>
          <w:color w:val="000000"/>
        </w:rPr>
      </w:pPr>
      <w:r>
        <w:rPr>
          <w:rFonts w:ascii="宋体" w:hAnsi="宋体" w:cs="Arial"/>
          <w:b/>
          <w:color w:val="000000"/>
        </w:rPr>
        <w:t>1.2 关于评标</w:t>
      </w:r>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1.2.</w:t>
      </w:r>
      <w:r>
        <w:rPr>
          <w:rFonts w:hint="eastAsia" w:ascii="宋体" w:hAnsi="宋体" w:cs="Arial"/>
          <w:color w:val="000000"/>
        </w:rPr>
        <w:t>1</w:t>
      </w:r>
      <w:r>
        <w:rPr>
          <w:rFonts w:ascii="宋体" w:hAnsi="宋体" w:cs="Arial"/>
          <w:color w:val="000000"/>
        </w:rPr>
        <w:t xml:space="preserve"> 每个评委应本着客观、公正的原则独立给出评价意见；</w:t>
      </w:r>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1.2.</w:t>
      </w:r>
      <w:r>
        <w:rPr>
          <w:rFonts w:hint="eastAsia" w:ascii="宋体" w:hAnsi="宋体" w:cs="Arial"/>
          <w:color w:val="000000"/>
        </w:rPr>
        <w:t xml:space="preserve">2 </w:t>
      </w:r>
      <w:r>
        <w:rPr>
          <w:rFonts w:ascii="宋体" w:hAnsi="宋体" w:cs="Arial"/>
          <w:color w:val="000000"/>
        </w:rPr>
        <w:t>评委之间不得相互串通进行评分；</w:t>
      </w:r>
    </w:p>
    <w:p>
      <w:pPr>
        <w:autoSpaceDE w:val="0"/>
        <w:autoSpaceDN w:val="0"/>
        <w:adjustRightInd w:val="0"/>
        <w:snapToGrid w:val="0"/>
        <w:spacing w:line="240" w:lineRule="auto"/>
        <w:ind w:firstLine="420" w:firstLineChars="200"/>
        <w:rPr>
          <w:rFonts w:ascii="宋体" w:hAnsi="宋体" w:cs="Arial"/>
          <w:color w:val="000000"/>
        </w:rPr>
      </w:pPr>
      <w:r>
        <w:rPr>
          <w:rFonts w:ascii="宋体" w:hAnsi="宋体" w:cs="Arial"/>
          <w:color w:val="000000"/>
        </w:rPr>
        <w:t>1.2.</w:t>
      </w:r>
      <w:r>
        <w:rPr>
          <w:rFonts w:hint="eastAsia" w:ascii="宋体" w:hAnsi="宋体" w:cs="Arial"/>
          <w:color w:val="000000"/>
        </w:rPr>
        <w:t xml:space="preserve">3 </w:t>
      </w:r>
      <w:r>
        <w:rPr>
          <w:rFonts w:ascii="宋体" w:hAnsi="宋体" w:cs="Arial"/>
          <w:color w:val="000000"/>
        </w:rPr>
        <w:t>评委不得试图影响其他评委的评价意见。</w:t>
      </w:r>
    </w:p>
    <w:p>
      <w:pPr>
        <w:autoSpaceDE w:val="0"/>
        <w:autoSpaceDN w:val="0"/>
        <w:adjustRightInd w:val="0"/>
        <w:snapToGrid w:val="0"/>
        <w:spacing w:line="240" w:lineRule="auto"/>
        <w:rPr>
          <w:rFonts w:ascii="宋体" w:hAnsi="宋体" w:cs="Arial"/>
          <w:b/>
          <w:color w:val="000000"/>
        </w:rPr>
      </w:pPr>
      <w:r>
        <w:rPr>
          <w:rFonts w:ascii="宋体" w:hAnsi="宋体" w:cs="Arial"/>
          <w:b/>
          <w:color w:val="000000"/>
        </w:rPr>
        <w:t>1.3 关于保密</w:t>
      </w:r>
    </w:p>
    <w:p>
      <w:pPr>
        <w:autoSpaceDE w:val="0"/>
        <w:autoSpaceDN w:val="0"/>
        <w:adjustRightInd w:val="0"/>
        <w:snapToGrid w:val="0"/>
        <w:spacing w:line="240" w:lineRule="auto"/>
        <w:ind w:left="479" w:leftChars="228" w:firstLine="10" w:firstLineChars="5"/>
        <w:rPr>
          <w:rFonts w:ascii="宋体" w:hAnsi="宋体" w:cs="Arial"/>
          <w:color w:val="000000"/>
        </w:rPr>
      </w:pPr>
      <w:r>
        <w:rPr>
          <w:rFonts w:ascii="宋体" w:hAnsi="宋体" w:cs="Arial"/>
          <w:color w:val="000000"/>
        </w:rPr>
        <w:t>1.3.1</w:t>
      </w:r>
      <w:r>
        <w:rPr>
          <w:rFonts w:hint="eastAsia" w:ascii="宋体" w:hAnsi="宋体" w:cs="Arial"/>
          <w:color w:val="000000"/>
        </w:rPr>
        <w:t xml:space="preserve"> </w:t>
      </w:r>
      <w:r>
        <w:rPr>
          <w:rFonts w:ascii="宋体" w:hAnsi="宋体" w:cs="Arial"/>
          <w:color w:val="000000"/>
        </w:rPr>
        <w:t>评委不得私下接触谈判供应商；</w:t>
      </w:r>
    </w:p>
    <w:p>
      <w:pPr>
        <w:autoSpaceDE w:val="0"/>
        <w:autoSpaceDN w:val="0"/>
        <w:adjustRightInd w:val="0"/>
        <w:snapToGrid w:val="0"/>
        <w:spacing w:line="240" w:lineRule="auto"/>
        <w:ind w:left="479" w:leftChars="228" w:firstLine="10" w:firstLineChars="5"/>
        <w:rPr>
          <w:rFonts w:ascii="宋体" w:hAnsi="宋体" w:cs="Arial"/>
          <w:color w:val="000000"/>
        </w:rPr>
      </w:pPr>
      <w:r>
        <w:rPr>
          <w:rFonts w:ascii="宋体" w:hAnsi="宋体" w:cs="Arial"/>
          <w:color w:val="000000"/>
        </w:rPr>
        <w:t>1.3.2</w:t>
      </w:r>
      <w:r>
        <w:rPr>
          <w:rFonts w:hint="eastAsia" w:ascii="宋体" w:hAnsi="宋体" w:cs="Arial"/>
          <w:color w:val="000000"/>
        </w:rPr>
        <w:t xml:space="preserve"> </w:t>
      </w:r>
      <w:r>
        <w:rPr>
          <w:rFonts w:ascii="宋体" w:hAnsi="宋体" w:cs="Arial"/>
          <w:color w:val="000000"/>
        </w:rPr>
        <w:t>评委不得接受谈判供应商的财物或其他好处；</w:t>
      </w:r>
    </w:p>
    <w:p>
      <w:pPr>
        <w:autoSpaceDE w:val="0"/>
        <w:autoSpaceDN w:val="0"/>
        <w:adjustRightInd w:val="0"/>
        <w:snapToGrid w:val="0"/>
        <w:spacing w:line="240" w:lineRule="auto"/>
        <w:ind w:left="479" w:leftChars="228" w:firstLine="10" w:firstLineChars="5"/>
        <w:rPr>
          <w:rFonts w:ascii="宋体" w:hAnsi="宋体" w:cs="Arial"/>
          <w:color w:val="000000"/>
        </w:rPr>
      </w:pPr>
      <w:r>
        <w:rPr>
          <w:rFonts w:ascii="宋体" w:hAnsi="宋体" w:cs="Arial"/>
          <w:color w:val="000000"/>
        </w:rPr>
        <w:t>1.3.3</w:t>
      </w:r>
      <w:r>
        <w:rPr>
          <w:rFonts w:hint="eastAsia" w:ascii="宋体" w:hAnsi="宋体" w:cs="Arial"/>
          <w:color w:val="000000"/>
        </w:rPr>
        <w:t xml:space="preserve"> </w:t>
      </w:r>
      <w:r>
        <w:rPr>
          <w:rFonts w:ascii="宋体" w:hAnsi="宋体" w:cs="Arial"/>
          <w:color w:val="000000"/>
        </w:rPr>
        <w:t>评委不得透露评标过程中的任何情况。</w:t>
      </w:r>
    </w:p>
    <w:p>
      <w:pPr>
        <w:autoSpaceDE w:val="0"/>
        <w:autoSpaceDN w:val="0"/>
        <w:adjustRightInd w:val="0"/>
        <w:snapToGrid w:val="0"/>
        <w:spacing w:line="240" w:lineRule="auto"/>
        <w:rPr>
          <w:rFonts w:ascii="宋体" w:hAnsi="宋体" w:cs="Arial"/>
          <w:b/>
          <w:color w:val="000000"/>
        </w:rPr>
      </w:pPr>
      <w:r>
        <w:rPr>
          <w:rFonts w:ascii="宋体" w:hAnsi="宋体" w:cs="Arial"/>
          <w:b/>
          <w:color w:val="000000"/>
        </w:rPr>
        <w:t>1.4 关于评标责任</w:t>
      </w:r>
    </w:p>
    <w:p>
      <w:pPr>
        <w:autoSpaceDE w:val="0"/>
        <w:autoSpaceDN w:val="0"/>
        <w:adjustRightInd w:val="0"/>
        <w:snapToGrid w:val="0"/>
        <w:spacing w:line="240" w:lineRule="auto"/>
        <w:ind w:left="479" w:leftChars="228" w:firstLine="10" w:firstLineChars="5"/>
        <w:rPr>
          <w:rFonts w:ascii="宋体" w:hAnsi="宋体" w:cs="Arial"/>
          <w:color w:val="000000"/>
        </w:rPr>
      </w:pPr>
      <w:r>
        <w:rPr>
          <w:rFonts w:ascii="宋体" w:hAnsi="宋体" w:cs="Arial"/>
          <w:color w:val="000000"/>
        </w:rPr>
        <w:t>1.4.1</w:t>
      </w:r>
      <w:r>
        <w:rPr>
          <w:rFonts w:hint="eastAsia" w:ascii="宋体" w:hAnsi="宋体" w:cs="Arial"/>
          <w:color w:val="000000"/>
        </w:rPr>
        <w:t xml:space="preserve"> </w:t>
      </w:r>
      <w:r>
        <w:rPr>
          <w:rFonts w:ascii="宋体" w:hAnsi="宋体" w:cs="Arial"/>
          <w:color w:val="000000"/>
        </w:rPr>
        <w:t>评委应在其书面评审意见和评标文件上签字确认；</w:t>
      </w:r>
    </w:p>
    <w:p>
      <w:pPr>
        <w:autoSpaceDE w:val="0"/>
        <w:autoSpaceDN w:val="0"/>
        <w:adjustRightInd w:val="0"/>
        <w:snapToGrid w:val="0"/>
        <w:spacing w:line="240" w:lineRule="auto"/>
        <w:ind w:left="479" w:leftChars="228" w:firstLine="10" w:firstLineChars="5"/>
        <w:rPr>
          <w:rFonts w:ascii="宋体" w:hAnsi="宋体" w:cs="Arial"/>
          <w:color w:val="000000"/>
        </w:rPr>
      </w:pPr>
      <w:r>
        <w:rPr>
          <w:rFonts w:ascii="宋体" w:hAnsi="宋体" w:cs="Arial"/>
          <w:color w:val="000000"/>
        </w:rPr>
        <w:t>1.4.2</w:t>
      </w:r>
      <w:r>
        <w:rPr>
          <w:rFonts w:hint="eastAsia" w:ascii="宋体" w:hAnsi="宋体" w:cs="Arial"/>
          <w:color w:val="000000"/>
        </w:rPr>
        <w:t xml:space="preserve"> </w:t>
      </w:r>
      <w:r>
        <w:rPr>
          <w:rFonts w:ascii="宋体" w:hAnsi="宋体" w:cs="Arial"/>
          <w:color w:val="000000"/>
        </w:rPr>
        <w:t>评委对其所提出的评审意见承担个人责任。</w:t>
      </w:r>
    </w:p>
    <w:p>
      <w:pPr>
        <w:autoSpaceDE w:val="0"/>
        <w:autoSpaceDN w:val="0"/>
        <w:adjustRightInd w:val="0"/>
        <w:snapToGrid w:val="0"/>
        <w:spacing w:line="240" w:lineRule="auto"/>
        <w:ind w:left="422" w:hanging="422" w:hangingChars="200"/>
        <w:rPr>
          <w:rFonts w:ascii="宋体" w:hAnsi="宋体" w:cs="Arial"/>
          <w:b/>
          <w:color w:val="000000"/>
        </w:rPr>
      </w:pPr>
      <w:r>
        <w:rPr>
          <w:rFonts w:ascii="宋体" w:hAnsi="宋体" w:cs="Arial"/>
          <w:b/>
          <w:color w:val="000000"/>
        </w:rPr>
        <w:t>2.评标流程</w:t>
      </w:r>
    </w:p>
    <w:p>
      <w:pPr>
        <w:autoSpaceDE w:val="0"/>
        <w:autoSpaceDN w:val="0"/>
        <w:adjustRightInd w:val="0"/>
        <w:snapToGrid w:val="0"/>
        <w:spacing w:line="240" w:lineRule="auto"/>
        <w:ind w:left="659" w:leftChars="114" w:hanging="420" w:hangingChars="200"/>
        <w:rPr>
          <w:rFonts w:ascii="宋体" w:hAnsi="宋体" w:cs="Arial"/>
          <w:color w:val="000000"/>
        </w:rPr>
      </w:pPr>
      <w:r>
        <w:rPr>
          <w:rFonts w:ascii="宋体" w:hAnsi="宋体" w:cs="Arial"/>
          <w:color w:val="000000"/>
        </w:rPr>
        <w:t>2.1 谈判响应文件完整性检验和谈判供应商资格符合性审查</w:t>
      </w:r>
    </w:p>
    <w:p>
      <w:pPr>
        <w:autoSpaceDE w:val="0"/>
        <w:autoSpaceDN w:val="0"/>
        <w:adjustRightInd w:val="0"/>
        <w:snapToGrid w:val="0"/>
        <w:spacing w:line="240" w:lineRule="auto"/>
        <w:ind w:left="449" w:leftChars="114" w:hanging="210" w:hangingChars="100"/>
        <w:rPr>
          <w:rFonts w:ascii="宋体" w:hAnsi="宋体" w:cs="Arial"/>
          <w:color w:val="000000"/>
        </w:rPr>
      </w:pPr>
      <w:r>
        <w:rPr>
          <w:rFonts w:ascii="宋体" w:hAnsi="宋体" w:cs="Arial"/>
          <w:color w:val="000000"/>
        </w:rPr>
        <w:t>2.2 商务、技术方案响应性评定</w:t>
      </w:r>
    </w:p>
    <w:p>
      <w:pPr>
        <w:autoSpaceDE w:val="0"/>
        <w:autoSpaceDN w:val="0"/>
        <w:adjustRightInd w:val="0"/>
        <w:snapToGrid w:val="0"/>
        <w:spacing w:line="240" w:lineRule="auto"/>
        <w:ind w:left="449" w:leftChars="114" w:hanging="210" w:hangingChars="100"/>
        <w:rPr>
          <w:rFonts w:ascii="宋体" w:hAnsi="宋体" w:cs="Arial"/>
          <w:color w:val="000000"/>
        </w:rPr>
      </w:pPr>
      <w:r>
        <w:rPr>
          <w:rFonts w:ascii="宋体" w:hAnsi="宋体" w:cs="Arial"/>
          <w:color w:val="000000"/>
        </w:rPr>
        <w:t>2.3 报价响应性评定</w:t>
      </w:r>
    </w:p>
    <w:p>
      <w:pPr>
        <w:autoSpaceDE w:val="0"/>
        <w:autoSpaceDN w:val="0"/>
        <w:adjustRightInd w:val="0"/>
        <w:snapToGrid w:val="0"/>
        <w:spacing w:line="240" w:lineRule="auto"/>
        <w:ind w:left="449" w:leftChars="114" w:hanging="210" w:hangingChars="100"/>
        <w:rPr>
          <w:rFonts w:ascii="宋体" w:hAnsi="宋体" w:cs="Arial"/>
          <w:color w:val="000000"/>
        </w:rPr>
      </w:pPr>
      <w:r>
        <w:rPr>
          <w:rFonts w:ascii="宋体" w:hAnsi="宋体" w:cs="Arial"/>
          <w:color w:val="000000"/>
        </w:rPr>
        <w:t>2.4 综合评估分的计算和排序</w:t>
      </w:r>
    </w:p>
    <w:p>
      <w:pPr>
        <w:adjustRightInd w:val="0"/>
        <w:snapToGrid w:val="0"/>
        <w:spacing w:line="240" w:lineRule="auto"/>
        <w:rPr>
          <w:rFonts w:ascii="宋体" w:hAnsi="宋体" w:cs="Arial"/>
          <w:b/>
          <w:color w:val="000000"/>
        </w:rPr>
      </w:pPr>
      <w:r>
        <w:rPr>
          <w:rFonts w:ascii="宋体" w:hAnsi="宋体" w:cs="Arial"/>
          <w:b/>
          <w:color w:val="000000"/>
        </w:rPr>
        <w:t>3.评标方案</w:t>
      </w:r>
    </w:p>
    <w:p>
      <w:pPr>
        <w:pStyle w:val="8"/>
        <w:spacing w:line="240" w:lineRule="auto"/>
        <w:rPr>
          <w:rFonts w:hAnsi="宋体"/>
        </w:rPr>
      </w:pPr>
      <w:r>
        <w:rPr>
          <w:rFonts w:hint="eastAsia" w:hAnsi="宋体"/>
        </w:rPr>
        <w:t>本项目的评标办法为综合评估法。</w:t>
      </w:r>
    </w:p>
    <w:p>
      <w:pPr>
        <w:keepNext/>
        <w:spacing w:line="240" w:lineRule="auto"/>
        <w:rPr>
          <w:rFonts w:ascii="黑体" w:hAnsi="宋体" w:eastAsia="黑体"/>
          <w:sz w:val="24"/>
        </w:rPr>
      </w:pPr>
      <w:r>
        <w:rPr>
          <w:rFonts w:ascii="黑体" w:hAnsi="宋体" w:eastAsia="黑体"/>
          <w:sz w:val="24"/>
        </w:rPr>
        <w:t>符合性检查</w:t>
      </w:r>
      <w:r>
        <w:rPr>
          <w:rFonts w:hint="eastAsia" w:ascii="黑体" w:hAnsi="宋体" w:eastAsia="黑体"/>
          <w:sz w:val="24"/>
        </w:rPr>
        <w:t>表：</w:t>
      </w:r>
    </w:p>
    <w:tbl>
      <w:tblPr>
        <w:tblStyle w:val="15"/>
        <w:tblW w:w="11766" w:type="dxa"/>
        <w:tblInd w:w="-1593" w:type="dxa"/>
        <w:tblLayout w:type="fixed"/>
        <w:tblCellMar>
          <w:top w:w="0" w:type="dxa"/>
          <w:left w:w="108" w:type="dxa"/>
          <w:bottom w:w="0" w:type="dxa"/>
          <w:right w:w="108" w:type="dxa"/>
        </w:tblCellMar>
      </w:tblPr>
      <w:tblGrid>
        <w:gridCol w:w="11766"/>
      </w:tblGrid>
      <w:tr>
        <w:tblPrEx>
          <w:tblCellMar>
            <w:top w:w="0" w:type="dxa"/>
            <w:left w:w="108" w:type="dxa"/>
            <w:bottom w:w="0" w:type="dxa"/>
            <w:right w:w="108" w:type="dxa"/>
          </w:tblCellMar>
        </w:tblPrEx>
        <w:trPr>
          <w:trHeight w:val="9181" w:hRule="atLeast"/>
        </w:trPr>
        <w:tc>
          <w:tcPr>
            <w:tcW w:w="11766" w:type="dxa"/>
          </w:tcPr>
          <w:tbl>
            <w:tblPr>
              <w:tblStyle w:val="15"/>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6624"/>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spacing w:line="240" w:lineRule="auto"/>
                    <w:jc w:val="center"/>
                    <w:rPr>
                      <w:rFonts w:hint="eastAsia" w:ascii="宋体" w:hAnsi="宋体" w:eastAsia="宋体" w:cs="宋体"/>
                      <w:szCs w:val="21"/>
                    </w:rPr>
                  </w:pPr>
                  <w:r>
                    <w:rPr>
                      <w:rFonts w:hint="eastAsia" w:ascii="宋体" w:hAnsi="宋体" w:eastAsia="宋体" w:cs="宋体"/>
                      <w:szCs w:val="21"/>
                    </w:rPr>
                    <w:t>序号</w:t>
                  </w:r>
                </w:p>
              </w:tc>
              <w:tc>
                <w:tcPr>
                  <w:tcW w:w="6624" w:type="dxa"/>
                  <w:vAlign w:val="center"/>
                </w:tcPr>
                <w:p>
                  <w:pPr>
                    <w:spacing w:line="240" w:lineRule="auto"/>
                    <w:ind w:left="-828" w:firstLine="828"/>
                    <w:jc w:val="center"/>
                    <w:rPr>
                      <w:rFonts w:hint="eastAsia" w:ascii="宋体" w:hAnsi="宋体" w:eastAsia="宋体" w:cs="宋体"/>
                      <w:sz w:val="21"/>
                      <w:szCs w:val="21"/>
                    </w:rPr>
                  </w:pPr>
                  <w:r>
                    <w:rPr>
                      <w:rFonts w:hint="eastAsia" w:ascii="宋体" w:hAnsi="宋体" w:eastAsia="宋体" w:cs="宋体"/>
                      <w:szCs w:val="21"/>
                    </w:rPr>
                    <w:t>评议内容</w:t>
                  </w:r>
                </w:p>
              </w:tc>
              <w:tc>
                <w:tcPr>
                  <w:tcW w:w="1570" w:type="dxa"/>
                  <w:vAlign w:val="center"/>
                </w:tcPr>
                <w:p>
                  <w:pPr>
                    <w:spacing w:line="240" w:lineRule="auto"/>
                    <w:ind w:left="44" w:hanging="44"/>
                    <w:jc w:val="center"/>
                    <w:rPr>
                      <w:rFonts w:hint="eastAsia" w:ascii="宋体" w:hAnsi="宋体" w:eastAsia="宋体" w:cs="宋体"/>
                      <w:sz w:val="21"/>
                      <w:szCs w:val="21"/>
                    </w:rPr>
                  </w:pPr>
                  <w:r>
                    <w:rPr>
                      <w:rFonts w:hint="eastAsia" w:ascii="宋体" w:hAnsi="宋体" w:eastAsia="宋体" w:cs="宋体"/>
                      <w:szCs w:val="21"/>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投标人的合格性（见投标人须知：“合格的投标人”及本章“投标文件否决性条款摘要”要求）</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投标的有效性:是否按要求由法定代表人或授权代表签署和加盖公章</w:t>
                  </w:r>
                </w:p>
              </w:tc>
              <w:tc>
                <w:tcPr>
                  <w:tcW w:w="1570" w:type="dxa"/>
                  <w:shd w:val="clear" w:color="auto" w:fill="auto"/>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投标有效期（开标日起九十个日历日）</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Cs w:val="21"/>
                      <w:highlight w:val="none"/>
                    </w:rPr>
                    <w:t>投标书</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lang w:val="zh-CN"/>
                    </w:rPr>
                    <w:t>合格</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shd w:val="clear" w:fill="FFFF00"/>
                      <w:lang w:eastAsia="zh-CN"/>
                    </w:rPr>
                    <w:t>投标保证金（如不需要则删除本条）</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0"/>
                      <w:sz w:val="21"/>
                      <w:szCs w:val="21"/>
                      <w:highlight w:val="none"/>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法定代表人证明书/法定代表人授权书</w:t>
                  </w:r>
                </w:p>
              </w:tc>
              <w:tc>
                <w:tcPr>
                  <w:tcW w:w="1570" w:type="dxa"/>
                  <w:shd w:val="clear" w:color="auto" w:fill="auto"/>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rPr>
                    <w:t>股权关系证明文件</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提供工商营业执照副本复印件(加盖公章)</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近三年经营业绩简介（投标人成立不足三年的可从成立之日起）</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近三年财务报表/审计报告/所得税汇算清缴报表（纳税申报表），投标人成立不足三年的可从成立之日起，加盖公章的复印件。</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rPr>
                    <w:t>提供投标文件电子文档</w:t>
                  </w:r>
                </w:p>
              </w:tc>
              <w:tc>
                <w:tcPr>
                  <w:tcW w:w="1570" w:type="dxa"/>
                  <w:vAlign w:val="top"/>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项目控制金额：投标报价超出控制金额的投标将不被接受。</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提供技术文件：各类方案及响应/偏离表</w:t>
                  </w:r>
                </w:p>
              </w:tc>
              <w:tc>
                <w:tcPr>
                  <w:tcW w:w="1570" w:type="dxa"/>
                  <w:vAlign w:val="top"/>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提供商务文件：商务条款响应/偏离表</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投标分项报价表</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rPr>
                    <w:t>无重大违法记录的声明函</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11" w:type="dxa"/>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highlight w:val="none"/>
                    </w:rPr>
                    <w:t>工期承诺</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tcPr>
                <w:p>
                  <w:pPr>
                    <w:numPr>
                      <w:ilvl w:val="0"/>
                      <w:numId w:val="20"/>
                    </w:numPr>
                    <w:spacing w:line="240" w:lineRule="auto"/>
                    <w:ind w:left="425" w:hanging="425"/>
                    <w:jc w:val="center"/>
                    <w:rPr>
                      <w:rFonts w:hint="eastAsia" w:ascii="宋体" w:hAnsi="宋体" w:eastAsia="宋体" w:cs="宋体"/>
                      <w:szCs w:val="21"/>
                    </w:rPr>
                  </w:pPr>
                </w:p>
              </w:tc>
              <w:tc>
                <w:tcPr>
                  <w:tcW w:w="6624"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结论（合格/不合格）</w:t>
                  </w:r>
                </w:p>
              </w:tc>
              <w:tc>
                <w:tcPr>
                  <w:tcW w:w="157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通过/不通过</w:t>
                  </w:r>
                </w:p>
              </w:tc>
            </w:tr>
          </w:tbl>
          <w:p>
            <w:pPr>
              <w:spacing w:line="240" w:lineRule="auto"/>
              <w:rPr>
                <w:rFonts w:ascii="宋体" w:hAnsi="宋体"/>
              </w:rPr>
            </w:pPr>
          </w:p>
        </w:tc>
      </w:tr>
    </w:tbl>
    <w:p>
      <w:pPr>
        <w:pStyle w:val="8"/>
        <w:spacing w:line="240" w:lineRule="auto"/>
        <w:rPr>
          <w:rFonts w:hAnsi="宋体"/>
          <w:b/>
          <w:bCs/>
        </w:rPr>
      </w:pPr>
    </w:p>
    <w:p>
      <w:pPr>
        <w:keepNext/>
        <w:spacing w:line="240" w:lineRule="auto"/>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综合评估法</w:t>
      </w:r>
    </w:p>
    <w:p>
      <w:pPr>
        <w:widowControl/>
        <w:spacing w:line="24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采购人组建定标委员会，定标委员会成员对所有进入定标程序的按下列规定对谈判供应商进行排名。监督小组应对定标工作全过程进行监督。</w:t>
      </w:r>
    </w:p>
    <w:p>
      <w:pPr>
        <w:widowControl/>
        <w:spacing w:line="24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采购人依据评标结果对进入定标程序的各投标单位的投标报价计算得分并对评标专家意见进行分类汇总。</w:t>
      </w:r>
    </w:p>
    <w:p>
      <w:pPr>
        <w:widowControl/>
        <w:spacing w:line="24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定标委员会根据投标单位的技术标得分（权重为</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、商务</w:t>
      </w:r>
      <w:r>
        <w:rPr>
          <w:rFonts w:hint="eastAsia" w:ascii="宋体" w:hAnsi="宋体" w:cs="宋体"/>
          <w:color w:val="000000" w:themeColor="text1"/>
          <w:szCs w:val="21"/>
          <w14:textFill>
            <w14:solidFill>
              <w14:schemeClr w14:val="tx1"/>
            </w14:solidFill>
          </w14:textFill>
        </w:rPr>
        <w:t>得分（权重为</w:t>
      </w:r>
      <w:r>
        <w:rPr>
          <w:rFonts w:hint="eastAsia" w:ascii="宋体" w:hAnsi="宋体" w:cs="宋体"/>
          <w:color w:val="000000" w:themeColor="text1"/>
          <w:szCs w:val="21"/>
          <w:lang w:val="en-US" w:eastAsia="zh-CN"/>
          <w14:textFill>
            <w14:solidFill>
              <w14:schemeClr w14:val="tx1"/>
            </w14:solidFill>
          </w14:textFill>
        </w:rPr>
        <w:t>25</w:t>
      </w:r>
      <w:r>
        <w:rPr>
          <w:rFonts w:hint="eastAsia" w:ascii="宋体" w:hAnsi="宋体" w:cs="宋体"/>
          <w:color w:val="000000" w:themeColor="text1"/>
          <w:szCs w:val="21"/>
          <w14:textFill>
            <w14:solidFill>
              <w14:schemeClr w14:val="tx1"/>
            </w14:solidFill>
          </w14:textFill>
        </w:rPr>
        <w:t>%）以及投标报价得分（权重为</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0%）对投标单位加权计算总得分，由高至低排名，排名第一的谈判供应商确定为中标人。</w:t>
      </w:r>
    </w:p>
    <w:p>
      <w:pPr>
        <w:widowControl/>
        <w:spacing w:line="24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中标价以该中标人的投标报价为准。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注：定标基本程序</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1、技术标得分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由定标委员会各成员根据评标结果和自己的专业判断对进入定标程序的各投标单位进行打分。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lang w:eastAsia="zh-CN"/>
          <w14:textFill>
            <w14:solidFill>
              <w14:schemeClr w14:val="tx1"/>
            </w14:solidFill>
          </w14:textFill>
        </w:rPr>
        <w:t>商务</w:t>
      </w:r>
      <w:r>
        <w:rPr>
          <w:rFonts w:hint="eastAsia" w:ascii="宋体" w:hAnsi="宋体" w:cs="宋体"/>
          <w:color w:val="000000" w:themeColor="text1"/>
          <w:szCs w:val="21"/>
          <w14:textFill>
            <w14:solidFill>
              <w14:schemeClr w14:val="tx1"/>
            </w14:solidFill>
          </w14:textFill>
        </w:rPr>
        <w:t>得分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由定标委员会各成员根据评标结果和自己的专业判断对进入定标程序的各投标单位进行打分。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、投标报价得分</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报价得分= [1-（Sn-S1）/S1]×</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0</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Sn为各谈判供应商的投标报价</w:t>
      </w:r>
    </w:p>
    <w:p>
      <w:pPr>
        <w:spacing w:line="24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S1为</w:t>
      </w:r>
      <w:r>
        <w:rPr>
          <w:rFonts w:hint="eastAsia" w:ascii="宋体" w:hAnsi="宋体" w:cs="宋体"/>
          <w:color w:val="000000" w:themeColor="text1"/>
          <w:szCs w:val="21"/>
          <w14:textFill>
            <w14:solidFill>
              <w14:schemeClr w14:val="tx1"/>
            </w14:solidFill>
          </w14:textFill>
        </w:rPr>
        <w:t>进入定标程序的各谈判供应商的投标报价中的</w:t>
      </w:r>
      <w:r>
        <w:rPr>
          <w:rFonts w:ascii="宋体" w:hAnsi="宋体" w:cs="宋体"/>
          <w:color w:val="000000" w:themeColor="text1"/>
          <w:szCs w:val="21"/>
          <w14:textFill>
            <w14:solidFill>
              <w14:schemeClr w14:val="tx1"/>
            </w14:solidFill>
          </w14:textFill>
        </w:rPr>
        <w:t>最低报价，得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0分。</w:t>
      </w:r>
    </w:p>
    <w:p>
      <w:pPr>
        <w:spacing w:line="240" w:lineRule="auto"/>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此处规定当（Sn-S1）≥S1时，即Sn≥2S1时最低得零分（不取负分）。</w:t>
      </w:r>
    </w:p>
    <w:p>
      <w:pPr>
        <w:spacing w:line="240" w:lineRule="auto"/>
        <w:rPr>
          <w:color w:val="000000" w:themeColor="text1"/>
          <w14:textFill>
            <w14:solidFill>
              <w14:schemeClr w14:val="tx1"/>
            </w14:solidFill>
          </w14:textFill>
        </w:rPr>
      </w:pPr>
    </w:p>
    <w:p>
      <w:pPr>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具体评分标准如下表所示：</w:t>
      </w:r>
    </w:p>
    <w:tbl>
      <w:tblPr>
        <w:tblStyle w:val="15"/>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00"/>
        <w:gridCol w:w="655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3" w:type="dxa"/>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评分因素</w:t>
            </w:r>
          </w:p>
        </w:tc>
        <w:tc>
          <w:tcPr>
            <w:tcW w:w="7759" w:type="dxa"/>
            <w:gridSpan w:val="2"/>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评价内容</w:t>
            </w:r>
          </w:p>
        </w:tc>
        <w:tc>
          <w:tcPr>
            <w:tcW w:w="702" w:type="dxa"/>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价格标（S）</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投标总价</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投标报价得分=(评标基准价／投标报价) ×</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w:t>
            </w:r>
            <w:r>
              <w:rPr>
                <w:rFonts w:hint="eastAsia" w:ascii="仿宋_GB2312" w:hAnsi="仿宋_GB2312" w:eastAsia="仿宋_GB2312" w:cs="仿宋_GB2312"/>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highlight w:val="none"/>
                <w:lang w:val="en-US" w:eastAsia="zh-CN"/>
              </w:rPr>
              <w:t>四舍五入至小数点后2位。（报价为含税价）</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技术标（J）</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技术方案响应情况</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根据各投标文件中技术方案的合理性、完整性及可实施性等，以及满足或优于项目需求的程度，进行综合评价，横向比较：优得</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分，良得</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分，中得</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分，差得0-</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应急保障措施</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根据各投标文件中项目实施应急措施方案完整具体程度，进行综合评价，</w:t>
            </w:r>
            <w:r>
              <w:rPr>
                <w:rFonts w:hint="eastAsia" w:ascii="仿宋_GB2312" w:hAnsi="仿宋_GB2312" w:eastAsia="仿宋_GB2312" w:cs="仿宋_GB2312"/>
                <w:color w:val="000000"/>
                <w:kern w:val="0"/>
                <w:sz w:val="24"/>
                <w:szCs w:val="24"/>
                <w:lang w:val="en-US" w:eastAsia="zh-CN"/>
              </w:rPr>
              <w:t>最高得2分。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安全措施</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根据各投标文件中制定的安全防护方案及措施，进行综合评价，横向比较：优得</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分，良得</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分，中得</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分，差得0分。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商务标（X）</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25</w:t>
            </w:r>
            <w:r>
              <w:rPr>
                <w:rFonts w:hint="eastAsia" w:ascii="仿宋_GB2312" w:hAnsi="仿宋_GB2312" w:eastAsia="仿宋_GB2312" w:cs="仿宋_GB2312"/>
                <w:color w:val="000000"/>
                <w:kern w:val="0"/>
                <w:sz w:val="24"/>
                <w:szCs w:val="24"/>
              </w:rPr>
              <w:t>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项目业绩</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评审标准：考察投标人（20</w:t>
            </w:r>
            <w:r>
              <w:rPr>
                <w:rFonts w:hint="eastAsia" w:ascii="仿宋_GB2312" w:hAnsi="仿宋_GB2312" w:eastAsia="仿宋_GB2312" w:cs="仿宋_GB2312"/>
                <w:color w:val="000000"/>
                <w:kern w:val="0"/>
                <w:sz w:val="24"/>
                <w:szCs w:val="24"/>
                <w:highlight w:val="none"/>
                <w:lang w:val="en-US" w:eastAsia="zh-CN"/>
              </w:rPr>
              <w:t>21</w:t>
            </w:r>
            <w:r>
              <w:rPr>
                <w:rFonts w:hint="eastAsia" w:ascii="仿宋_GB2312" w:hAnsi="仿宋_GB2312" w:eastAsia="仿宋_GB2312" w:cs="仿宋_GB2312"/>
                <w:color w:val="000000"/>
                <w:kern w:val="0"/>
                <w:sz w:val="24"/>
                <w:szCs w:val="24"/>
                <w:highlight w:val="none"/>
              </w:rPr>
              <w:t>年1月1日至本项目投标截标之日）同类业绩情况：</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1、投标人每提供一个有效的</w:t>
            </w:r>
            <w:r>
              <w:rPr>
                <w:rFonts w:hint="eastAsia" w:ascii="仿宋_GB2312" w:hAnsi="仿宋_GB2312" w:eastAsia="仿宋_GB2312" w:cs="仿宋_GB2312"/>
                <w:b/>
                <w:bCs/>
                <w:color w:val="000000"/>
                <w:kern w:val="0"/>
                <w:sz w:val="24"/>
                <w:szCs w:val="24"/>
                <w:highlight w:val="none"/>
              </w:rPr>
              <w:t>同类业绩</w:t>
            </w:r>
            <w:r>
              <w:rPr>
                <w:rFonts w:hint="eastAsia" w:ascii="仿宋_GB2312" w:hAnsi="仿宋_GB2312" w:eastAsia="仿宋_GB2312" w:cs="仿宋_GB2312"/>
                <w:color w:val="000000"/>
                <w:kern w:val="0"/>
                <w:sz w:val="24"/>
                <w:szCs w:val="24"/>
                <w:highlight w:val="none"/>
              </w:rPr>
              <w:t>即得</w:t>
            </w: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分，以此类推，最多得</w:t>
            </w:r>
            <w:r>
              <w:rPr>
                <w:rFonts w:hint="eastAsia" w:ascii="仿宋_GB2312" w:hAnsi="仿宋_GB2312" w:eastAsia="仿宋_GB2312" w:cs="仿宋_GB2312"/>
                <w:color w:val="000000"/>
                <w:kern w:val="0"/>
                <w:sz w:val="24"/>
                <w:szCs w:val="24"/>
                <w:highlight w:val="none"/>
                <w:lang w:val="en-US" w:eastAsia="zh-CN"/>
              </w:rPr>
              <w:t>10</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2、同类业绩中合同金额达人民币10万元（含10万元）以上得1分；20万元（含20万元）以上得2分；最多得</w:t>
            </w: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注：有效的同类业绩证明文件：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投标人须提供有效业绩中标通知书或合同关键页（须体现项目名称及合同签订时间）复印件加盖投标人公章；未提供或不能有效证明的，不得分。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14</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9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企业实力</w:t>
            </w:r>
          </w:p>
        </w:tc>
        <w:tc>
          <w:tcPr>
            <w:tcW w:w="655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1、近三年财务报表/审计报告/所得税汇算清缴报表（纳税申报表），投标人成立不足三年的可从成立之日起，加盖公章的复印件</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t>显示无亏损的投标人，得</w:t>
            </w:r>
            <w:r>
              <w:rPr>
                <w:rFonts w:hint="eastAsia" w:ascii="仿宋_GB2312" w:hAnsi="仿宋_GB2312" w:eastAsia="仿宋_GB2312" w:cs="仿宋_GB2312"/>
                <w:color w:val="000000"/>
                <w:kern w:val="0"/>
                <w:sz w:val="24"/>
                <w:szCs w:val="24"/>
                <w:highlight w:val="none"/>
                <w:lang w:val="en-US" w:eastAsia="zh-CN"/>
              </w:rPr>
              <w:t>6</w:t>
            </w:r>
            <w:r>
              <w:rPr>
                <w:rFonts w:hint="eastAsia" w:ascii="仿宋_GB2312" w:hAnsi="仿宋_GB2312" w:eastAsia="仿宋_GB2312" w:cs="仿宋_GB2312"/>
                <w:color w:val="000000"/>
                <w:kern w:val="0"/>
                <w:sz w:val="24"/>
                <w:szCs w:val="24"/>
                <w:highlight w:val="none"/>
              </w:rPr>
              <w:t>分；每有一年亏损的扣</w:t>
            </w: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分。成立不足三年的供应商，可从成立时间开始提供。评定标准以评标委员会意见为准。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证明文件（须同时满足以下要求）：</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1）提供经有资格的会计师事务所审计并附审计报告的财务报表复印件加盖公章。</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2）未提供或不能有效证明的，不得分。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规模情况</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1、投标人公司注册资金在人民币500万（含500万）以上，得1分；最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2、投标人公司成立时间在3年（含3年）以上，得1分</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t>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3、投标人每提供一个有效的相关行业资质证书即得1分，最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提供上年度公司社保证明，得1分。</w:t>
            </w:r>
            <w:r>
              <w:rPr>
                <w:rFonts w:hint="eastAsia" w:ascii="仿宋_GB2312" w:hAnsi="仿宋_GB2312" w:eastAsia="仿宋_GB2312" w:cs="仿宋_GB2312"/>
                <w:color w:val="000000"/>
                <w:kern w:val="0"/>
                <w:sz w:val="24"/>
                <w:szCs w:val="24"/>
                <w:highlight w:val="none"/>
              </w:rPr>
              <w:t>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、在此网站提供基本信息、许可经营信息。</w:t>
            </w:r>
            <w:r>
              <w:rPr>
                <w:rFonts w:hint="eastAsia" w:ascii="仿宋_GB2312" w:hAnsi="仿宋_GB2312" w:eastAsia="仿宋_GB2312" w:cs="仿宋_GB2312"/>
                <w:color w:val="000000"/>
                <w:kern w:val="0"/>
                <w:sz w:val="24"/>
                <w:szCs w:val="24"/>
                <w:highlight w:val="none"/>
                <w:lang w:val="en-US" w:eastAsia="zh-CN"/>
              </w:rPr>
              <w:t>:</w:t>
            </w:r>
            <w:r>
              <w:rPr>
                <w:rFonts w:hint="eastAsia" w:ascii="仿宋_GB2312" w:hAnsi="仿宋_GB2312" w:eastAsia="仿宋_GB2312" w:cs="仿宋_GB2312"/>
                <w:color w:val="000000"/>
                <w:kern w:val="0"/>
                <w:sz w:val="24"/>
                <w:szCs w:val="24"/>
                <w:highlight w:val="none"/>
              </w:rPr>
              <w:t>https://amr.sz.gov.cn/outer/mobile/gs.html，得1分，最高得1分。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证明文件：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提供资质证书复印件且证书在有效期内。评定标准以评标委员会意见为准。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52"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100分</w:t>
            </w:r>
          </w:p>
        </w:tc>
      </w:tr>
    </w:tbl>
    <w:p>
      <w:pPr>
        <w:spacing w:line="240" w:lineRule="auto"/>
        <w:rPr>
          <w:color w:val="000000" w:themeColor="text1"/>
          <w14:textFill>
            <w14:solidFill>
              <w14:schemeClr w14:val="tx1"/>
            </w14:solidFill>
          </w14:textFill>
        </w:rPr>
      </w:pPr>
    </w:p>
    <w:p>
      <w:pPr>
        <w:spacing w:line="24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w:t>
      </w:r>
    </w:p>
    <w:p>
      <w:pPr>
        <w:spacing w:line="240" w:lineRule="auto"/>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1.本量化表中每一栏的得分采用就高不就低的原则，不累计加分，每项得分最高不得超过该项评审指标的权重；2.表中要求提供相关计分证明文件的内容，投标文件中须明确加以说明，未按要求提供相关文件或说明不清楚的按不符合要求处理。3.综合以上分析比较，评委会将对各投标文件进行书面的量化评定，得分精确到小数点后两位。</w:t>
      </w:r>
      <w:r>
        <w:rPr>
          <w:color w:val="000000" w:themeColor="text1"/>
          <w14:textFill>
            <w14:solidFill>
              <w14:schemeClr w14:val="tx1"/>
            </w14:solidFill>
          </w14:textFill>
        </w:rPr>
        <w:br w:type="page"/>
      </w:r>
    </w:p>
    <w:p>
      <w:pPr>
        <w:numPr>
          <w:ilvl w:val="1"/>
          <w:numId w:val="19"/>
        </w:numPr>
        <w:ind w:firstLine="402"/>
        <w:jc w:val="center"/>
        <w:outlineLvl w:val="1"/>
        <w:rPr>
          <w:rFonts w:hint="eastAsia" w:ascii="黑体" w:hAnsi="宋体" w:eastAsia="黑体"/>
          <w:b w:val="0"/>
          <w:color w:val="000000"/>
          <w:sz w:val="28"/>
          <w:szCs w:val="28"/>
        </w:rPr>
      </w:pPr>
      <w:bookmarkStart w:id="162" w:name="_Toc271798827"/>
      <w:bookmarkStart w:id="163" w:name="_Toc32088"/>
      <w:bookmarkStart w:id="164" w:name="_Toc142370556"/>
      <w:bookmarkStart w:id="165" w:name="_Toc143337218"/>
      <w:bookmarkStart w:id="166" w:name="_Toc143488620"/>
      <w:r>
        <w:rPr>
          <w:rFonts w:hint="eastAsia" w:ascii="黑体" w:hAnsi="宋体" w:eastAsia="黑体"/>
          <w:b w:val="0"/>
          <w:color w:val="000000"/>
          <w:sz w:val="28"/>
          <w:szCs w:val="28"/>
        </w:rPr>
        <w:t>表格样式</w:t>
      </w:r>
      <w:bookmarkEnd w:id="162"/>
      <w:bookmarkEnd w:id="163"/>
      <w:bookmarkEnd w:id="164"/>
      <w:bookmarkEnd w:id="165"/>
      <w:bookmarkEnd w:id="166"/>
    </w:p>
    <w:p>
      <w:pPr>
        <w:spacing w:line="240" w:lineRule="auto"/>
        <w:rPr>
          <w:rFonts w:hint="eastAsia" w:ascii="楷体_GB2312" w:eastAsia="楷体_GB2312"/>
          <w:color w:val="000000" w:themeColor="text1"/>
          <w:sz w:val="24"/>
          <w14:textFill>
            <w14:solidFill>
              <w14:schemeClr w14:val="tx1"/>
            </w14:solidFill>
          </w14:textFill>
        </w:rPr>
      </w:pPr>
    </w:p>
    <w:p>
      <w:pPr>
        <w:spacing w:line="360" w:lineRule="auto"/>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附件1. 投标书格式</w:t>
      </w:r>
    </w:p>
    <w:p>
      <w:pPr>
        <w:widowControl/>
        <w:spacing w:line="360" w:lineRule="auto"/>
        <w:jc w:val="center"/>
        <w:rPr>
          <w:color w:val="000000" w:themeColor="text1"/>
          <w14:textFill>
            <w14:solidFill>
              <w14:schemeClr w14:val="tx1"/>
            </w14:solidFill>
          </w14:textFill>
        </w:rPr>
      </w:pPr>
      <w:r>
        <w:rPr>
          <w:rFonts w:hint="eastAsia" w:ascii="黑体" w:eastAsia="黑体"/>
          <w:b/>
          <w:color w:val="000000" w:themeColor="text1"/>
          <w:sz w:val="32"/>
          <w:szCs w:val="32"/>
          <w14:textFill>
            <w14:solidFill>
              <w14:schemeClr w14:val="tx1"/>
            </w14:solidFill>
          </w14:textFill>
        </w:rPr>
        <w:t>投标书</w:t>
      </w:r>
    </w:p>
    <w:p>
      <w:pPr>
        <w:adjustRightInd w:val="0"/>
        <w:snapToGrid w:val="0"/>
        <w:spacing w:line="360" w:lineRule="auto"/>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致：</w:t>
      </w:r>
      <w:r>
        <w:rPr>
          <w:rFonts w:hint="eastAsia" w:ascii="宋体" w:hAnsi="宋体" w:cs="Arial"/>
          <w:color w:val="000000" w:themeColor="text1"/>
          <w14:textFill>
            <w14:solidFill>
              <w14:schemeClr w14:val="tx1"/>
            </w14:solidFill>
          </w14:textFill>
        </w:rPr>
        <w:t xml:space="preserve"> </w:t>
      </w:r>
    </w:p>
    <w:p>
      <w:pPr>
        <w:adjustRightInd w:val="0"/>
        <w:snapToGrid w:val="0"/>
        <w:spacing w:line="360" w:lineRule="auto"/>
        <w:ind w:firstLine="60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根据贵方为</w:t>
      </w:r>
      <w:r>
        <w:rPr>
          <w:rFonts w:ascii="宋体" w:hAnsi="宋体" w:cs="Arial"/>
          <w:color w:val="000000" w:themeColor="text1"/>
          <w:u w:val="single"/>
          <w14:textFill>
            <w14:solidFill>
              <w14:schemeClr w14:val="tx1"/>
            </w14:solidFill>
          </w14:textFill>
        </w:rPr>
        <w:t xml:space="preserve">            </w:t>
      </w:r>
      <w:r>
        <w:rPr>
          <w:rFonts w:ascii="宋体" w:hAnsi="宋体" w:cs="Arial"/>
          <w:color w:val="000000" w:themeColor="text1"/>
          <w14:textFill>
            <w14:solidFill>
              <w14:schemeClr w14:val="tx1"/>
            </w14:solidFill>
          </w14:textFill>
        </w:rPr>
        <w:t>项目的招标公告（招标编号：</w:t>
      </w:r>
      <w:r>
        <w:rPr>
          <w:rFonts w:ascii="宋体" w:hAnsi="宋体" w:cs="Arial"/>
          <w:color w:val="000000" w:themeColor="text1"/>
          <w:u w:val="single"/>
          <w14:textFill>
            <w14:solidFill>
              <w14:schemeClr w14:val="tx1"/>
            </w14:solidFill>
          </w14:textFill>
        </w:rPr>
        <w:t>　　　　</w:t>
      </w:r>
      <w:r>
        <w:rPr>
          <w:rFonts w:ascii="宋体" w:hAnsi="宋体" w:cs="Arial"/>
          <w:color w:val="000000" w:themeColor="text1"/>
          <w14:textFill>
            <w14:solidFill>
              <w14:schemeClr w14:val="tx1"/>
            </w14:solidFill>
          </w14:textFill>
        </w:rPr>
        <w:t>），本人代表谈判供应商</w:t>
      </w:r>
      <w:r>
        <w:rPr>
          <w:rFonts w:ascii="宋体" w:hAnsi="宋体" w:cs="Arial"/>
          <w:color w:val="000000" w:themeColor="text1"/>
          <w:u w:val="single"/>
          <w14:textFill>
            <w14:solidFill>
              <w14:schemeClr w14:val="tx1"/>
            </w14:solidFill>
          </w14:textFill>
        </w:rPr>
        <w:t xml:space="preserve">       </w:t>
      </w:r>
      <w:r>
        <w:rPr>
          <w:rFonts w:ascii="宋体" w:hAnsi="宋体" w:cs="Arial"/>
          <w:color w:val="000000" w:themeColor="text1"/>
          <w14:textFill>
            <w14:solidFill>
              <w14:schemeClr w14:val="tx1"/>
            </w14:solidFill>
          </w14:textFill>
        </w:rPr>
        <w:t>（谈判供应商名称），提交谈判响应文件。</w:t>
      </w:r>
    </w:p>
    <w:p>
      <w:pPr>
        <w:tabs>
          <w:tab w:val="center" w:pos="4396"/>
        </w:tabs>
        <w:adjustRightInd w:val="0"/>
        <w:snapToGrid w:val="0"/>
        <w:spacing w:line="360" w:lineRule="auto"/>
        <w:ind w:firstLine="420" w:firstLineChars="20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据此函，本人宣布如下承诺：</w:t>
      </w:r>
      <w:r>
        <w:rPr>
          <w:rFonts w:ascii="宋体" w:hAnsi="宋体" w:cs="Arial"/>
          <w:color w:val="000000" w:themeColor="text1"/>
          <w14:textFill>
            <w14:solidFill>
              <w14:schemeClr w14:val="tx1"/>
            </w14:solidFill>
          </w14:textFill>
        </w:rPr>
        <w:tab/>
      </w:r>
    </w:p>
    <w:p>
      <w:pPr>
        <w:pStyle w:val="30"/>
        <w:numPr>
          <w:ilvl w:val="0"/>
          <w:numId w:val="21"/>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1．所附“开标一览表”规定的应提供和交付的项目投标总价为：人民币</w:t>
      </w:r>
      <w:r>
        <w:rPr>
          <w:rFonts w:ascii="宋体" w:hAnsi="宋体" w:cs="Arial"/>
          <w:color w:val="000000" w:themeColor="text1"/>
          <w:u w:val="single"/>
          <w14:textFill>
            <w14:solidFill>
              <w14:schemeClr w14:val="tx1"/>
            </w14:solidFill>
          </w14:textFill>
        </w:rPr>
        <w:t xml:space="preserve">         </w:t>
      </w:r>
      <w:r>
        <w:rPr>
          <w:rFonts w:ascii="宋体" w:hAnsi="宋体" w:cs="Arial"/>
          <w:color w:val="000000" w:themeColor="text1"/>
          <w14:textFill>
            <w14:solidFill>
              <w14:schemeClr w14:val="tx1"/>
            </w14:solidFill>
          </w14:textFill>
        </w:rPr>
        <w:t>（大写）</w:t>
      </w:r>
      <w:r>
        <w:rPr>
          <w:rFonts w:ascii="宋体" w:hAnsi="宋体" w:cs="Arial"/>
          <w:color w:val="000000" w:themeColor="text1"/>
          <w:u w:val="single"/>
          <w14:textFill>
            <w14:solidFill>
              <w14:schemeClr w14:val="tx1"/>
            </w14:solidFill>
          </w14:textFill>
        </w:rPr>
        <w:t xml:space="preserve">　　　　   </w:t>
      </w:r>
      <w:r>
        <w:rPr>
          <w:rFonts w:ascii="宋体" w:hAnsi="宋体" w:cs="Arial"/>
          <w:color w:val="000000" w:themeColor="text1"/>
          <w14:textFill>
            <w14:solidFill>
              <w14:schemeClr w14:val="tx1"/>
            </w14:solidFill>
          </w14:textFill>
        </w:rPr>
        <w:t>。</w:t>
      </w:r>
    </w:p>
    <w:p>
      <w:pPr>
        <w:pStyle w:val="30"/>
        <w:numPr>
          <w:ilvl w:val="0"/>
          <w:numId w:val="21"/>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我方将按竞争性谈判文件的规定履行合同责任和义务。</w:t>
      </w:r>
    </w:p>
    <w:p>
      <w:pPr>
        <w:pStyle w:val="30"/>
        <w:numPr>
          <w:ilvl w:val="0"/>
          <w:numId w:val="21"/>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我方已详细审查全部竞争性谈判文件，包括修改文件（如有的话）以及全部参考资料和有关附件。</w:t>
      </w:r>
    </w:p>
    <w:p>
      <w:pPr>
        <w:pStyle w:val="30"/>
        <w:numPr>
          <w:ilvl w:val="0"/>
          <w:numId w:val="21"/>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我方的投标自投标截止之日起有效期为90天，如在此之前撤回投标，我方的投标保证金将被贵方没收。</w:t>
      </w:r>
    </w:p>
    <w:p>
      <w:pPr>
        <w:pStyle w:val="30"/>
        <w:numPr>
          <w:ilvl w:val="0"/>
          <w:numId w:val="21"/>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我方同意提供按照贵方要求的与我方投标有关的一切数据或资料，理解贵方不一定要接受最低报价的投标。</w:t>
      </w:r>
    </w:p>
    <w:p>
      <w:pPr>
        <w:pStyle w:val="30"/>
        <w:numPr>
          <w:ilvl w:val="0"/>
          <w:numId w:val="21"/>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我方提供的产品规格参数优于或等于为采购人基本技术要求，无负偏离。否则，可能导致的严重影响谈判供应商投标优势的后果，我方自行负责。</w:t>
      </w:r>
    </w:p>
    <w:p>
      <w:pPr>
        <w:pStyle w:val="30"/>
        <w:numPr>
          <w:ilvl w:val="0"/>
          <w:numId w:val="21"/>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我方理解采购人关于数量、单价及报价要求的具体规定，我方将严格按照竞争性谈判文件的有关要求进行投标，如中标，同标准签订合同。</w:t>
      </w:r>
    </w:p>
    <w:p>
      <w:pPr>
        <w:pStyle w:val="30"/>
        <w:numPr>
          <w:ilvl w:val="0"/>
          <w:numId w:val="21"/>
        </w:numPr>
        <w:adjustRightInd w:val="0"/>
        <w:snapToGrid w:val="0"/>
        <w:spacing w:line="360" w:lineRule="auto"/>
        <w:ind w:firstLineChars="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为了保证项目的顺利进行，我方理解在本次项目合同执行期间因临时紧急采购、或者取消中标人部分或全部供货资格等原因，采购人可能与本次评标结果中排名第二的备选中标人签订相应品类供货合同。</w:t>
      </w:r>
    </w:p>
    <w:p>
      <w:pPr>
        <w:pStyle w:val="30"/>
        <w:numPr>
          <w:ilvl w:val="0"/>
          <w:numId w:val="21"/>
        </w:numPr>
        <w:adjustRightInd w:val="0"/>
        <w:snapToGrid w:val="0"/>
        <w:spacing w:line="360" w:lineRule="auto"/>
        <w:ind w:firstLineChars="0"/>
        <w:rPr>
          <w:rFonts w:ascii="宋体" w:hAnsi="宋体" w:cs="Arial"/>
          <w:color w:val="000000" w:themeColor="text1"/>
          <w:highlight w:val="none"/>
          <w14:textFill>
            <w14:solidFill>
              <w14:schemeClr w14:val="tx1"/>
            </w14:solidFill>
          </w14:textFill>
        </w:rPr>
      </w:pPr>
      <w:r>
        <w:rPr>
          <w:rFonts w:ascii="宋体" w:hAnsi="宋体" w:cs="Arial"/>
          <w:color w:val="000000" w:themeColor="text1"/>
          <w:highlight w:val="none"/>
          <w14:textFill>
            <w14:solidFill>
              <w14:schemeClr w14:val="tx1"/>
            </w14:solidFill>
          </w14:textFill>
        </w:rPr>
        <w:t>与本投标有关的一切正式往来通讯请寄：</w:t>
      </w:r>
    </w:p>
    <w:p>
      <w:pPr>
        <w:adjustRightInd w:val="0"/>
        <w:snapToGrid w:val="0"/>
        <w:spacing w:line="360" w:lineRule="auto"/>
        <w:ind w:firstLine="420" w:firstLineChars="200"/>
        <w:rPr>
          <w:rFonts w:ascii="宋体" w:hAnsi="宋体" w:cs="Arial"/>
          <w:color w:val="000000" w:themeColor="text1"/>
          <w:highlight w:val="none"/>
          <w14:textFill>
            <w14:solidFill>
              <w14:schemeClr w14:val="tx1"/>
            </w14:solidFill>
          </w14:textFill>
        </w:rPr>
      </w:pPr>
      <w:r>
        <w:rPr>
          <w:rFonts w:ascii="宋体" w:hAnsi="宋体" w:cs="Arial"/>
          <w:color w:val="000000" w:themeColor="text1"/>
          <w:highlight w:val="none"/>
          <w14:textFill>
            <w14:solidFill>
              <w14:schemeClr w14:val="tx1"/>
            </w14:solidFill>
          </w14:textFill>
        </w:rPr>
        <w:t>地址：</w:t>
      </w:r>
      <w:r>
        <w:rPr>
          <w:rFonts w:ascii="宋体" w:hAnsi="宋体" w:cs="Arial"/>
          <w:color w:val="000000" w:themeColor="text1"/>
          <w:highlight w:val="none"/>
          <w:u w:val="single"/>
          <w14:textFill>
            <w14:solidFill>
              <w14:schemeClr w14:val="tx1"/>
            </w14:solidFill>
          </w14:textFill>
        </w:rPr>
        <w:t xml:space="preserve">                        </w:t>
      </w:r>
      <w:r>
        <w:rPr>
          <w:rFonts w:ascii="宋体" w:hAnsi="宋体" w:cs="Arial"/>
          <w:color w:val="000000" w:themeColor="text1"/>
          <w:highlight w:val="none"/>
          <w14:textFill>
            <w14:solidFill>
              <w14:schemeClr w14:val="tx1"/>
            </w14:solidFill>
          </w14:textFill>
        </w:rPr>
        <w:t xml:space="preserve"> 邮编：</w:t>
      </w:r>
      <w:r>
        <w:rPr>
          <w:rFonts w:ascii="宋体" w:hAnsi="宋体" w:cs="Arial"/>
          <w:color w:val="000000" w:themeColor="text1"/>
          <w:highlight w:val="none"/>
          <w:u w:val="single"/>
          <w14:textFill>
            <w14:solidFill>
              <w14:schemeClr w14:val="tx1"/>
            </w14:solidFill>
          </w14:textFill>
        </w:rPr>
        <w:t xml:space="preserve">                       </w:t>
      </w:r>
    </w:p>
    <w:p>
      <w:pPr>
        <w:adjustRightInd w:val="0"/>
        <w:snapToGrid w:val="0"/>
        <w:spacing w:line="360" w:lineRule="auto"/>
        <w:ind w:left="601" w:leftChars="286"/>
        <w:rPr>
          <w:rFonts w:ascii="宋体" w:hAnsi="宋体" w:cs="Arial"/>
          <w:bCs/>
          <w:color w:val="000000" w:themeColor="text1"/>
          <w14:textFill>
            <w14:solidFill>
              <w14:schemeClr w14:val="tx1"/>
            </w14:solidFill>
          </w14:textFill>
        </w:rPr>
      </w:pPr>
      <w:r>
        <w:rPr>
          <w:rFonts w:ascii="宋体" w:hAnsi="宋体" w:cs="Arial"/>
          <w:bCs/>
          <w:color w:val="000000" w:themeColor="text1"/>
          <w14:textFill>
            <w14:solidFill>
              <w14:schemeClr w14:val="tx1"/>
            </w14:solidFill>
          </w14:textFill>
        </w:rPr>
        <w:t>谈判供应商法定代表人姓名、职务（印刷体）：</w:t>
      </w:r>
    </w:p>
    <w:p>
      <w:pPr>
        <w:adjustRightInd w:val="0"/>
        <w:snapToGrid w:val="0"/>
        <w:spacing w:line="360" w:lineRule="auto"/>
        <w:ind w:left="601" w:leftChars="286"/>
        <w:rPr>
          <w:rFonts w:ascii="宋体" w:hAnsi="宋体" w:cs="Arial"/>
          <w:bCs/>
          <w:color w:val="000000" w:themeColor="text1"/>
          <w14:textFill>
            <w14:solidFill>
              <w14:schemeClr w14:val="tx1"/>
            </w14:solidFill>
          </w14:textFill>
        </w:rPr>
      </w:pPr>
      <w:r>
        <w:rPr>
          <w:rFonts w:ascii="宋体" w:hAnsi="宋体" w:cs="Arial"/>
          <w:bCs/>
          <w:color w:val="000000" w:themeColor="text1"/>
          <w14:textFill>
            <w14:solidFill>
              <w14:schemeClr w14:val="tx1"/>
            </w14:solidFill>
          </w14:textFill>
        </w:rPr>
        <w:t>谈判供应商名称：</w:t>
      </w:r>
      <w:r>
        <w:rPr>
          <w:rFonts w:ascii="宋体" w:hAnsi="宋体" w:cs="Arial"/>
          <w:color w:val="000000" w:themeColor="text1"/>
          <w:u w:val="single"/>
          <w14:textFill>
            <w14:solidFill>
              <w14:schemeClr w14:val="tx1"/>
            </w14:solidFill>
          </w14:textFill>
        </w:rPr>
        <w:t xml:space="preserve">                   </w:t>
      </w:r>
      <w:r>
        <w:rPr>
          <w:rFonts w:ascii="宋体" w:hAnsi="宋体" w:cs="Arial"/>
          <w:color w:val="000000" w:themeColor="text1"/>
          <w14:textFill>
            <w14:solidFill>
              <w14:schemeClr w14:val="tx1"/>
            </w14:solidFill>
          </w14:textFill>
        </w:rPr>
        <w:t>（加盖公章）</w:t>
      </w:r>
    </w:p>
    <w:p>
      <w:pPr>
        <w:adjustRightInd w:val="0"/>
        <w:snapToGrid w:val="0"/>
        <w:spacing w:line="360" w:lineRule="auto"/>
        <w:ind w:left="601" w:leftChars="286"/>
        <w:rPr>
          <w:rFonts w:ascii="宋体" w:hAnsi="宋体" w:cs="Arial"/>
          <w:bCs/>
          <w:color w:val="000000" w:themeColor="text1"/>
          <w14:textFill>
            <w14:solidFill>
              <w14:schemeClr w14:val="tx1"/>
            </w14:solidFill>
          </w14:textFill>
        </w:rPr>
      </w:pPr>
      <w:r>
        <w:rPr>
          <w:rFonts w:ascii="宋体" w:hAnsi="宋体" w:cs="Arial"/>
          <w:bCs/>
          <w:color w:val="000000" w:themeColor="text1"/>
          <w14:textFill>
            <w14:solidFill>
              <w14:schemeClr w14:val="tx1"/>
            </w14:solidFill>
          </w14:textFill>
        </w:rPr>
        <w:t>法定代表人签字（或其委托的全权代表人）：</w:t>
      </w:r>
    </w:p>
    <w:p>
      <w:pPr>
        <w:adjustRightInd w:val="0"/>
        <w:snapToGrid w:val="0"/>
        <w:spacing w:line="360" w:lineRule="auto"/>
        <w:ind w:left="601" w:leftChars="286"/>
        <w:rPr>
          <w:rFonts w:ascii="宋体" w:hAnsi="宋体" w:cs="Arial"/>
          <w:color w:val="000000" w:themeColor="text1"/>
          <w14:textFill>
            <w14:solidFill>
              <w14:schemeClr w14:val="tx1"/>
            </w14:solidFill>
          </w14:textFill>
        </w:rPr>
      </w:pPr>
      <w:r>
        <w:rPr>
          <w:rFonts w:ascii="宋体" w:hAnsi="宋体" w:cs="Arial"/>
          <w:color w:val="000000" w:themeColor="text1"/>
          <w14:textFill>
            <w14:solidFill>
              <w14:schemeClr w14:val="tx1"/>
            </w14:solidFill>
          </w14:textFill>
        </w:rPr>
        <w:t>日期：    年   月   日</w:t>
      </w:r>
    </w:p>
    <w:p>
      <w:pPr>
        <w:adjustRightInd w:val="0"/>
        <w:snapToGrid w:val="0"/>
        <w:spacing w:line="360" w:lineRule="auto"/>
        <w:ind w:firstLine="422" w:firstLineChars="200"/>
        <w:rPr>
          <w:rFonts w:ascii="宋体" w:hAnsi="宋体" w:cs="Arial"/>
          <w:b/>
          <w:bCs/>
          <w:color w:val="000000" w:themeColor="text1"/>
          <w14:textFill>
            <w14:solidFill>
              <w14:schemeClr w14:val="tx1"/>
            </w14:solidFill>
          </w14:textFill>
        </w:rPr>
      </w:pPr>
      <w:r>
        <w:rPr>
          <w:rFonts w:ascii="宋体" w:hAnsi="宋体" w:cs="Arial"/>
          <w:b/>
          <w:bCs/>
          <w:color w:val="000000" w:themeColor="text1"/>
          <w14:textFill>
            <w14:solidFill>
              <w14:schemeClr w14:val="tx1"/>
            </w14:solidFill>
          </w14:textFill>
        </w:rPr>
        <w:t>注：全权代表须有法定代表人签署的授权委托书。</w:t>
      </w:r>
    </w:p>
    <w:p>
      <w:pPr>
        <w:spacing w:line="240" w:lineRule="auto"/>
        <w:rPr>
          <w:rFonts w:ascii="楷体_GB2312" w:eastAsia="楷体_GB2312"/>
          <w:color w:val="000000" w:themeColor="text1"/>
          <w:sz w:val="24"/>
          <w14:textFill>
            <w14:solidFill>
              <w14:schemeClr w14:val="tx1"/>
            </w14:solidFill>
          </w14:textFill>
        </w:rPr>
      </w:pPr>
      <w:r>
        <w:rPr>
          <w:color w:val="000000" w:themeColor="text1"/>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附件2. 开标一览表格式</w:t>
      </w:r>
    </w:p>
    <w:p>
      <w:pPr>
        <w:spacing w:line="24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开标一览表</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谈判供应商名称：</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招标编号：</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2774"/>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729" w:type="dxa"/>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项目名称/包号</w:t>
            </w:r>
          </w:p>
        </w:tc>
        <w:tc>
          <w:tcPr>
            <w:tcW w:w="2774" w:type="dxa"/>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投标总价</w:t>
            </w:r>
          </w:p>
        </w:tc>
        <w:tc>
          <w:tcPr>
            <w:tcW w:w="2430" w:type="dxa"/>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2729"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themeColor="text1"/>
                <w14:textFill>
                  <w14:solidFill>
                    <w14:schemeClr w14:val="tx1"/>
                  </w14:solidFill>
                </w14:textFill>
              </w:rPr>
            </w:pPr>
          </w:p>
        </w:tc>
        <w:tc>
          <w:tcPr>
            <w:tcW w:w="277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themeColor="text1"/>
                <w14:textFill>
                  <w14:solidFill>
                    <w14:schemeClr w14:val="tx1"/>
                  </w14:solidFill>
                </w14:textFill>
              </w:rPr>
            </w:pPr>
          </w:p>
        </w:tc>
        <w:tc>
          <w:tcPr>
            <w:tcW w:w="243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themeColor="text1"/>
                <w14:textFill>
                  <w14:solidFill>
                    <w14:schemeClr w14:val="tx1"/>
                  </w14:solidFill>
                </w14:textFill>
              </w:rPr>
            </w:pPr>
          </w:p>
        </w:tc>
      </w:tr>
    </w:tbl>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谈判供应商盖章：</w:t>
      </w:r>
    </w:p>
    <w:p>
      <w:pPr>
        <w:spacing w:line="360" w:lineRule="auto"/>
        <w:rPr>
          <w:color w:val="000000" w:themeColor="text1"/>
          <w14:textFill>
            <w14:solidFill>
              <w14:schemeClr w14:val="tx1"/>
            </w14:solidFill>
          </w14:textFill>
        </w:rPr>
      </w:pPr>
    </w:p>
    <w:p>
      <w:pPr>
        <w:spacing w:line="360" w:lineRule="auto"/>
        <w:ind w:left="718" w:hanging="718" w:hangingChars="342"/>
        <w:rPr>
          <w:color w:val="000000" w:themeColor="text1"/>
          <w14:textFill>
            <w14:solidFill>
              <w14:schemeClr w14:val="tx1"/>
            </w14:solidFill>
          </w14:textFill>
        </w:rPr>
      </w:pPr>
      <w:r>
        <w:rPr>
          <w:rFonts w:hint="eastAsia"/>
          <w:color w:val="000000" w:themeColor="text1"/>
          <w14:textFill>
            <w14:solidFill>
              <w14:schemeClr w14:val="tx1"/>
            </w14:solidFill>
          </w14:textFill>
        </w:rPr>
        <w:t>注：1、此表应按谈判供应商须知的规定密封标记并与授权委托书、投标保证金汇入情况说明及投标保证金汇款底单复印件一同密封装入开标文件，开标文件单独提交。</w:t>
      </w:r>
    </w:p>
    <w:p>
      <w:pPr>
        <w:spacing w:line="360" w:lineRule="auto"/>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2、依据竞争性谈判文件《合同条款》条款规定，如无特殊说明，本竞争性谈判文件中所称“交货期”指所有货物运抵现场安装调试完毕后交付用户验收的日期。</w:t>
      </w:r>
    </w:p>
    <w:p>
      <w:pPr>
        <w:spacing w:line="360" w:lineRule="auto"/>
        <w:ind w:left="718" w:leftChars="200" w:hanging="298" w:hangingChars="142"/>
        <w:rPr>
          <w:color w:val="000000" w:themeColor="text1"/>
          <w14:textFill>
            <w14:solidFill>
              <w14:schemeClr w14:val="tx1"/>
            </w14:solidFill>
          </w14:textFill>
        </w:rPr>
      </w:pPr>
      <w:r>
        <w:rPr>
          <w:rFonts w:hint="eastAsia"/>
          <w:color w:val="000000" w:themeColor="text1"/>
          <w14:textFill>
            <w14:solidFill>
              <w14:schemeClr w14:val="tx1"/>
            </w14:solidFill>
          </w14:textFill>
        </w:rPr>
        <w:t>3、温馨提示：未按竞争性谈判文件要求报价、填写开标一览表是导致谈判供应商废标的常见问题，请谈判供应商仔细填写，认真核对。</w:t>
      </w:r>
    </w:p>
    <w:p>
      <w:pPr>
        <w:widowControl/>
        <w:spacing w:line="24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60" w:lineRule="auto"/>
        <w:rPr>
          <w:rFonts w:ascii="楷体_GB2312" w:eastAsia="楷体_GB2312"/>
          <w:color w:val="000000" w:themeColor="text1"/>
          <w:sz w:val="24"/>
          <w14:textFill>
            <w14:solidFill>
              <w14:schemeClr w14:val="tx1"/>
            </w14:solidFill>
          </w14:textFill>
        </w:rPr>
      </w:pPr>
      <w:bookmarkStart w:id="167" w:name="_Toc271798830"/>
      <w:r>
        <w:rPr>
          <w:rFonts w:hint="eastAsia" w:ascii="楷体_GB2312" w:eastAsia="楷体_GB2312"/>
          <w:color w:val="000000" w:themeColor="text1"/>
          <w:sz w:val="24"/>
          <w14:textFill>
            <w14:solidFill>
              <w14:schemeClr w14:val="tx1"/>
            </w14:solidFill>
          </w14:textFill>
        </w:rPr>
        <w:t>附件3.谈判供应商基本情况表</w:t>
      </w:r>
    </w:p>
    <w:p>
      <w:pPr>
        <w:spacing w:line="360" w:lineRule="auto"/>
        <w:rPr>
          <w:rFonts w:ascii="楷体_GB2312" w:eastAsia="楷体_GB2312"/>
          <w:color w:val="000000" w:themeColor="text1"/>
          <w:sz w:val="24"/>
          <w14:textFill>
            <w14:solidFill>
              <w14:schemeClr w14:val="tx1"/>
            </w14:solidFill>
          </w14:textFill>
        </w:rPr>
      </w:pPr>
    </w:p>
    <w:p>
      <w:pPr>
        <w:spacing w:line="360" w:lineRule="auto"/>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谈判供应商基本情况表</w:t>
      </w:r>
      <w:bookmarkEnd w:id="167"/>
    </w:p>
    <w:p>
      <w:pPr>
        <w:adjustRightInd w:val="0"/>
        <w:snapToGrid w:val="0"/>
        <w:spacing w:line="360" w:lineRule="auto"/>
        <w:outlineLvl w:val="0"/>
        <w:rPr>
          <w:rFonts w:ascii="宋体" w:hAnsi="宋体" w:cs="Arial"/>
          <w:color w:val="000000"/>
        </w:rPr>
      </w:pPr>
      <w:bookmarkStart w:id="168" w:name="_Toc142882049"/>
      <w:bookmarkStart w:id="169" w:name="_Toc192481759"/>
      <w:bookmarkStart w:id="170" w:name="_Toc243201872"/>
      <w:bookmarkStart w:id="171" w:name="_Toc243212938"/>
      <w:bookmarkStart w:id="172" w:name="_Toc188959621"/>
      <w:bookmarkStart w:id="173" w:name="_Toc271798831"/>
      <w:bookmarkStart w:id="174" w:name="_Toc4512"/>
      <w:bookmarkStart w:id="175" w:name="_Toc271609005"/>
      <w:bookmarkStart w:id="176" w:name="_Toc197199137"/>
      <w:bookmarkStart w:id="177" w:name="_Toc143337222"/>
      <w:bookmarkStart w:id="178" w:name="_Toc19166"/>
      <w:bookmarkStart w:id="179" w:name="_Toc143488624"/>
      <w:r>
        <w:rPr>
          <w:rFonts w:ascii="宋体" w:hAnsi="宋体" w:cs="Arial"/>
          <w:color w:val="000000"/>
        </w:rPr>
        <w:t>一、公司基本情况</w:t>
      </w:r>
      <w:bookmarkEnd w:id="168"/>
      <w:bookmarkEnd w:id="169"/>
      <w:bookmarkEnd w:id="170"/>
      <w:bookmarkEnd w:id="171"/>
      <w:bookmarkEnd w:id="172"/>
      <w:bookmarkEnd w:id="173"/>
      <w:bookmarkEnd w:id="174"/>
      <w:bookmarkEnd w:id="175"/>
      <w:bookmarkEnd w:id="176"/>
      <w:bookmarkEnd w:id="177"/>
      <w:bookmarkEnd w:id="178"/>
      <w:bookmarkEnd w:id="179"/>
    </w:p>
    <w:p>
      <w:pPr>
        <w:adjustRightInd w:val="0"/>
        <w:snapToGrid w:val="0"/>
        <w:spacing w:line="360" w:lineRule="auto"/>
        <w:rPr>
          <w:rFonts w:ascii="宋体" w:hAnsi="宋体" w:cs="Arial"/>
          <w:color w:val="000000"/>
        </w:rPr>
      </w:pPr>
      <w:r>
        <w:rPr>
          <w:rFonts w:ascii="宋体" w:hAnsi="宋体" w:cs="Arial"/>
          <w:color w:val="000000"/>
        </w:rPr>
        <w:t>1．公司名称：</w:t>
      </w:r>
      <w:r>
        <w:rPr>
          <w:rFonts w:ascii="宋体" w:hAnsi="宋体" w:cs="Arial"/>
          <w:color w:val="000000"/>
          <w:u w:val="single"/>
        </w:rPr>
        <w:t xml:space="preserve">                             　　　　　　　　　　　　 </w:t>
      </w:r>
    </w:p>
    <w:p>
      <w:pPr>
        <w:adjustRightInd w:val="0"/>
        <w:snapToGrid w:val="0"/>
        <w:spacing w:line="360" w:lineRule="auto"/>
        <w:rPr>
          <w:rFonts w:ascii="宋体" w:hAnsi="宋体" w:cs="Arial"/>
          <w:color w:val="000000"/>
        </w:rPr>
      </w:pPr>
      <w:r>
        <w:rPr>
          <w:rFonts w:ascii="宋体" w:hAnsi="宋体" w:cs="Arial"/>
          <w:color w:val="000000"/>
        </w:rPr>
        <w:t>2．地    址：</w:t>
      </w:r>
      <w:r>
        <w:rPr>
          <w:rFonts w:ascii="宋体" w:hAnsi="宋体" w:cs="Arial"/>
          <w:color w:val="000000"/>
          <w:u w:val="single"/>
        </w:rPr>
        <w:t xml:space="preserve">                           　　　　　　　　　　　　　 </w:t>
      </w:r>
    </w:p>
    <w:p>
      <w:pPr>
        <w:adjustRightInd w:val="0"/>
        <w:snapToGrid w:val="0"/>
        <w:spacing w:line="360" w:lineRule="auto"/>
        <w:rPr>
          <w:rFonts w:ascii="宋体" w:hAnsi="宋体" w:cs="Arial"/>
          <w:color w:val="000000"/>
          <w:u w:val="single"/>
        </w:rPr>
      </w:pPr>
      <w:r>
        <w:rPr>
          <w:rFonts w:ascii="宋体" w:hAnsi="宋体" w:cs="Arial"/>
          <w:color w:val="000000"/>
        </w:rPr>
        <w:t>3．注册资金：</w:t>
      </w:r>
      <w:r>
        <w:rPr>
          <w:rFonts w:ascii="宋体" w:hAnsi="宋体" w:cs="Arial"/>
          <w:color w:val="000000"/>
          <w:u w:val="single"/>
        </w:rPr>
        <w:t xml:space="preserve">                              </w:t>
      </w:r>
      <w:r>
        <w:rPr>
          <w:rFonts w:ascii="宋体" w:hAnsi="宋体" w:cs="Arial"/>
          <w:color w:val="000000"/>
        </w:rPr>
        <w:t xml:space="preserve">  经济性质：</w:t>
      </w:r>
      <w:r>
        <w:rPr>
          <w:rFonts w:ascii="宋体" w:hAnsi="宋体" w:cs="Arial"/>
          <w:color w:val="000000"/>
          <w:u w:val="single"/>
        </w:rPr>
        <w:t xml:space="preserve">       　   </w:t>
      </w:r>
    </w:p>
    <w:p>
      <w:pPr>
        <w:adjustRightInd w:val="0"/>
        <w:snapToGrid w:val="0"/>
        <w:spacing w:line="360" w:lineRule="auto"/>
        <w:rPr>
          <w:rFonts w:ascii="宋体" w:hAnsi="宋体" w:cs="Arial"/>
          <w:color w:val="000000"/>
        </w:rPr>
      </w:pPr>
      <w:r>
        <w:rPr>
          <w:rFonts w:ascii="宋体" w:hAnsi="宋体" w:cs="Arial"/>
          <w:color w:val="000000"/>
        </w:rPr>
        <w:t>4．公司开户银行名称及账号：</w:t>
      </w:r>
      <w:r>
        <w:rPr>
          <w:rFonts w:ascii="宋体" w:hAnsi="宋体" w:cs="Arial"/>
          <w:color w:val="000000"/>
          <w:u w:val="single"/>
        </w:rPr>
        <w:t xml:space="preserve">                 </w:t>
      </w:r>
      <w:r>
        <w:rPr>
          <w:rFonts w:ascii="宋体" w:hAnsi="宋体" w:cs="Arial"/>
          <w:color w:val="000000"/>
        </w:rPr>
        <w:t xml:space="preserve">   </w:t>
      </w:r>
      <w:r>
        <w:rPr>
          <w:rFonts w:ascii="宋体" w:hAnsi="宋体" w:cs="Arial"/>
          <w:color w:val="000000"/>
          <w:u w:val="single"/>
        </w:rPr>
        <w:t xml:space="preserve">                    </w:t>
      </w:r>
    </w:p>
    <w:p>
      <w:pPr>
        <w:tabs>
          <w:tab w:val="left" w:pos="420"/>
        </w:tabs>
        <w:adjustRightInd w:val="0"/>
        <w:snapToGrid w:val="0"/>
        <w:spacing w:line="360" w:lineRule="auto"/>
        <w:ind w:left="420" w:hanging="420"/>
        <w:rPr>
          <w:rFonts w:ascii="宋体" w:hAnsi="宋体" w:cs="Arial"/>
          <w:color w:val="000000"/>
        </w:rPr>
      </w:pPr>
      <w:r>
        <w:rPr>
          <w:rFonts w:ascii="宋体" w:hAnsi="宋体" w:cs="Arial"/>
          <w:color w:val="000000"/>
        </w:rPr>
        <w:t>5．营业注册执照号：</w:t>
      </w:r>
      <w:r>
        <w:rPr>
          <w:rFonts w:ascii="宋体" w:hAnsi="宋体" w:cs="Arial"/>
          <w:color w:val="000000"/>
          <w:u w:val="single"/>
        </w:rPr>
        <w:t xml:space="preserve">             　</w:t>
      </w:r>
      <w:r>
        <w:rPr>
          <w:rFonts w:ascii="宋体" w:hAnsi="宋体" w:cs="Arial"/>
          <w:color w:val="000000"/>
        </w:rPr>
        <w:t>（随本表格附交一份最新营业执照副本的复印件加盖公章）</w:t>
      </w:r>
    </w:p>
    <w:p>
      <w:pPr>
        <w:adjustRightInd w:val="0"/>
        <w:snapToGrid w:val="0"/>
        <w:spacing w:line="360" w:lineRule="auto"/>
        <w:rPr>
          <w:rFonts w:ascii="宋体" w:hAnsi="宋体" w:cs="Arial"/>
          <w:color w:val="000000"/>
        </w:rPr>
      </w:pPr>
      <w:r>
        <w:rPr>
          <w:rFonts w:ascii="宋体" w:hAnsi="宋体" w:cs="Arial"/>
          <w:color w:val="000000"/>
        </w:rPr>
        <w:t>6．公司简介：（自行描述）</w:t>
      </w:r>
    </w:p>
    <w:p>
      <w:pPr>
        <w:adjustRightInd w:val="0"/>
        <w:snapToGrid w:val="0"/>
        <w:spacing w:line="360" w:lineRule="auto"/>
        <w:ind w:firstLine="630" w:firstLineChars="300"/>
        <w:rPr>
          <w:rFonts w:ascii="宋体" w:hAnsi="宋体" w:cs="Arial"/>
          <w:color w:val="000000"/>
        </w:rPr>
      </w:pPr>
      <w:r>
        <w:rPr>
          <w:rFonts w:hint="eastAsia" w:ascii="宋体" w:hAnsi="宋体" w:cs="Arial"/>
          <w:color w:val="000000"/>
        </w:rPr>
        <w:t xml:space="preserve"> </w:t>
      </w: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p>
    <w:p>
      <w:pPr>
        <w:adjustRightInd w:val="0"/>
        <w:snapToGrid w:val="0"/>
        <w:spacing w:line="360" w:lineRule="auto"/>
        <w:ind w:firstLine="630" w:firstLineChars="300"/>
        <w:rPr>
          <w:rFonts w:ascii="宋体" w:hAnsi="宋体" w:cs="Arial"/>
          <w:color w:val="000000"/>
        </w:rPr>
      </w:pPr>
      <w:r>
        <w:rPr>
          <w:rFonts w:ascii="宋体" w:hAnsi="宋体" w:cs="Arial"/>
          <w:color w:val="000000"/>
        </w:rPr>
        <w:t>我/我们声明以上所述是正确无误的，您有权进行您认为必要的所有调查。</w:t>
      </w:r>
    </w:p>
    <w:p>
      <w:pPr>
        <w:adjustRightInd w:val="0"/>
        <w:snapToGrid w:val="0"/>
        <w:spacing w:line="360" w:lineRule="auto"/>
        <w:ind w:firstLine="359" w:firstLineChars="171"/>
        <w:rPr>
          <w:rFonts w:ascii="宋体" w:hAnsi="宋体" w:cs="Arial"/>
          <w:color w:val="000000"/>
        </w:rPr>
      </w:pPr>
      <w:r>
        <w:rPr>
          <w:rFonts w:hint="eastAsia" w:ascii="宋体" w:hAnsi="宋体" w:cs="Arial"/>
          <w:color w:val="000000"/>
        </w:rPr>
        <w:t>谈判</w:t>
      </w:r>
      <w:r>
        <w:rPr>
          <w:rFonts w:hint="eastAsia" w:hAnsi="宋体" w:cs="Arial"/>
          <w:color w:val="000000"/>
        </w:rPr>
        <w:t>供应商</w:t>
      </w:r>
      <w:r>
        <w:rPr>
          <w:rFonts w:ascii="宋体" w:hAnsi="宋体" w:cs="Arial"/>
          <w:color w:val="000000"/>
        </w:rPr>
        <w:t>名称：</w:t>
      </w:r>
      <w:r>
        <w:rPr>
          <w:rFonts w:ascii="宋体" w:hAnsi="宋体" w:cs="Arial"/>
          <w:color w:val="000000"/>
          <w:u w:val="single"/>
        </w:rPr>
        <w:t xml:space="preserve">                   </w:t>
      </w:r>
      <w:r>
        <w:rPr>
          <w:rFonts w:ascii="宋体" w:hAnsi="宋体" w:cs="Arial"/>
          <w:color w:val="000000"/>
        </w:rPr>
        <w:t>（加盖公章）</w:t>
      </w:r>
    </w:p>
    <w:p>
      <w:pPr>
        <w:adjustRightInd w:val="0"/>
        <w:snapToGrid w:val="0"/>
        <w:spacing w:line="360" w:lineRule="auto"/>
        <w:ind w:firstLine="359" w:firstLineChars="171"/>
        <w:rPr>
          <w:rFonts w:ascii="宋体" w:hAnsi="宋体" w:cs="Arial"/>
          <w:color w:val="000000"/>
        </w:rPr>
      </w:pPr>
      <w:r>
        <w:rPr>
          <w:rFonts w:ascii="宋体" w:hAnsi="宋体" w:cs="Arial"/>
          <w:color w:val="000000"/>
        </w:rPr>
        <w:t>法定代表人（或其委托的全权代表人）签名：</w:t>
      </w:r>
    </w:p>
    <w:p>
      <w:pPr>
        <w:adjustRightInd w:val="0"/>
        <w:snapToGrid w:val="0"/>
        <w:spacing w:line="360" w:lineRule="auto"/>
        <w:ind w:firstLine="359" w:firstLineChars="171"/>
        <w:rPr>
          <w:rFonts w:ascii="宋体" w:hAnsi="宋体" w:cs="Arial"/>
          <w:color w:val="000000"/>
        </w:rPr>
      </w:pPr>
      <w:r>
        <w:rPr>
          <w:rFonts w:ascii="宋体" w:hAnsi="宋体" w:cs="Arial"/>
          <w:color w:val="000000"/>
        </w:rPr>
        <w:t>日期：</w:t>
      </w:r>
    </w:p>
    <w:p>
      <w:pPr>
        <w:spacing w:line="240" w:lineRule="auto"/>
        <w:rPr>
          <w:rFonts w:ascii="楷体_GB2312" w:eastAsia="楷体_GB2312"/>
          <w:color w:val="000000" w:themeColor="text1"/>
          <w:sz w:val="24"/>
          <w:highlight w:val="none"/>
          <w14:textFill>
            <w14:solidFill>
              <w14:schemeClr w14:val="tx1"/>
            </w14:solidFill>
          </w14:textFill>
        </w:rPr>
      </w:pPr>
      <w:r>
        <w:rPr>
          <w:color w:val="000000" w:themeColor="text1"/>
          <w14:textFill>
            <w14:solidFill>
              <w14:schemeClr w14:val="tx1"/>
            </w14:solidFill>
          </w14:textFill>
        </w:rPr>
        <w:br w:type="page"/>
      </w:r>
      <w:r>
        <w:rPr>
          <w:rFonts w:hint="eastAsia" w:ascii="楷体_GB2312" w:eastAsia="楷体_GB2312"/>
          <w:color w:val="000000" w:themeColor="text1"/>
          <w:sz w:val="24"/>
          <w:highlight w:val="none"/>
          <w14:textFill>
            <w14:solidFill>
              <w14:schemeClr w14:val="tx1"/>
            </w14:solidFill>
          </w14:textFill>
        </w:rPr>
        <w:t>附件4. 详细报价表格式</w:t>
      </w:r>
    </w:p>
    <w:p>
      <w:pPr>
        <w:spacing w:line="240" w:lineRule="auto"/>
        <w:rPr>
          <w:color w:val="000000" w:themeColor="text1"/>
          <w:highlight w:val="none"/>
          <w14:textFill>
            <w14:solidFill>
              <w14:schemeClr w14:val="tx1"/>
            </w14:solidFill>
          </w14:textFill>
        </w:rPr>
      </w:pPr>
    </w:p>
    <w:p>
      <w:pPr>
        <w:spacing w:line="240" w:lineRule="auto"/>
        <w:jc w:val="center"/>
        <w:rPr>
          <w:rFonts w:ascii="黑体" w:eastAsia="黑体"/>
          <w:color w:val="000000" w:themeColor="text1"/>
          <w:sz w:val="32"/>
          <w:szCs w:val="32"/>
          <w:highlight w:val="yellow"/>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详细报价表</w:t>
      </w:r>
    </w:p>
    <w:tbl>
      <w:tblPr>
        <w:tblStyle w:val="15"/>
        <w:tblW w:w="8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955"/>
        <w:gridCol w:w="2029"/>
        <w:gridCol w:w="1415"/>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5" w:type="dxa"/>
            <w:gridSpan w:val="5"/>
            <w:tcBorders>
              <w:top w:val="nil"/>
              <w:left w:val="nil"/>
              <w:bottom w:val="single" w:color="auto" w:sz="4" w:space="0"/>
              <w:right w:val="nil"/>
            </w:tcBorders>
          </w:tcPr>
          <w:p>
            <w:pPr>
              <w:spacing w:line="240" w:lineRule="auto"/>
              <w:rPr>
                <w:rFonts w:ascii="宋体" w:hAnsi="宋体" w:cs="宋体"/>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59" w:type="dxa"/>
            <w:tcBorders>
              <w:top w:val="single" w:color="auto" w:sz="4" w:space="0"/>
            </w:tcBorders>
            <w:vAlign w:val="center"/>
          </w:tcPr>
          <w:p>
            <w:pPr>
              <w:spacing w:line="240" w:lineRule="auto"/>
              <w:rPr>
                <w:rFonts w:ascii="宋体" w:hAnsi="宋体" w:cs="宋体"/>
                <w:sz w:val="24"/>
                <w:szCs w:val="24"/>
                <w:highlight w:val="none"/>
              </w:rPr>
            </w:pPr>
            <w:r>
              <w:rPr>
                <w:rFonts w:hint="eastAsia" w:ascii="宋体" w:hAnsi="宋体" w:cs="宋体"/>
                <w:sz w:val="24"/>
                <w:szCs w:val="24"/>
                <w:highlight w:val="none"/>
              </w:rPr>
              <w:t>序号</w:t>
            </w:r>
          </w:p>
        </w:tc>
        <w:tc>
          <w:tcPr>
            <w:tcW w:w="2955" w:type="dxa"/>
            <w:tcBorders>
              <w:top w:val="single" w:color="auto" w:sz="4" w:space="0"/>
            </w:tcBorders>
            <w:vAlign w:val="center"/>
          </w:tcPr>
          <w:p>
            <w:pPr>
              <w:spacing w:line="240" w:lineRule="auto"/>
              <w:rPr>
                <w:rFonts w:ascii="宋体" w:hAnsi="宋体" w:cs="宋体"/>
                <w:sz w:val="24"/>
                <w:szCs w:val="24"/>
                <w:highlight w:val="none"/>
              </w:rPr>
            </w:pPr>
            <w:r>
              <w:rPr>
                <w:rFonts w:hint="eastAsia" w:ascii="宋体" w:hAnsi="宋体" w:cs="宋体"/>
                <w:sz w:val="24"/>
                <w:szCs w:val="24"/>
                <w:highlight w:val="none"/>
              </w:rPr>
              <w:t>项目明细</w:t>
            </w:r>
          </w:p>
        </w:tc>
        <w:tc>
          <w:tcPr>
            <w:tcW w:w="2029" w:type="dxa"/>
            <w:tcBorders>
              <w:top w:val="single" w:color="auto" w:sz="4" w:space="0"/>
            </w:tcBorders>
            <w:vAlign w:val="center"/>
          </w:tcPr>
          <w:p>
            <w:pPr>
              <w:spacing w:line="240" w:lineRule="auto"/>
              <w:rPr>
                <w:rFonts w:ascii="宋体" w:hAnsi="宋体" w:cs="宋体"/>
                <w:sz w:val="24"/>
                <w:szCs w:val="24"/>
                <w:highlight w:val="none"/>
              </w:rPr>
            </w:pPr>
            <w:r>
              <w:rPr>
                <w:rFonts w:hint="eastAsia" w:ascii="宋体" w:hAnsi="宋体" w:cs="宋体"/>
                <w:sz w:val="24"/>
                <w:szCs w:val="24"/>
                <w:highlight w:val="none"/>
              </w:rPr>
              <w:t>数量</w:t>
            </w:r>
          </w:p>
        </w:tc>
        <w:tc>
          <w:tcPr>
            <w:tcW w:w="1415" w:type="dxa"/>
            <w:tcBorders>
              <w:top w:val="single" w:color="auto" w:sz="4" w:space="0"/>
            </w:tcBorders>
            <w:vAlign w:val="center"/>
          </w:tcPr>
          <w:p>
            <w:pPr>
              <w:spacing w:line="240" w:lineRule="auto"/>
              <w:rPr>
                <w:rFonts w:ascii="宋体" w:hAnsi="宋体" w:cs="宋体"/>
                <w:sz w:val="24"/>
                <w:szCs w:val="24"/>
                <w:highlight w:val="none"/>
              </w:rPr>
            </w:pPr>
            <w:r>
              <w:rPr>
                <w:rFonts w:hint="eastAsia" w:ascii="宋体" w:hAnsi="宋体" w:cs="宋体"/>
                <w:sz w:val="24"/>
                <w:szCs w:val="24"/>
                <w:highlight w:val="none"/>
              </w:rPr>
              <w:t>单价</w:t>
            </w:r>
          </w:p>
        </w:tc>
        <w:tc>
          <w:tcPr>
            <w:tcW w:w="1527" w:type="dxa"/>
            <w:tcBorders>
              <w:top w:val="single" w:color="auto" w:sz="4" w:space="0"/>
            </w:tcBorders>
            <w:vAlign w:val="center"/>
          </w:tcPr>
          <w:p>
            <w:pPr>
              <w:spacing w:line="240" w:lineRule="auto"/>
              <w:rPr>
                <w:rFonts w:ascii="宋体" w:hAnsi="宋体" w:cs="宋体"/>
                <w:sz w:val="24"/>
                <w:szCs w:val="24"/>
                <w:highlight w:val="none"/>
              </w:rPr>
            </w:pPr>
            <w:r>
              <w:rPr>
                <w:rFonts w:hint="eastAsia" w:ascii="宋体" w:hAnsi="宋体" w:cs="宋体"/>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5" w:type="dxa"/>
            <w:gridSpan w:val="5"/>
          </w:tcPr>
          <w:p>
            <w:pPr>
              <w:spacing w:line="240" w:lineRule="auto"/>
              <w:rPr>
                <w:rFonts w:hint="eastAsia" w:ascii="宋体" w:hAnsi="宋体" w:cs="宋体" w:eastAsiaTheme="minorEastAsia"/>
                <w:sz w:val="24"/>
                <w:szCs w:val="24"/>
                <w:highlight w:val="none"/>
                <w:lang w:eastAsia="zh-CN"/>
              </w:rPr>
            </w:pPr>
            <w:r>
              <w:rPr>
                <w:rFonts w:hint="eastAsia" w:ascii="宋体" w:hAnsi="宋体" w:cs="宋体"/>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40" w:lineRule="auto"/>
              <w:rPr>
                <w:rFonts w:ascii="宋体" w:hAnsi="宋体" w:cs="宋体"/>
                <w:sz w:val="24"/>
                <w:szCs w:val="24"/>
                <w:highlight w:val="none"/>
              </w:rPr>
            </w:pPr>
            <w:r>
              <w:rPr>
                <w:rFonts w:hint="eastAsia" w:ascii="宋体" w:hAnsi="宋体" w:cs="宋体"/>
                <w:sz w:val="24"/>
                <w:szCs w:val="24"/>
                <w:highlight w:val="none"/>
              </w:rPr>
              <w:t>1</w:t>
            </w:r>
          </w:p>
        </w:tc>
        <w:tc>
          <w:tcPr>
            <w:tcW w:w="2955" w:type="dxa"/>
            <w:vAlign w:val="center"/>
          </w:tcPr>
          <w:p>
            <w:pPr>
              <w:spacing w:line="240" w:lineRule="auto"/>
              <w:rPr>
                <w:rFonts w:ascii="宋体" w:hAnsi="宋体" w:cs="宋体"/>
                <w:sz w:val="24"/>
                <w:szCs w:val="24"/>
                <w:highlight w:val="none"/>
              </w:rPr>
            </w:pPr>
          </w:p>
        </w:tc>
        <w:tc>
          <w:tcPr>
            <w:tcW w:w="2029" w:type="dxa"/>
            <w:vAlign w:val="center"/>
          </w:tcPr>
          <w:p>
            <w:pPr>
              <w:spacing w:line="240" w:lineRule="auto"/>
              <w:rPr>
                <w:rFonts w:ascii="宋体" w:hAnsi="宋体" w:cs="宋体"/>
                <w:sz w:val="24"/>
                <w:szCs w:val="24"/>
                <w:highlight w:val="none"/>
              </w:rPr>
            </w:pPr>
          </w:p>
        </w:tc>
        <w:tc>
          <w:tcPr>
            <w:tcW w:w="1415" w:type="dxa"/>
          </w:tcPr>
          <w:p>
            <w:pPr>
              <w:spacing w:line="240" w:lineRule="auto"/>
              <w:rPr>
                <w:rFonts w:ascii="宋体" w:hAnsi="宋体" w:cs="宋体"/>
                <w:sz w:val="24"/>
                <w:szCs w:val="24"/>
                <w:highlight w:val="none"/>
              </w:rPr>
            </w:pPr>
          </w:p>
        </w:tc>
        <w:tc>
          <w:tcPr>
            <w:tcW w:w="1527" w:type="dxa"/>
          </w:tcPr>
          <w:p>
            <w:pPr>
              <w:spacing w:line="24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40" w:lineRule="auto"/>
              <w:rPr>
                <w:rFonts w:ascii="宋体" w:hAnsi="宋体" w:cs="宋体"/>
                <w:sz w:val="24"/>
                <w:szCs w:val="24"/>
                <w:highlight w:val="none"/>
              </w:rPr>
            </w:pPr>
            <w:r>
              <w:rPr>
                <w:rFonts w:hint="eastAsia" w:ascii="宋体" w:hAnsi="宋体" w:cs="宋体"/>
                <w:sz w:val="24"/>
                <w:szCs w:val="24"/>
                <w:highlight w:val="none"/>
              </w:rPr>
              <w:t>2</w:t>
            </w:r>
          </w:p>
        </w:tc>
        <w:tc>
          <w:tcPr>
            <w:tcW w:w="2955" w:type="dxa"/>
            <w:vAlign w:val="center"/>
          </w:tcPr>
          <w:p>
            <w:pPr>
              <w:spacing w:line="240" w:lineRule="auto"/>
              <w:rPr>
                <w:rFonts w:ascii="宋体" w:hAnsi="宋体" w:cs="宋体"/>
                <w:sz w:val="24"/>
                <w:szCs w:val="24"/>
                <w:highlight w:val="none"/>
              </w:rPr>
            </w:pPr>
          </w:p>
        </w:tc>
        <w:tc>
          <w:tcPr>
            <w:tcW w:w="2029" w:type="dxa"/>
            <w:vAlign w:val="center"/>
          </w:tcPr>
          <w:p>
            <w:pPr>
              <w:spacing w:line="240" w:lineRule="auto"/>
              <w:rPr>
                <w:rFonts w:ascii="宋体" w:hAnsi="宋体" w:cs="宋体"/>
                <w:sz w:val="24"/>
                <w:szCs w:val="24"/>
                <w:highlight w:val="none"/>
              </w:rPr>
            </w:pPr>
          </w:p>
        </w:tc>
        <w:tc>
          <w:tcPr>
            <w:tcW w:w="1415" w:type="dxa"/>
            <w:vAlign w:val="center"/>
          </w:tcPr>
          <w:p>
            <w:pPr>
              <w:spacing w:line="240" w:lineRule="auto"/>
              <w:rPr>
                <w:rFonts w:ascii="宋体" w:hAnsi="宋体" w:cs="宋体"/>
                <w:sz w:val="24"/>
                <w:szCs w:val="24"/>
                <w:highlight w:val="none"/>
              </w:rPr>
            </w:pPr>
          </w:p>
        </w:tc>
        <w:tc>
          <w:tcPr>
            <w:tcW w:w="1527" w:type="dxa"/>
            <w:vAlign w:val="center"/>
          </w:tcPr>
          <w:p>
            <w:pPr>
              <w:spacing w:line="24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40" w:lineRule="auto"/>
              <w:rPr>
                <w:rFonts w:ascii="宋体" w:hAnsi="宋体" w:cs="宋体"/>
                <w:sz w:val="24"/>
                <w:szCs w:val="24"/>
                <w:highlight w:val="none"/>
              </w:rPr>
            </w:pPr>
            <w:r>
              <w:rPr>
                <w:rFonts w:hint="eastAsia" w:ascii="宋体" w:hAnsi="宋体" w:cs="宋体"/>
                <w:sz w:val="24"/>
                <w:szCs w:val="24"/>
                <w:highlight w:val="none"/>
              </w:rPr>
              <w:t>3</w:t>
            </w:r>
          </w:p>
        </w:tc>
        <w:tc>
          <w:tcPr>
            <w:tcW w:w="2955" w:type="dxa"/>
            <w:vAlign w:val="center"/>
          </w:tcPr>
          <w:p>
            <w:pPr>
              <w:spacing w:line="240" w:lineRule="auto"/>
              <w:rPr>
                <w:rFonts w:ascii="宋体" w:hAnsi="宋体" w:cs="宋体"/>
                <w:sz w:val="24"/>
                <w:szCs w:val="24"/>
                <w:highlight w:val="none"/>
              </w:rPr>
            </w:pPr>
          </w:p>
        </w:tc>
        <w:tc>
          <w:tcPr>
            <w:tcW w:w="2029" w:type="dxa"/>
            <w:vAlign w:val="center"/>
          </w:tcPr>
          <w:p>
            <w:pPr>
              <w:spacing w:line="240" w:lineRule="auto"/>
              <w:rPr>
                <w:rFonts w:ascii="宋体" w:hAnsi="宋体" w:cs="宋体"/>
                <w:sz w:val="24"/>
                <w:szCs w:val="24"/>
                <w:highlight w:val="none"/>
              </w:rPr>
            </w:pPr>
          </w:p>
        </w:tc>
        <w:tc>
          <w:tcPr>
            <w:tcW w:w="1415" w:type="dxa"/>
            <w:vAlign w:val="center"/>
          </w:tcPr>
          <w:p>
            <w:pPr>
              <w:spacing w:line="240" w:lineRule="auto"/>
              <w:rPr>
                <w:rFonts w:ascii="宋体" w:hAnsi="宋体" w:cs="宋体"/>
                <w:sz w:val="24"/>
                <w:szCs w:val="24"/>
                <w:highlight w:val="none"/>
              </w:rPr>
            </w:pPr>
          </w:p>
        </w:tc>
        <w:tc>
          <w:tcPr>
            <w:tcW w:w="1527" w:type="dxa"/>
            <w:vAlign w:val="center"/>
          </w:tcPr>
          <w:p>
            <w:pPr>
              <w:spacing w:line="240" w:lineRule="auto"/>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spacing w:line="240" w:lineRule="auto"/>
              <w:rPr>
                <w:rFonts w:ascii="宋体" w:hAnsi="宋体" w:cs="宋体"/>
                <w:sz w:val="24"/>
                <w:szCs w:val="24"/>
                <w:highlight w:val="none"/>
              </w:rPr>
            </w:pPr>
          </w:p>
        </w:tc>
        <w:tc>
          <w:tcPr>
            <w:tcW w:w="2955" w:type="dxa"/>
            <w:vAlign w:val="center"/>
          </w:tcPr>
          <w:p>
            <w:pPr>
              <w:spacing w:line="240" w:lineRule="auto"/>
              <w:rPr>
                <w:rFonts w:ascii="宋体" w:hAnsi="宋体" w:cs="宋体"/>
                <w:sz w:val="24"/>
                <w:szCs w:val="24"/>
                <w:highlight w:val="none"/>
              </w:rPr>
            </w:pPr>
            <w:r>
              <w:rPr>
                <w:rFonts w:hint="eastAsia" w:ascii="宋体" w:hAnsi="宋体" w:cs="宋体"/>
                <w:sz w:val="24"/>
                <w:szCs w:val="24"/>
                <w:highlight w:val="none"/>
              </w:rPr>
              <w:t>合计</w:t>
            </w:r>
          </w:p>
        </w:tc>
        <w:tc>
          <w:tcPr>
            <w:tcW w:w="2029" w:type="dxa"/>
            <w:vAlign w:val="center"/>
          </w:tcPr>
          <w:p>
            <w:pPr>
              <w:spacing w:line="240" w:lineRule="auto"/>
              <w:rPr>
                <w:rFonts w:ascii="宋体" w:hAnsi="宋体" w:cs="宋体"/>
                <w:sz w:val="24"/>
                <w:szCs w:val="24"/>
                <w:highlight w:val="none"/>
              </w:rPr>
            </w:pPr>
          </w:p>
        </w:tc>
        <w:tc>
          <w:tcPr>
            <w:tcW w:w="1415" w:type="dxa"/>
            <w:vAlign w:val="center"/>
          </w:tcPr>
          <w:p>
            <w:pPr>
              <w:spacing w:line="240" w:lineRule="auto"/>
              <w:rPr>
                <w:rFonts w:ascii="宋体" w:hAnsi="宋体" w:cs="宋体"/>
                <w:sz w:val="24"/>
                <w:szCs w:val="24"/>
                <w:highlight w:val="none"/>
              </w:rPr>
            </w:pPr>
          </w:p>
        </w:tc>
        <w:tc>
          <w:tcPr>
            <w:tcW w:w="1527" w:type="dxa"/>
            <w:vAlign w:val="center"/>
          </w:tcPr>
          <w:p>
            <w:pPr>
              <w:spacing w:line="240" w:lineRule="auto"/>
              <w:rPr>
                <w:rFonts w:ascii="宋体" w:hAnsi="宋体" w:cs="宋体"/>
                <w:sz w:val="24"/>
                <w:szCs w:val="24"/>
                <w:highlight w:val="none"/>
              </w:rPr>
            </w:pPr>
          </w:p>
        </w:tc>
      </w:tr>
    </w:tbl>
    <w:p>
      <w:pPr>
        <w:spacing w:line="240" w:lineRule="auto"/>
        <w:rPr>
          <w:rFonts w:hint="eastAsia" w:ascii="宋体" w:hAnsi="宋体" w:cs="宋体"/>
          <w:sz w:val="28"/>
          <w:szCs w:val="28"/>
          <w:highlight w:val="none"/>
        </w:rPr>
      </w:pPr>
    </w:p>
    <w:p>
      <w:pPr>
        <w:spacing w:line="240" w:lineRule="auto"/>
        <w:rPr>
          <w:rFonts w:ascii="宋体" w:hAnsi="宋体" w:cs="宋体"/>
          <w:sz w:val="28"/>
          <w:szCs w:val="28"/>
          <w:highlight w:val="none"/>
        </w:rPr>
      </w:pPr>
      <w:r>
        <w:rPr>
          <w:rFonts w:hint="eastAsia" w:ascii="宋体" w:hAnsi="宋体" w:cs="宋体"/>
          <w:sz w:val="28"/>
          <w:szCs w:val="28"/>
          <w:highlight w:val="none"/>
        </w:rPr>
        <w:t>注：</w:t>
      </w:r>
      <w:r>
        <w:rPr>
          <w:rFonts w:hint="eastAsia" w:ascii="宋体" w:hAnsi="宋体" w:cs="宋体"/>
          <w:sz w:val="28"/>
          <w:szCs w:val="28"/>
          <w:highlight w:val="none"/>
          <w:lang w:val="en-US" w:eastAsia="zh-CN"/>
        </w:rPr>
        <w:t>具体支付费用</w:t>
      </w:r>
      <w:r>
        <w:rPr>
          <w:rFonts w:hint="eastAsia" w:ascii="宋体" w:hAnsi="宋体" w:cs="宋体"/>
          <w:sz w:val="28"/>
          <w:szCs w:val="28"/>
          <w:highlight w:val="none"/>
        </w:rPr>
        <w:t>根据实际结算。</w:t>
      </w:r>
    </w:p>
    <w:p>
      <w:pPr>
        <w:spacing w:line="240" w:lineRule="auto"/>
        <w:rPr>
          <w:rFonts w:ascii="黑体" w:eastAsia="黑体"/>
          <w:color w:val="000000" w:themeColor="text1"/>
          <w:sz w:val="32"/>
          <w:szCs w:val="32"/>
          <w:highlight w:val="none"/>
          <w14:textFill>
            <w14:solidFill>
              <w14:schemeClr w14:val="tx1"/>
            </w14:solidFill>
          </w14:textFill>
        </w:rPr>
      </w:pPr>
      <w:r>
        <w:rPr>
          <w:rFonts w:hint="eastAsia" w:ascii="宋体" w:hAnsi="宋体" w:cs="宋体"/>
          <w:sz w:val="28"/>
          <w:szCs w:val="28"/>
          <w:highlight w:val="none"/>
        </w:rPr>
        <w:t>总报价</w:t>
      </w:r>
      <w:r>
        <w:rPr>
          <w:rFonts w:hint="eastAsia" w:ascii="宋体" w:hAnsi="宋体" w:cs="宋体"/>
          <w:sz w:val="28"/>
          <w:szCs w:val="28"/>
          <w:highlight w:val="none"/>
          <w:u w:val="single"/>
        </w:rPr>
        <w:t>总计人民币（大写）                   （¥         元）</w:t>
      </w:r>
    </w:p>
    <w:p>
      <w:pPr>
        <w:spacing w:line="240" w:lineRule="auto"/>
        <w:rPr>
          <w:color w:val="000000" w:themeColor="text1"/>
          <w:highlight w:val="none"/>
          <w14:textFill>
            <w14:solidFill>
              <w14:schemeClr w14:val="tx1"/>
            </w14:solidFill>
          </w14:textFill>
        </w:rPr>
      </w:pPr>
    </w:p>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谈判供应商代表签字：</w:t>
      </w:r>
    </w:p>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谈判供应商盖章：</w:t>
      </w:r>
    </w:p>
    <w:p>
      <w:pPr>
        <w:spacing w:line="240" w:lineRule="auto"/>
        <w:rPr>
          <w:color w:val="000000" w:themeColor="text1"/>
          <w:highlight w:val="none"/>
          <w14:textFill>
            <w14:solidFill>
              <w14:schemeClr w14:val="tx1"/>
            </w14:solidFill>
          </w14:textFill>
        </w:rPr>
      </w:pPr>
    </w:p>
    <w:p>
      <w:pPr>
        <w:spacing w:line="240" w:lineRule="auto"/>
        <w:rPr>
          <w:color w:val="000000" w:themeColor="text1"/>
          <w:highlight w:val="none"/>
          <w14:textFill>
            <w14:solidFill>
              <w14:schemeClr w14:val="tx1"/>
            </w14:solidFill>
          </w14:textFill>
        </w:rPr>
      </w:pPr>
    </w:p>
    <w:p>
      <w:pPr>
        <w:spacing w:line="24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注：1、上述各项的详细分项报价，应另页描述。</w:t>
      </w:r>
    </w:p>
    <w:p>
      <w:pPr>
        <w:spacing w:line="240" w:lineRule="auto"/>
        <w:ind w:left="718" w:leftChars="200" w:hanging="298" w:hangingChars="142"/>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2、详细分项报价必须提供相应的</w:t>
      </w:r>
      <w:r>
        <w:rPr>
          <w:rFonts w:hint="eastAsia"/>
          <w:color w:val="000000" w:themeColor="text1"/>
          <w:highlight w:val="none"/>
          <w:lang w:val="en-US" w:eastAsia="zh-CN"/>
          <w14:textFill>
            <w14:solidFill>
              <w14:schemeClr w14:val="tx1"/>
            </w14:solidFill>
          </w14:textFill>
        </w:rPr>
        <w:t>类目</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用途、</w:t>
      </w:r>
      <w:r>
        <w:rPr>
          <w:rFonts w:hint="eastAsia"/>
          <w:color w:val="000000" w:themeColor="text1"/>
          <w:highlight w:val="none"/>
          <w14:textFill>
            <w14:solidFill>
              <w14:schemeClr w14:val="tx1"/>
            </w14:solidFill>
          </w14:textFill>
        </w:rPr>
        <w:t>单价、数量、小计、合计等详细信息。</w:t>
      </w:r>
    </w:p>
    <w:p>
      <w:pPr>
        <w:spacing w:line="240" w:lineRule="auto"/>
        <w:rPr>
          <w:color w:val="000000" w:themeColor="text1"/>
          <w:highlight w:val="none"/>
          <w14:textFill>
            <w14:solidFill>
              <w14:schemeClr w14:val="tx1"/>
            </w14:solidFill>
          </w14:textFill>
        </w:rPr>
      </w:pPr>
    </w:p>
    <w:p>
      <w:pPr>
        <w:spacing w:line="240" w:lineRule="auto"/>
        <w:rPr>
          <w:rStyle w:val="33"/>
          <w:rFonts w:ascii="楷体_GB2312" w:eastAsia="楷体_GB2312"/>
          <w:bCs w:val="0"/>
          <w:color w:val="000000" w:themeColor="text1"/>
          <w:sz w:val="24"/>
          <w14:textFill>
            <w14:solidFill>
              <w14:schemeClr w14:val="tx1"/>
            </w14:solidFill>
          </w14:textFill>
        </w:rPr>
      </w:pPr>
      <w:r>
        <w:rPr>
          <w:color w:val="000000" w:themeColor="text1"/>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附件5.服务方案格式</w:t>
      </w:r>
    </w:p>
    <w:p>
      <w:pPr>
        <w:pStyle w:val="9"/>
        <w:snapToGrid w:val="0"/>
        <w:spacing w:line="360" w:lineRule="auto"/>
        <w:rPr>
          <w:rFonts w:ascii="Times New Roman"/>
          <w:color w:val="000000" w:themeColor="text1"/>
          <w:sz w:val="21"/>
          <w14:textFill>
            <w14:solidFill>
              <w14:schemeClr w14:val="tx1"/>
            </w14:solidFill>
          </w14:textFill>
        </w:rPr>
      </w:pPr>
    </w:p>
    <w:p>
      <w:pPr>
        <w:spacing w:line="360" w:lineRule="auto"/>
        <w:jc w:val="center"/>
        <w:rPr>
          <w:rFonts w:ascii="黑体" w:eastAsia="黑体"/>
          <w:color w:val="000000" w:themeColor="text1"/>
          <w:sz w:val="32"/>
          <w:szCs w:val="32"/>
          <w:highlight w:val="yellow"/>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服务方案</w:t>
      </w:r>
    </w:p>
    <w:p>
      <w:pPr>
        <w:spacing w:line="360" w:lineRule="auto"/>
        <w:jc w:val="center"/>
        <w:rPr>
          <w:color w:val="000000" w:themeColor="text1"/>
          <w:highlight w:val="none"/>
          <w14:textFill>
            <w14:solidFill>
              <w14:schemeClr w14:val="tx1"/>
            </w14:solidFill>
          </w14:textFill>
        </w:rPr>
      </w:pPr>
    </w:p>
    <w:p>
      <w:pPr>
        <w:numPr>
          <w:ilvl w:val="0"/>
          <w:numId w:val="22"/>
        </w:numPr>
        <w:spacing w:line="360" w:lineRule="auto"/>
        <w:ind w:firstLine="420"/>
        <w:rPr>
          <w:rFonts w:hint="eastAsia"/>
          <w:color w:val="000000" w:themeColor="text1"/>
          <w:highlight w:val="none"/>
          <w14:textFill>
            <w14:solidFill>
              <w14:schemeClr w14:val="tx1"/>
            </w14:solidFill>
          </w14:textFill>
        </w:rPr>
      </w:pPr>
      <w:r>
        <w:rPr>
          <w:rFonts w:hint="eastAsia" w:ascii="宋体" w:hAnsi="宋体" w:eastAsia="宋体" w:cs="宋体"/>
          <w:color w:val="auto"/>
          <w:sz w:val="21"/>
          <w:szCs w:val="21"/>
          <w:highlight w:val="none"/>
        </w:rPr>
        <w:t>项目整体策划、</w:t>
      </w:r>
    </w:p>
    <w:p>
      <w:pPr>
        <w:numPr>
          <w:ilvl w:val="0"/>
          <w:numId w:val="22"/>
        </w:numPr>
        <w:spacing w:line="360" w:lineRule="auto"/>
        <w:ind w:firstLine="420"/>
        <w:rPr>
          <w:rFonts w:hint="eastAsia"/>
          <w:color w:val="000000" w:themeColor="text1"/>
          <w:highlight w:val="none"/>
          <w14:textFill>
            <w14:solidFill>
              <w14:schemeClr w14:val="tx1"/>
            </w14:solidFill>
          </w14:textFill>
        </w:rPr>
      </w:pPr>
      <w:r>
        <w:rPr>
          <w:rFonts w:hint="eastAsia" w:ascii="宋体" w:hAnsi="宋体" w:eastAsia="宋体" w:cs="宋体"/>
          <w:color w:val="auto"/>
          <w:sz w:val="21"/>
          <w:szCs w:val="21"/>
          <w:highlight w:val="none"/>
        </w:rPr>
        <w:t>执行方案</w:t>
      </w:r>
      <w:r>
        <w:rPr>
          <w:rFonts w:hint="eastAsia" w:ascii="宋体" w:hAnsi="宋体" w:eastAsia="宋体" w:cs="宋体"/>
          <w:color w:val="auto"/>
          <w:sz w:val="21"/>
          <w:szCs w:val="21"/>
          <w:highlight w:val="none"/>
          <w:lang w:eastAsia="zh-CN"/>
        </w:rPr>
        <w:t>、</w:t>
      </w:r>
    </w:p>
    <w:p>
      <w:pPr>
        <w:numPr>
          <w:ilvl w:val="0"/>
          <w:numId w:val="22"/>
        </w:numPr>
        <w:spacing w:line="360" w:lineRule="auto"/>
        <w:ind w:firstLine="420"/>
        <w:rPr>
          <w:rFonts w:hint="eastAsia"/>
          <w:color w:val="000000" w:themeColor="text1"/>
          <w:highlight w:val="none"/>
          <w14:textFill>
            <w14:solidFill>
              <w14:schemeClr w14:val="tx1"/>
            </w14:solidFill>
          </w14:textFill>
        </w:rPr>
      </w:pPr>
      <w:r>
        <w:rPr>
          <w:rFonts w:hint="eastAsia" w:ascii="宋体" w:hAnsi="宋体" w:eastAsia="宋体" w:cs="宋体"/>
          <w:color w:val="auto"/>
          <w:sz w:val="21"/>
          <w:szCs w:val="21"/>
          <w:highlight w:val="none"/>
        </w:rPr>
        <w:t>活动细项预算</w:t>
      </w:r>
    </w:p>
    <w:p>
      <w:pPr>
        <w:numPr>
          <w:ilvl w:val="0"/>
          <w:numId w:val="22"/>
        </w:numPr>
        <w:spacing w:line="360" w:lineRule="auto"/>
        <w:ind w:firstLine="420"/>
        <w:rPr>
          <w:rFonts w:hint="eastAsia"/>
          <w:color w:val="000000" w:themeColor="text1"/>
          <w:highlight w:val="none"/>
          <w14:textFill>
            <w14:solidFill>
              <w14:schemeClr w14:val="tx1"/>
            </w14:solidFill>
          </w14:textFill>
        </w:rPr>
      </w:pPr>
      <w:r>
        <w:rPr>
          <w:rFonts w:hint="eastAsia" w:ascii="宋体" w:hAnsi="宋体" w:eastAsia="宋体" w:cs="宋体"/>
          <w:color w:val="auto"/>
          <w:sz w:val="21"/>
          <w:szCs w:val="21"/>
          <w:highlight w:val="none"/>
        </w:rPr>
        <w:t>奖金方案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由主办方支付</w:t>
      </w:r>
      <w:r>
        <w:rPr>
          <w:rFonts w:hint="eastAsia" w:ascii="宋体" w:hAnsi="宋体" w:eastAsia="宋体" w:cs="宋体"/>
          <w:color w:val="auto"/>
          <w:sz w:val="21"/>
          <w:szCs w:val="21"/>
          <w:highlight w:val="none"/>
          <w:lang w:eastAsia="zh-CN"/>
        </w:rPr>
        <w:t>）</w:t>
      </w:r>
    </w:p>
    <w:p>
      <w:pPr>
        <w:numPr>
          <w:ilvl w:val="0"/>
          <w:numId w:val="22"/>
        </w:numPr>
        <w:spacing w:line="360" w:lineRule="auto"/>
        <w:ind w:firstLine="420"/>
        <w:rPr>
          <w:rFonts w:hint="eastAsia"/>
          <w:color w:val="000000" w:themeColor="text1"/>
          <w:highlight w:val="none"/>
          <w14:textFill>
            <w14:solidFill>
              <w14:schemeClr w14:val="tx1"/>
            </w14:solidFill>
          </w14:textFill>
        </w:rPr>
      </w:pPr>
      <w:r>
        <w:rPr>
          <w:rFonts w:hint="eastAsia" w:ascii="宋体" w:hAnsi="宋体" w:eastAsia="宋体" w:cs="宋体"/>
          <w:color w:val="auto"/>
          <w:sz w:val="21"/>
          <w:szCs w:val="21"/>
          <w:highlight w:val="none"/>
        </w:rPr>
        <w:t>项目宣传推广方案</w:t>
      </w:r>
    </w:p>
    <w:p>
      <w:pPr>
        <w:adjustRightInd w:val="0"/>
        <w:snapToGrid w:val="0"/>
        <w:spacing w:line="360" w:lineRule="auto"/>
        <w:rPr>
          <w:snapToGrid w:val="0"/>
          <w:color w:val="000000" w:themeColor="text1"/>
          <w:kern w:val="0"/>
          <w:highlight w:val="none"/>
          <w14:textFill>
            <w14:solidFill>
              <w14:schemeClr w14:val="tx1"/>
            </w14:solidFill>
          </w14:textFill>
        </w:rPr>
      </w:pPr>
    </w:p>
    <w:p>
      <w:pPr>
        <w:adjustRightInd w:val="0"/>
        <w:snapToGrid w:val="0"/>
        <w:spacing w:line="360" w:lineRule="auto"/>
        <w:rPr>
          <w:snapToGrid w:val="0"/>
          <w:color w:val="000000" w:themeColor="text1"/>
          <w:kern w:val="0"/>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谈判供应商盖章：</w:t>
      </w:r>
    </w:p>
    <w:p>
      <w:pPr>
        <w:spacing w:line="360" w:lineRule="auto"/>
        <w:rPr>
          <w:color w:val="000000" w:themeColor="text1"/>
          <w14:textFill>
            <w14:solidFill>
              <w14:schemeClr w14:val="tx1"/>
            </w14:solidFill>
          </w14:textFill>
        </w:rPr>
      </w:pPr>
    </w:p>
    <w:p>
      <w:pPr>
        <w:spacing w:line="360" w:lineRule="auto"/>
        <w:rPr>
          <w:rFonts w:ascii="楷体_GB2312" w:eastAsia="楷体_GB2312"/>
          <w:color w:val="000000" w:themeColor="text1"/>
          <w:sz w:val="24"/>
          <w14:textFill>
            <w14:solidFill>
              <w14:schemeClr w14:val="tx1"/>
            </w14:solidFill>
          </w14:textFill>
        </w:rPr>
      </w:pPr>
      <w:r>
        <w:rPr>
          <w:color w:val="000000" w:themeColor="text1"/>
          <w14:textFill>
            <w14:solidFill>
              <w14:schemeClr w14:val="tx1"/>
            </w14:solidFill>
          </w14:textFill>
        </w:rPr>
        <w:br w:type="page"/>
      </w:r>
    </w:p>
    <w:p>
      <w:pPr>
        <w:spacing w:line="360" w:lineRule="auto"/>
        <w:rPr>
          <w:color w:val="000000" w:themeColor="text1"/>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附件6. 资格证明文件格式</w:t>
      </w:r>
    </w:p>
    <w:p>
      <w:pPr>
        <w:spacing w:line="36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目　录</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一、关于资格的声明函（附件6-1）</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二、法定代表人证明书（附件6-2）</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三、法定代表人授权书（附件6-3）</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四、</w:t>
      </w:r>
      <w:r>
        <w:rPr>
          <w:color w:val="000000" w:themeColor="text1"/>
          <w14:textFill>
            <w14:solidFill>
              <w14:schemeClr w14:val="tx1"/>
            </w14:solidFill>
          </w14:textFill>
        </w:rPr>
        <w:t>营业执照副本</w:t>
      </w:r>
      <w:r>
        <w:rPr>
          <w:rFonts w:hint="eastAsia"/>
          <w:color w:val="000000" w:themeColor="text1"/>
          <w14:textFill>
            <w14:solidFill>
              <w14:schemeClr w14:val="tx1"/>
            </w14:solidFill>
          </w14:textFill>
        </w:rPr>
        <w:t>、国税登记证、地税登记证及投标资料表要求的有关资质证书</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五、经营业绩证明材料（附件6-4）</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六、谈判文件要求的其他资格证明材料</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注：1、资格证明文件中属复印件的须加盖投标单位公章。</w:t>
      </w:r>
    </w:p>
    <w:p>
      <w:pPr>
        <w:spacing w:line="360" w:lineRule="auto"/>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2、温馨提示：请谈判供应商仔细核对谈判响应文件，确认已按竞争性谈判文件要求递交了全部证明材料。</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附件6-1 资格声明格式　</w:t>
      </w:r>
    </w:p>
    <w:p>
      <w:pPr>
        <w:spacing w:line="36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关于资格的声明函</w:t>
      </w:r>
    </w:p>
    <w:p>
      <w:pPr>
        <w:spacing w:line="360" w:lineRule="auto"/>
        <w:rPr>
          <w:color w:val="000000" w:themeColor="text1"/>
          <w14:textFill>
            <w14:solidFill>
              <w14:schemeClr w14:val="tx1"/>
            </w14:solidFill>
          </w14:textFill>
        </w:rPr>
      </w:pPr>
    </w:p>
    <w:p>
      <w:pPr>
        <w:spacing w:line="360" w:lineRule="auto"/>
        <w:rPr>
          <w:rFonts w:hint="eastAsia" w:eastAsiaTheme="min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致：</w:t>
      </w:r>
      <w:r>
        <w:rPr>
          <w:rFonts w:hint="eastAsia"/>
          <w:color w:val="000000" w:themeColor="text1"/>
          <w:lang w:eastAsia="zh-CN"/>
          <w14:textFill>
            <w14:solidFill>
              <w14:schemeClr w14:val="tx1"/>
            </w14:solidFill>
          </w14:textFill>
        </w:rPr>
        <w:t>深圳市设计之都运营发展有限公司</w:t>
      </w:r>
    </w:p>
    <w:p>
      <w:pPr>
        <w:spacing w:line="360" w:lineRule="auto"/>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为响应你方</w:t>
      </w:r>
      <w:r>
        <w:rPr>
          <w:rFonts w:hint="eastAsia"/>
          <w:i/>
          <w:color w:val="000000" w:themeColor="text1"/>
          <w:u w:val="single"/>
          <w14:textFill>
            <w14:solidFill>
              <w14:schemeClr w14:val="tx1"/>
            </w14:solidFill>
          </w14:textFill>
        </w:rPr>
        <w:t>（项目名称）（编号）</w:t>
      </w:r>
      <w:r>
        <w:rPr>
          <w:rFonts w:hint="eastAsia"/>
          <w:color w:val="000000" w:themeColor="text1"/>
          <w14:textFill>
            <w14:solidFill>
              <w14:schemeClr w14:val="tx1"/>
            </w14:solidFill>
          </w14:textFill>
        </w:rPr>
        <w:t>邀请，下述签字人愿参与竞争性谈判，提供谈判文件规定的货物及服务，提交下述文件并声明全部说明是真实的和正确的。</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1、我方投标代表的授权文件一份。</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我</w:t>
      </w:r>
      <w:r>
        <w:rPr>
          <w:rFonts w:hint="eastAsia"/>
          <w:color w:val="000000" w:themeColor="text1"/>
          <w14:textFill>
            <w14:solidFill>
              <w14:schemeClr w14:val="tx1"/>
            </w14:solidFill>
          </w14:textFill>
        </w:rPr>
        <w:t>方</w:t>
      </w:r>
      <w:r>
        <w:rPr>
          <w:color w:val="000000" w:themeColor="text1"/>
          <w14:textFill>
            <w14:solidFill>
              <w14:schemeClr w14:val="tx1"/>
            </w14:solidFill>
          </w14:textFill>
        </w:rPr>
        <w:t>营业执照副本</w:t>
      </w:r>
      <w:r>
        <w:rPr>
          <w:rFonts w:hint="eastAsia"/>
          <w:color w:val="000000" w:themeColor="text1"/>
          <w14:textFill>
            <w14:solidFill>
              <w14:schemeClr w14:val="tx1"/>
            </w14:solidFill>
          </w14:textFill>
        </w:rPr>
        <w:t>及资质证书</w:t>
      </w:r>
      <w:r>
        <w:rPr>
          <w:color w:val="000000" w:themeColor="text1"/>
          <w14:textFill>
            <w14:solidFill>
              <w14:schemeClr w14:val="tx1"/>
            </w14:solidFill>
          </w14:textFill>
        </w:rPr>
        <w:t>复印件（加盖公章)</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份，共</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页。</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1800"/>
        <w:gridCol w:w="1440"/>
        <w:gridCol w:w="1260"/>
        <w:gridCol w:w="1401"/>
        <w:gridCol w:w="2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证书名称</w:t>
            </w: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发证机构</w:t>
            </w: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证书等级</w:t>
            </w: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证书有限期</w:t>
            </w: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80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1401"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c>
          <w:tcPr>
            <w:tcW w:w="2073" w:type="dxa"/>
            <w:tcBorders>
              <w:top w:val="single" w:color="auto" w:sz="6" w:space="0"/>
              <w:left w:val="single" w:color="auto" w:sz="6" w:space="0"/>
              <w:bottom w:val="single" w:color="auto" w:sz="6" w:space="0"/>
              <w:right w:val="single" w:color="auto" w:sz="6" w:space="0"/>
            </w:tcBorders>
          </w:tcPr>
          <w:p>
            <w:pPr>
              <w:spacing w:line="360" w:lineRule="auto"/>
              <w:jc w:val="center"/>
              <w:rPr>
                <w:color w:val="000000" w:themeColor="text1"/>
                <w14:textFill>
                  <w14:solidFill>
                    <w14:schemeClr w14:val="tx1"/>
                  </w14:solidFill>
                </w14:textFill>
              </w:rPr>
            </w:pPr>
          </w:p>
        </w:tc>
      </w:tr>
    </w:tbl>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3、我方的资格声明一份。</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竞争性谈判文件要求的</w:t>
      </w:r>
      <w:r>
        <w:rPr>
          <w:rFonts w:hint="eastAsia"/>
          <w:color w:val="000000" w:themeColor="text1"/>
          <w14:textFill>
            <w14:solidFill>
              <w14:schemeClr w14:val="tx1"/>
            </w14:solidFill>
          </w14:textFill>
        </w:rPr>
        <w:t>其他</w:t>
      </w:r>
      <w:r>
        <w:rPr>
          <w:color w:val="000000" w:themeColor="text1"/>
          <w14:textFill>
            <w14:solidFill>
              <w14:schemeClr w14:val="tx1"/>
            </w14:solidFill>
          </w14:textFill>
        </w:rPr>
        <w:t>资格证明文件。</w:t>
      </w:r>
    </w:p>
    <w:p>
      <w:pPr>
        <w:spacing w:line="360" w:lineRule="auto"/>
        <w:ind w:firstLine="420" w:firstLineChars="20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本签字人确认资格文件中的</w:t>
      </w:r>
      <w:r>
        <w:rPr>
          <w:rFonts w:hint="eastAsia" w:cs="Arial"/>
          <w:color w:val="000000" w:themeColor="text1"/>
          <w14:textFill>
            <w14:solidFill>
              <w14:schemeClr w14:val="tx1"/>
            </w14:solidFill>
          </w14:textFill>
        </w:rPr>
        <w:t>内容</w:t>
      </w:r>
      <w:r>
        <w:rPr>
          <w:rFonts w:cs="Arial"/>
          <w:color w:val="000000" w:themeColor="text1"/>
          <w14:textFill>
            <w14:solidFill>
              <w14:schemeClr w14:val="tx1"/>
            </w14:solidFill>
          </w14:textFill>
        </w:rPr>
        <w:t>是真实的、准确的</w:t>
      </w:r>
      <w:r>
        <w:rPr>
          <w:rFonts w:hint="eastAsia" w:cs="Arial"/>
          <w:color w:val="000000" w:themeColor="text1"/>
          <w14:textFill>
            <w14:solidFill>
              <w14:schemeClr w14:val="tx1"/>
            </w14:solidFill>
          </w14:textFill>
        </w:rPr>
        <w:t>，您有权进行您认为必要的所有调查。</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谈判供应商的名称：</w:t>
      </w:r>
      <w:r>
        <w:rPr>
          <w:rFonts w:hint="eastAsia"/>
          <w:color w:val="000000" w:themeColor="text1"/>
          <w14:textFill>
            <w14:solidFill>
              <w14:schemeClr w14:val="tx1"/>
            </w14:solidFill>
          </w14:textFill>
        </w:rPr>
        <w:tab/>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授权签署本资格文件的签字人姓名、职务（印刷字体)：</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谈判供应商盖章： </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邮编：</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r>
        <w:rPr>
          <w:color w:val="000000" w:themeColor="text1"/>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附件6－2. 法定代表人证明书格式</w:t>
      </w:r>
    </w:p>
    <w:p>
      <w:pPr>
        <w:spacing w:line="36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法定代表人证明书</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先生/小姐，现任我单位</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职务，为法定代表人，特此证明。</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有效日期：               签发日期：        单位：                 （盖章）</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附：代表人性别：        年龄：       身份证号码：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营业执照号码：                       经济性质：</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主营（产）：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兼营（产）：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进口物品经营许可证号码：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主营（产）：</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兼营（产）：</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p>
    <w:p>
      <w:pPr>
        <w:spacing w:line="360" w:lineRule="auto"/>
        <w:ind w:firstLine="422" w:firstLineChars="200"/>
        <w:rPr>
          <w:color w:val="000000" w:themeColor="text1"/>
          <w14:textFill>
            <w14:solidFill>
              <w14:schemeClr w14:val="tx1"/>
            </w14:solidFill>
          </w14:textFill>
        </w:rPr>
      </w:pPr>
      <w:r>
        <w:rPr>
          <w:rFonts w:hint="eastAsia"/>
          <w:b/>
          <w:color w:val="000000" w:themeColor="text1"/>
          <w14:textFill>
            <w14:solidFill>
              <w14:schemeClr w14:val="tx1"/>
            </w14:solidFill>
          </w14:textFill>
        </w:rPr>
        <w:t>注：法定代表人身份证明书需附法人代表身份证复印件（加盖公章）</w:t>
      </w:r>
      <w:r>
        <w:rPr>
          <w:rFonts w:hint="eastAsia" w:ascii="楷体_GB2312" w:eastAsia="楷体_GB2312"/>
          <w:b/>
          <w:color w:val="000000" w:themeColor="text1"/>
          <w:sz w:val="24"/>
          <w14:textFill>
            <w14:solidFill>
              <w14:schemeClr w14:val="tx1"/>
            </w14:solidFill>
          </w14:textFill>
        </w:rPr>
        <w:t>。</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ascii="楷体_GB2312" w:eastAsia="楷体_GB2312"/>
          <w:color w:val="000000" w:themeColor="text1"/>
          <w:sz w:val="24"/>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附件6－3.法定代表人授权书格式</w:t>
      </w:r>
    </w:p>
    <w:p>
      <w:pPr>
        <w:spacing w:line="36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法定代表人授权书</w:t>
      </w:r>
    </w:p>
    <w:p>
      <w:pPr>
        <w:spacing w:line="360" w:lineRule="auto"/>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本授权书声明：注册于</w:t>
      </w:r>
      <w:r>
        <w:rPr>
          <w:rFonts w:hint="eastAsia"/>
          <w:i/>
          <w:color w:val="000000" w:themeColor="text1"/>
          <w:u w:val="single"/>
          <w14:textFill>
            <w14:solidFill>
              <w14:schemeClr w14:val="tx1"/>
            </w14:solidFill>
          </w14:textFill>
        </w:rPr>
        <w:t>（国家或地区的名称）</w:t>
      </w:r>
      <w:r>
        <w:rPr>
          <w:rFonts w:hint="eastAsia"/>
          <w:color w:val="000000" w:themeColor="text1"/>
          <w14:textFill>
            <w14:solidFill>
              <w14:schemeClr w14:val="tx1"/>
            </w14:solidFill>
          </w14:textFill>
        </w:rPr>
        <w:t>的</w:t>
      </w:r>
      <w:r>
        <w:rPr>
          <w:rFonts w:hint="eastAsia"/>
          <w:i/>
          <w:color w:val="000000" w:themeColor="text1"/>
          <w:u w:val="single"/>
          <w14:textFill>
            <w14:solidFill>
              <w14:schemeClr w14:val="tx1"/>
            </w14:solidFill>
          </w14:textFill>
        </w:rPr>
        <w:t>（公司名称）</w:t>
      </w:r>
      <w:r>
        <w:rPr>
          <w:rFonts w:hint="eastAsia"/>
          <w:color w:val="000000" w:themeColor="text1"/>
          <w14:textFill>
            <w14:solidFill>
              <w14:schemeClr w14:val="tx1"/>
            </w14:solidFill>
          </w14:textFill>
        </w:rPr>
        <w:t>的在下面签字的</w:t>
      </w:r>
      <w:r>
        <w:rPr>
          <w:rFonts w:hint="eastAsia"/>
          <w:i/>
          <w:color w:val="000000" w:themeColor="text1"/>
          <w:u w:val="single"/>
          <w14:textFill>
            <w14:solidFill>
              <w14:schemeClr w14:val="tx1"/>
            </w14:solidFill>
          </w14:textFill>
        </w:rPr>
        <w:t>（法定代表人姓名、职务）</w:t>
      </w:r>
      <w:r>
        <w:rPr>
          <w:rFonts w:hint="eastAsia"/>
          <w:color w:val="000000" w:themeColor="text1"/>
          <w14:textFill>
            <w14:solidFill>
              <w14:schemeClr w14:val="tx1"/>
            </w14:solidFill>
          </w14:textFill>
        </w:rPr>
        <w:t>代表本公司授权</w:t>
      </w:r>
      <w:r>
        <w:rPr>
          <w:rFonts w:hint="eastAsia"/>
          <w:i/>
          <w:color w:val="000000" w:themeColor="text1"/>
          <w:u w:val="single"/>
          <w14:textFill>
            <w14:solidFill>
              <w14:schemeClr w14:val="tx1"/>
            </w14:solidFill>
          </w14:textFill>
        </w:rPr>
        <w:t>（单位名称）</w:t>
      </w:r>
      <w:r>
        <w:rPr>
          <w:rFonts w:hint="eastAsia"/>
          <w:color w:val="000000" w:themeColor="text1"/>
          <w14:textFill>
            <w14:solidFill>
              <w14:schemeClr w14:val="tx1"/>
            </w14:solidFill>
          </w14:textFill>
        </w:rPr>
        <w:t>的在下面签字的</w:t>
      </w:r>
      <w:r>
        <w:rPr>
          <w:rFonts w:hint="eastAsia"/>
          <w:i/>
          <w:color w:val="000000" w:themeColor="text1"/>
          <w:u w:val="single"/>
          <w14:textFill>
            <w14:solidFill>
              <w14:schemeClr w14:val="tx1"/>
            </w14:solidFill>
          </w14:textFill>
        </w:rPr>
        <w:t>（被授权人的姓名、职务）</w:t>
      </w:r>
      <w:r>
        <w:rPr>
          <w:rFonts w:hint="eastAsia"/>
          <w:color w:val="000000" w:themeColor="text1"/>
          <w14:textFill>
            <w14:solidFill>
              <w14:schemeClr w14:val="tx1"/>
            </w14:solidFill>
          </w14:textFill>
        </w:rPr>
        <w:t>为本公司的合法代理人，就</w:t>
      </w:r>
      <w:r>
        <w:rPr>
          <w:rFonts w:hint="eastAsia"/>
          <w:i/>
          <w:color w:val="000000" w:themeColor="text1"/>
          <w:u w:val="single"/>
          <w14:textFill>
            <w14:solidFill>
              <w14:schemeClr w14:val="tx1"/>
            </w14:solidFill>
          </w14:textFill>
        </w:rPr>
        <w:t>（项目名称）</w:t>
      </w:r>
      <w:r>
        <w:rPr>
          <w:rFonts w:hint="eastAsia"/>
          <w:color w:val="000000" w:themeColor="text1"/>
          <w14:textFill>
            <w14:solidFill>
              <w14:schemeClr w14:val="tx1"/>
            </w14:solidFill>
          </w14:textFill>
        </w:rPr>
        <w:t>投标及参加项目谈判，以本公司名义处理一切与之有关的事务。</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本授权书于</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日签字生效，特此声明。</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法定代表人签字： </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被授权人签字：　</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单位盖章：　</w:t>
      </w:r>
    </w:p>
    <w:p>
      <w:pPr>
        <w:spacing w:line="360" w:lineRule="auto"/>
        <w:ind w:firstLine="420" w:firstLineChars="200"/>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附：</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被授权人姓名：</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职务：</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详细通讯地址：</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电话：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移动电话：</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传真：</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注：1、法定代表人授权书除装订于谈判响应文件中外，还须另置一份按“谈判供应商须知”要求单独密封。</w:t>
      </w:r>
    </w:p>
    <w:p>
      <w:pPr>
        <w:spacing w:line="360" w:lineRule="auto"/>
        <w:ind w:firstLine="413" w:firstLineChars="196"/>
        <w:rPr>
          <w:color w:val="000000" w:themeColor="text1"/>
          <w14:textFill>
            <w14:solidFill>
              <w14:schemeClr w14:val="tx1"/>
            </w14:solidFill>
          </w14:textFill>
        </w:rPr>
      </w:pPr>
      <w:r>
        <w:rPr>
          <w:rFonts w:hint="eastAsia"/>
          <w:b/>
          <w:color w:val="000000" w:themeColor="text1"/>
          <w14:textFill>
            <w14:solidFill>
              <w14:schemeClr w14:val="tx1"/>
            </w14:solidFill>
          </w14:textFill>
        </w:rPr>
        <w:t>2、提供被授权人的身份证复印件盖公章。</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ascii="楷体_GB2312" w:eastAsia="楷体_GB2312"/>
          <w:color w:val="000000" w:themeColor="text1"/>
          <w:sz w:val="24"/>
          <w14:textFill>
            <w14:solidFill>
              <w14:schemeClr w14:val="tx1"/>
            </w14:solidFill>
          </w14:textFill>
        </w:rPr>
        <w:t>附件6－4经营业绩证明材料格式</w:t>
      </w:r>
    </w:p>
    <w:p>
      <w:pPr>
        <w:spacing w:line="360" w:lineRule="auto"/>
        <w:rPr>
          <w:color w:val="000000" w:themeColor="text1"/>
          <w14:textFill>
            <w14:solidFill>
              <w14:schemeClr w14:val="tx1"/>
            </w14:solidFill>
          </w14:textFill>
        </w:rPr>
      </w:pPr>
    </w:p>
    <w:p>
      <w:pPr>
        <w:spacing w:line="360" w:lineRule="auto"/>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经营业绩一览表</w:t>
      </w:r>
    </w:p>
    <w:p>
      <w:pPr>
        <w:spacing w:line="360" w:lineRule="auto"/>
        <w:jc w:val="center"/>
        <w:rPr>
          <w:color w:val="000000" w:themeColor="text1"/>
          <w14:textFill>
            <w14:solidFill>
              <w14:schemeClr w14:val="tx1"/>
            </w14:solidFill>
          </w14:textFill>
        </w:rPr>
      </w:pP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872"/>
        <w:gridCol w:w="1272"/>
        <w:gridCol w:w="1080"/>
        <w:gridCol w:w="1328"/>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采购单位</w:t>
            </w: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合同金额</w:t>
            </w: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完成时间</w:t>
            </w: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项目单位联系人及电话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8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272"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1328"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c>
          <w:tcPr>
            <w:tcW w:w="2231" w:type="dxa"/>
            <w:tcBorders>
              <w:top w:val="single" w:color="auto" w:sz="6" w:space="0"/>
              <w:left w:val="single" w:color="auto" w:sz="6" w:space="0"/>
              <w:bottom w:val="single" w:color="auto" w:sz="6" w:space="0"/>
              <w:right w:val="single" w:color="auto" w:sz="6" w:space="0"/>
            </w:tcBorders>
          </w:tcPr>
          <w:p>
            <w:pPr>
              <w:spacing w:line="360" w:lineRule="auto"/>
              <w:rPr>
                <w:color w:val="000000" w:themeColor="text1"/>
                <w14:textFill>
                  <w14:solidFill>
                    <w14:schemeClr w14:val="tx1"/>
                  </w14:solidFill>
                </w14:textFill>
              </w:rPr>
            </w:pPr>
          </w:p>
        </w:tc>
      </w:tr>
    </w:tbl>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谈判供应商代表签字：</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谈判供应商盖章：</w:t>
      </w:r>
    </w:p>
    <w:p>
      <w:pPr>
        <w:spacing w:line="360" w:lineRule="auto"/>
        <w:rPr>
          <w:color w:val="000000" w:themeColor="text1"/>
          <w14:textFill>
            <w14:solidFill>
              <w14:schemeClr w14:val="tx1"/>
            </w14:solidFill>
          </w14:textFill>
        </w:rPr>
      </w:pP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注：</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主要经营业绩须提交中标通知书或合同复印件并加盖公章， 供应商资格要求中对合格供应商经营业绩有特殊要求的应按其要求提交资料。 </w:t>
      </w:r>
    </w:p>
    <w:p>
      <w:pPr>
        <w:spacing w:line="360" w:lineRule="auto"/>
        <w:rPr>
          <w:rFonts w:ascii="宋体" w:hAnsi="宋体" w:cs="Arial"/>
          <w:color w:val="000000"/>
        </w:rPr>
      </w:pPr>
    </w:p>
    <w:sectPr>
      <w:headerReference r:id="rId3" w:type="default"/>
      <w:footerReference r:id="rId4" w:type="default"/>
      <w:pgSz w:w="11906" w:h="16838"/>
      <w:pgMar w:top="1440" w:right="1800" w:bottom="1440" w:left="1800" w:header="426"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95282"/>
      <w:docPartObj>
        <w:docPartGallery w:val="autotext"/>
      </w:docPartObj>
    </w:sdtPr>
    <w:sdtContent>
      <w:sdt>
        <w:sdtPr>
          <w:id w:val="171357217"/>
          <w:docPartObj>
            <w:docPartGallery w:val="autotext"/>
          </w:docPartObj>
        </w:sdtPr>
        <w:sdtContent>
          <w:p>
            <w:pPr>
              <w:pStyle w:val="11"/>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34</w:t>
            </w:r>
            <w:r>
              <w:rPr>
                <w:b/>
                <w:sz w:val="24"/>
                <w:szCs w:val="24"/>
              </w:rPr>
              <w:fldChar w:fldCharType="end"/>
            </w:r>
          </w:p>
        </w:sdtContent>
      </w:sdt>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720" w:firstLineChars="400"/>
      <w:jc w:val="left"/>
    </w:pPr>
    <w:r>
      <w:rPr>
        <w:rFonts w:hint="eastAsia" w:ascii="幼圆" w:eastAsia="幼圆"/>
      </w:rPr>
      <w:drawing>
        <wp:anchor distT="0" distB="0" distL="114300" distR="114300" simplePos="0" relativeHeight="251659264" behindDoc="0" locked="0" layoutInCell="1" allowOverlap="1">
          <wp:simplePos x="0" y="0"/>
          <wp:positionH relativeFrom="column">
            <wp:posOffset>15875</wp:posOffset>
          </wp:positionH>
          <wp:positionV relativeFrom="paragraph">
            <wp:posOffset>-87630</wp:posOffset>
          </wp:positionV>
          <wp:extent cx="400050" cy="276225"/>
          <wp:effectExtent l="0" t="0" r="0" b="9525"/>
          <wp:wrapNone/>
          <wp:docPr id="1" name="图片 1" descr="集团 logo 中英全称 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 logo 中英全称 横"/>
                  <pic:cNvPicPr>
                    <a:picLocks noChangeAspect="1" noChangeArrowheads="1"/>
                  </pic:cNvPicPr>
                </pic:nvPicPr>
                <pic:blipFill>
                  <a:blip r:embed="rId1">
                    <a:extLst>
                      <a:ext uri="{28A0092B-C50C-407E-A947-70E740481C1C}">
                        <a14:useLocalDpi xmlns:a14="http://schemas.microsoft.com/office/drawing/2010/main" val="0"/>
                      </a:ext>
                    </a:extLst>
                  </a:blip>
                  <a:srcRect r="60332"/>
                  <a:stretch>
                    <a:fillRect/>
                  </a:stretch>
                </pic:blipFill>
                <pic:spPr>
                  <a:xfrm>
                    <a:off x="0" y="0"/>
                    <a:ext cx="400050" cy="276225"/>
                  </a:xfrm>
                  <a:prstGeom prst="rect">
                    <a:avLst/>
                  </a:prstGeom>
                  <a:noFill/>
                  <a:ln>
                    <a:noFill/>
                  </a:ln>
                </pic:spPr>
              </pic:pic>
            </a:graphicData>
          </a:graphic>
        </wp:anchor>
      </w:drawing>
    </w:r>
    <w:r>
      <w:rPr>
        <w:rFonts w:hint="eastAsia" w:ascii="幼圆" w:eastAsia="幼圆"/>
        <w:lang w:eastAsia="zh-CN"/>
      </w:rPr>
      <w:t>深圳市设计之都运营发展有限公司</w:t>
    </w:r>
    <w:r>
      <w:rPr>
        <w:rFonts w:hint="eastAsia" w:ascii="幼圆" w:eastAsia="幼圆"/>
      </w:rPr>
      <w:t xml:space="preserve">   </w:t>
    </w:r>
    <w:r>
      <w:rPr>
        <w:rFonts w:hint="eastAsia"/>
      </w:rPr>
      <w:t xml:space="preserve">                    </w:t>
    </w:r>
    <w:r>
      <w:rPr>
        <w:rFonts w:hint="eastAsia" w:ascii="黑体" w:eastAsia="黑体" w:hAnsiTheme="minorEastAsia"/>
        <w:color w:val="000000"/>
      </w:rPr>
      <w:t>招标编号：</w:t>
    </w:r>
    <w:r>
      <w:rPr>
        <w:rFonts w:ascii="黑体" w:eastAsia="黑体" w:hAnsiTheme="minorEastAsia"/>
        <w:color w:val="000000"/>
      </w:rPr>
      <w:t>S</w:t>
    </w:r>
    <w:r>
      <w:rPr>
        <w:rFonts w:hint="eastAsia" w:ascii="黑体" w:eastAsia="黑体" w:hAnsiTheme="minorEastAsia"/>
        <w:color w:val="000000"/>
        <w:lang w:val="en-US" w:eastAsia="zh-CN"/>
      </w:rPr>
      <w:t>JZD-2024</w:t>
    </w:r>
    <w:r>
      <w:rPr>
        <w:rFonts w:hint="eastAsia" w:ascii="黑体" w:eastAsia="黑体" w:hAnsiTheme="minorEastAsia"/>
        <w:color w:val="000000"/>
        <w:highlight w:val="none"/>
        <w:lang w:val="en-US" w:eastAsia="zh-CN"/>
      </w:rPr>
      <w:t>012</w:t>
    </w:r>
    <w:r>
      <w:rPr>
        <w:rFonts w:hint="eastAsia"/>
        <w:highlight w:val="none"/>
      </w:rPr>
      <w:t xml:space="preserve">  </w:t>
    </w:r>
    <w:r>
      <w:rPr>
        <w:rFonts w:hint="eastAsia"/>
      </w:rPr>
      <w:t xml:space="preserve">  </w:t>
    </w:r>
    <w:r>
      <w:ptab w:relativeTo="margin" w:alignment="right" w:leader="none"/>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8CB35"/>
    <w:multiLevelType w:val="singleLevel"/>
    <w:tmpl w:val="8088CB35"/>
    <w:lvl w:ilvl="0" w:tentative="0">
      <w:start w:val="1"/>
      <w:numFmt w:val="decimal"/>
      <w:lvlText w:val="%1."/>
      <w:lvlJc w:val="left"/>
      <w:pPr>
        <w:tabs>
          <w:tab w:val="left" w:pos="312"/>
        </w:tabs>
      </w:pPr>
    </w:lvl>
  </w:abstractNum>
  <w:abstractNum w:abstractNumId="1">
    <w:nsid w:val="8602B03F"/>
    <w:multiLevelType w:val="singleLevel"/>
    <w:tmpl w:val="8602B03F"/>
    <w:lvl w:ilvl="0" w:tentative="0">
      <w:start w:val="1"/>
      <w:numFmt w:val="decimal"/>
      <w:lvlText w:val="%1."/>
      <w:lvlJc w:val="left"/>
      <w:pPr>
        <w:tabs>
          <w:tab w:val="left" w:pos="312"/>
        </w:tabs>
      </w:pPr>
    </w:lvl>
  </w:abstractNum>
  <w:abstractNum w:abstractNumId="2">
    <w:nsid w:val="9E6699F0"/>
    <w:multiLevelType w:val="singleLevel"/>
    <w:tmpl w:val="9E6699F0"/>
    <w:lvl w:ilvl="0" w:tentative="0">
      <w:start w:val="1"/>
      <w:numFmt w:val="decimal"/>
      <w:lvlText w:val="%1."/>
      <w:lvlJc w:val="left"/>
      <w:pPr>
        <w:ind w:left="425" w:hanging="425"/>
      </w:pPr>
      <w:rPr>
        <w:rFonts w:hint="default"/>
      </w:rPr>
    </w:lvl>
  </w:abstractNum>
  <w:abstractNum w:abstractNumId="3">
    <w:nsid w:val="AA98FB27"/>
    <w:multiLevelType w:val="singleLevel"/>
    <w:tmpl w:val="AA98FB27"/>
    <w:lvl w:ilvl="0" w:tentative="0">
      <w:start w:val="1"/>
      <w:numFmt w:val="chineseCounting"/>
      <w:suff w:val="nothing"/>
      <w:lvlText w:val="%1、"/>
      <w:lvlJc w:val="left"/>
      <w:pPr>
        <w:ind w:left="0" w:firstLine="420"/>
      </w:pPr>
      <w:rPr>
        <w:rFonts w:hint="eastAsia" w:ascii="宋体" w:hAnsi="宋体" w:eastAsia="宋体" w:cs="宋体"/>
        <w:b/>
        <w:bCs/>
        <w:sz w:val="21"/>
        <w:szCs w:val="21"/>
      </w:rPr>
    </w:lvl>
  </w:abstractNum>
  <w:abstractNum w:abstractNumId="4">
    <w:nsid w:val="AB4D9221"/>
    <w:multiLevelType w:val="singleLevel"/>
    <w:tmpl w:val="AB4D9221"/>
    <w:lvl w:ilvl="0" w:tentative="0">
      <w:start w:val="1"/>
      <w:numFmt w:val="decimal"/>
      <w:suff w:val="nothing"/>
      <w:lvlText w:val="%1、"/>
      <w:lvlJc w:val="left"/>
    </w:lvl>
  </w:abstractNum>
  <w:abstractNum w:abstractNumId="5">
    <w:nsid w:val="B3D7E7F0"/>
    <w:multiLevelType w:val="singleLevel"/>
    <w:tmpl w:val="B3D7E7F0"/>
    <w:lvl w:ilvl="0" w:tentative="0">
      <w:start w:val="1"/>
      <w:numFmt w:val="chineseCounting"/>
      <w:suff w:val="space"/>
      <w:lvlText w:val="第%1条"/>
      <w:lvlJc w:val="left"/>
      <w:rPr>
        <w:rFonts w:hint="eastAsia"/>
        <w:sz w:val="21"/>
        <w:szCs w:val="21"/>
      </w:rPr>
    </w:lvl>
  </w:abstractNum>
  <w:abstractNum w:abstractNumId="6">
    <w:nsid w:val="B6CF9086"/>
    <w:multiLevelType w:val="multilevel"/>
    <w:tmpl w:val="B6CF9086"/>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C3E702CA"/>
    <w:multiLevelType w:val="multilevel"/>
    <w:tmpl w:val="C3E702C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b w:val="0"/>
        <w:bCs w:val="0"/>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8">
    <w:nsid w:val="C449E0B6"/>
    <w:multiLevelType w:val="singleLevel"/>
    <w:tmpl w:val="C449E0B6"/>
    <w:lvl w:ilvl="0" w:tentative="0">
      <w:start w:val="1"/>
      <w:numFmt w:val="decimal"/>
      <w:lvlText w:val="%1."/>
      <w:lvlJc w:val="left"/>
      <w:pPr>
        <w:ind w:left="425" w:hanging="425"/>
      </w:pPr>
      <w:rPr>
        <w:rFonts w:hint="default"/>
      </w:rPr>
    </w:lvl>
  </w:abstractNum>
  <w:abstractNum w:abstractNumId="9">
    <w:nsid w:val="CAE2B055"/>
    <w:multiLevelType w:val="singleLevel"/>
    <w:tmpl w:val="CAE2B055"/>
    <w:lvl w:ilvl="0" w:tentative="0">
      <w:start w:val="1"/>
      <w:numFmt w:val="chineseCounting"/>
      <w:suff w:val="nothing"/>
      <w:lvlText w:val="（%1）"/>
      <w:lvlJc w:val="left"/>
      <w:pPr>
        <w:ind w:left="0" w:firstLine="420"/>
      </w:pPr>
      <w:rPr>
        <w:rFonts w:hint="eastAsia"/>
        <w:sz w:val="21"/>
        <w:szCs w:val="21"/>
      </w:rPr>
    </w:lvl>
  </w:abstractNum>
  <w:abstractNum w:abstractNumId="10">
    <w:nsid w:val="D1D02884"/>
    <w:multiLevelType w:val="singleLevel"/>
    <w:tmpl w:val="D1D02884"/>
    <w:lvl w:ilvl="0" w:tentative="0">
      <w:start w:val="8"/>
      <w:numFmt w:val="decimal"/>
      <w:suff w:val="space"/>
      <w:lvlText w:val="%1."/>
      <w:lvlJc w:val="left"/>
    </w:lvl>
  </w:abstractNum>
  <w:abstractNum w:abstractNumId="11">
    <w:nsid w:val="DF1AEA30"/>
    <w:multiLevelType w:val="singleLevel"/>
    <w:tmpl w:val="DF1AEA30"/>
    <w:lvl w:ilvl="0" w:tentative="0">
      <w:start w:val="1"/>
      <w:numFmt w:val="decimal"/>
      <w:lvlText w:val="%1."/>
      <w:lvlJc w:val="left"/>
      <w:pPr>
        <w:ind w:left="425" w:hanging="425"/>
      </w:pPr>
      <w:rPr>
        <w:rFonts w:hint="default"/>
      </w:rPr>
    </w:lvl>
  </w:abstractNum>
  <w:abstractNum w:abstractNumId="12">
    <w:nsid w:val="05901FB6"/>
    <w:multiLevelType w:val="multilevel"/>
    <w:tmpl w:val="05901FB6"/>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3">
    <w:nsid w:val="0CACA2A7"/>
    <w:multiLevelType w:val="multilevel"/>
    <w:tmpl w:val="0CACA2A7"/>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4">
    <w:nsid w:val="0FA901D1"/>
    <w:multiLevelType w:val="multilevel"/>
    <w:tmpl w:val="0FA901D1"/>
    <w:lvl w:ilvl="0" w:tentative="0">
      <w:start w:val="1"/>
      <w:numFmt w:val="decimal"/>
      <w:lvlText w:val="%1."/>
      <w:lvlJc w:val="left"/>
      <w:pPr>
        <w:ind w:left="360" w:hanging="360"/>
      </w:pPr>
      <w:rPr>
        <w:rFonts w:hint="default" w:ascii="宋体" w:hAnsi="宋体" w:eastAsia="宋体" w:cs="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125D77E"/>
    <w:multiLevelType w:val="singleLevel"/>
    <w:tmpl w:val="1125D77E"/>
    <w:lvl w:ilvl="0" w:tentative="0">
      <w:start w:val="1"/>
      <w:numFmt w:val="chineseCounting"/>
      <w:suff w:val="nothing"/>
      <w:lvlText w:val="（%1）"/>
      <w:lvlJc w:val="left"/>
      <w:pPr>
        <w:ind w:left="0" w:firstLine="420"/>
      </w:pPr>
      <w:rPr>
        <w:rFonts w:hint="eastAsia"/>
        <w:sz w:val="21"/>
        <w:szCs w:val="21"/>
      </w:rPr>
    </w:lvl>
  </w:abstractNum>
  <w:abstractNum w:abstractNumId="16">
    <w:nsid w:val="1235D5CC"/>
    <w:multiLevelType w:val="singleLevel"/>
    <w:tmpl w:val="1235D5CC"/>
    <w:lvl w:ilvl="0" w:tentative="0">
      <w:start w:val="1"/>
      <w:numFmt w:val="chineseCounting"/>
      <w:suff w:val="nothing"/>
      <w:lvlText w:val="%1、"/>
      <w:lvlJc w:val="left"/>
      <w:pPr>
        <w:ind w:left="0" w:firstLine="420"/>
      </w:pPr>
      <w:rPr>
        <w:rFonts w:hint="eastAsia"/>
      </w:rPr>
    </w:lvl>
  </w:abstractNum>
  <w:abstractNum w:abstractNumId="17">
    <w:nsid w:val="1AAE26CD"/>
    <w:multiLevelType w:val="singleLevel"/>
    <w:tmpl w:val="1AAE26CD"/>
    <w:lvl w:ilvl="0" w:tentative="0">
      <w:start w:val="1"/>
      <w:numFmt w:val="chineseCounting"/>
      <w:suff w:val="nothing"/>
      <w:lvlText w:val="%1、"/>
      <w:lvlJc w:val="left"/>
      <w:pPr>
        <w:ind w:left="0" w:firstLine="420"/>
      </w:pPr>
      <w:rPr>
        <w:rFonts w:hint="eastAsia"/>
      </w:rPr>
    </w:lvl>
  </w:abstractNum>
  <w:abstractNum w:abstractNumId="18">
    <w:nsid w:val="41C443D3"/>
    <w:multiLevelType w:val="multilevel"/>
    <w:tmpl w:val="41C443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83150FD"/>
    <w:multiLevelType w:val="multilevel"/>
    <w:tmpl w:val="483150FD"/>
    <w:lvl w:ilvl="0" w:tentative="0">
      <w:start w:val="1"/>
      <w:numFmt w:val="decimal"/>
      <w:lvlText w:val="%1)"/>
      <w:lvlJc w:val="left"/>
      <w:pPr>
        <w:tabs>
          <w:tab w:val="left" w:pos="840"/>
        </w:tabs>
        <w:ind w:left="840" w:hanging="420"/>
      </w:pPr>
      <w:rPr>
        <w:rFonts w:hint="eastAsia"/>
        <w:b w:val="0"/>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20">
    <w:nsid w:val="4B56A6B0"/>
    <w:multiLevelType w:val="singleLevel"/>
    <w:tmpl w:val="4B56A6B0"/>
    <w:lvl w:ilvl="0" w:tentative="0">
      <w:start w:val="1"/>
      <w:numFmt w:val="decimal"/>
      <w:lvlText w:val="%1."/>
      <w:lvlJc w:val="left"/>
      <w:pPr>
        <w:ind w:left="425" w:hanging="425"/>
      </w:pPr>
      <w:rPr>
        <w:rFonts w:hint="default"/>
      </w:rPr>
    </w:lvl>
  </w:abstractNum>
  <w:abstractNum w:abstractNumId="21">
    <w:nsid w:val="5B447A09"/>
    <w:multiLevelType w:val="multilevel"/>
    <w:tmpl w:val="5B447A09"/>
    <w:lvl w:ilvl="0" w:tentative="0">
      <w:start w:val="1"/>
      <w:numFmt w:val="decimal"/>
      <w:lvlText w:val="%1．"/>
      <w:lvlJc w:val="left"/>
      <w:pPr>
        <w:ind w:left="420" w:hanging="420"/>
      </w:pPr>
      <w:rPr>
        <w:rFonts w:hint="eastAsia" w:hAnsi="Aria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7"/>
  </w:num>
  <w:num w:numId="3">
    <w:abstractNumId w:val="14"/>
  </w:num>
  <w:num w:numId="4">
    <w:abstractNumId w:val="19"/>
  </w:num>
  <w:num w:numId="5">
    <w:abstractNumId w:val="12"/>
  </w:num>
  <w:num w:numId="6">
    <w:abstractNumId w:val="13"/>
  </w:num>
  <w:num w:numId="7">
    <w:abstractNumId w:val="3"/>
  </w:num>
  <w:num w:numId="8">
    <w:abstractNumId w:val="4"/>
  </w:num>
  <w:num w:numId="9">
    <w:abstractNumId w:val="9"/>
  </w:num>
  <w:num w:numId="10">
    <w:abstractNumId w:val="5"/>
  </w:num>
  <w:num w:numId="11">
    <w:abstractNumId w:val="0"/>
  </w:num>
  <w:num w:numId="12">
    <w:abstractNumId w:val="11"/>
  </w:num>
  <w:num w:numId="13">
    <w:abstractNumId w:val="20"/>
  </w:num>
  <w:num w:numId="14">
    <w:abstractNumId w:val="15"/>
  </w:num>
  <w:num w:numId="15">
    <w:abstractNumId w:val="1"/>
  </w:num>
  <w:num w:numId="16">
    <w:abstractNumId w:val="8"/>
  </w:num>
  <w:num w:numId="17">
    <w:abstractNumId w:val="10"/>
  </w:num>
  <w:num w:numId="18">
    <w:abstractNumId w:val="18"/>
  </w:num>
  <w:num w:numId="19">
    <w:abstractNumId w:val="7"/>
  </w:num>
  <w:num w:numId="20">
    <w:abstractNumId w:val="2"/>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N2M2NTYyMDA2NDM0MjQ2MjBkMWVhY2FkODk4ODQifQ=="/>
    <w:docVar w:name="KSO_WPS_MARK_KEY" w:val="51f60755-48bc-4ad4-b958-1b81c92c2ae7"/>
  </w:docVars>
  <w:rsids>
    <w:rsidRoot w:val="00075BC4"/>
    <w:rsid w:val="00000F07"/>
    <w:rsid w:val="00035849"/>
    <w:rsid w:val="00040640"/>
    <w:rsid w:val="0005064A"/>
    <w:rsid w:val="000572B2"/>
    <w:rsid w:val="00075BC4"/>
    <w:rsid w:val="00087EB5"/>
    <w:rsid w:val="000A2874"/>
    <w:rsid w:val="000C0AED"/>
    <w:rsid w:val="000D2B38"/>
    <w:rsid w:val="000E41A0"/>
    <w:rsid w:val="001051A7"/>
    <w:rsid w:val="0010749D"/>
    <w:rsid w:val="0014469F"/>
    <w:rsid w:val="00191DC3"/>
    <w:rsid w:val="001B5667"/>
    <w:rsid w:val="001C5FAC"/>
    <w:rsid w:val="001D4972"/>
    <w:rsid w:val="001E0430"/>
    <w:rsid w:val="001E0E78"/>
    <w:rsid w:val="001F2703"/>
    <w:rsid w:val="002149B1"/>
    <w:rsid w:val="00251253"/>
    <w:rsid w:val="00254FCE"/>
    <w:rsid w:val="002562AD"/>
    <w:rsid w:val="002649E0"/>
    <w:rsid w:val="00270AB1"/>
    <w:rsid w:val="00291869"/>
    <w:rsid w:val="00313253"/>
    <w:rsid w:val="00320E80"/>
    <w:rsid w:val="00325523"/>
    <w:rsid w:val="0034217C"/>
    <w:rsid w:val="00365738"/>
    <w:rsid w:val="00395F84"/>
    <w:rsid w:val="003B11E0"/>
    <w:rsid w:val="003D4E56"/>
    <w:rsid w:val="0043769C"/>
    <w:rsid w:val="004423C5"/>
    <w:rsid w:val="00471D3A"/>
    <w:rsid w:val="00472F4C"/>
    <w:rsid w:val="00474D0D"/>
    <w:rsid w:val="00483084"/>
    <w:rsid w:val="00494236"/>
    <w:rsid w:val="00495D3A"/>
    <w:rsid w:val="00514F41"/>
    <w:rsid w:val="00521509"/>
    <w:rsid w:val="0054725A"/>
    <w:rsid w:val="00560DB4"/>
    <w:rsid w:val="005D6E6E"/>
    <w:rsid w:val="005F25BC"/>
    <w:rsid w:val="0060142B"/>
    <w:rsid w:val="006135AB"/>
    <w:rsid w:val="006150A4"/>
    <w:rsid w:val="00630494"/>
    <w:rsid w:val="00640E40"/>
    <w:rsid w:val="006A7D24"/>
    <w:rsid w:val="006B0B1B"/>
    <w:rsid w:val="006C6BF1"/>
    <w:rsid w:val="006F1F09"/>
    <w:rsid w:val="006F3A3C"/>
    <w:rsid w:val="006F6A5F"/>
    <w:rsid w:val="007007C0"/>
    <w:rsid w:val="00747DB6"/>
    <w:rsid w:val="00790AD2"/>
    <w:rsid w:val="007A1C76"/>
    <w:rsid w:val="007D3E0B"/>
    <w:rsid w:val="007F38CC"/>
    <w:rsid w:val="0086085D"/>
    <w:rsid w:val="008642FE"/>
    <w:rsid w:val="0088180B"/>
    <w:rsid w:val="008A2235"/>
    <w:rsid w:val="008B410A"/>
    <w:rsid w:val="008B7D85"/>
    <w:rsid w:val="008E0748"/>
    <w:rsid w:val="009164D4"/>
    <w:rsid w:val="00935A72"/>
    <w:rsid w:val="009565BE"/>
    <w:rsid w:val="00977470"/>
    <w:rsid w:val="009B5FFC"/>
    <w:rsid w:val="009E30E4"/>
    <w:rsid w:val="00A000AD"/>
    <w:rsid w:val="00A00DCF"/>
    <w:rsid w:val="00A0142B"/>
    <w:rsid w:val="00A065C0"/>
    <w:rsid w:val="00A11B41"/>
    <w:rsid w:val="00A2514D"/>
    <w:rsid w:val="00A32CC1"/>
    <w:rsid w:val="00A4290C"/>
    <w:rsid w:val="00A51E1D"/>
    <w:rsid w:val="00A72602"/>
    <w:rsid w:val="00AB0FD1"/>
    <w:rsid w:val="00AB273A"/>
    <w:rsid w:val="00B25D55"/>
    <w:rsid w:val="00B66C29"/>
    <w:rsid w:val="00B97670"/>
    <w:rsid w:val="00BA7F7D"/>
    <w:rsid w:val="00BD1CEE"/>
    <w:rsid w:val="00BD661B"/>
    <w:rsid w:val="00C029A6"/>
    <w:rsid w:val="00C11E19"/>
    <w:rsid w:val="00C64CDB"/>
    <w:rsid w:val="00C827C2"/>
    <w:rsid w:val="00C953C1"/>
    <w:rsid w:val="00CA0A3A"/>
    <w:rsid w:val="00CE7AE6"/>
    <w:rsid w:val="00CF2C87"/>
    <w:rsid w:val="00D124A3"/>
    <w:rsid w:val="00D41E9E"/>
    <w:rsid w:val="00D509CD"/>
    <w:rsid w:val="00D6371F"/>
    <w:rsid w:val="00D9369D"/>
    <w:rsid w:val="00D96D2A"/>
    <w:rsid w:val="00DA4184"/>
    <w:rsid w:val="00DB7897"/>
    <w:rsid w:val="00DE320E"/>
    <w:rsid w:val="00DE6082"/>
    <w:rsid w:val="00DE70C3"/>
    <w:rsid w:val="00DF08A3"/>
    <w:rsid w:val="00E01B57"/>
    <w:rsid w:val="00E15A60"/>
    <w:rsid w:val="00E453F2"/>
    <w:rsid w:val="00E53D36"/>
    <w:rsid w:val="00E57A00"/>
    <w:rsid w:val="00E75511"/>
    <w:rsid w:val="00E850F1"/>
    <w:rsid w:val="00EB01BF"/>
    <w:rsid w:val="00EB4CF2"/>
    <w:rsid w:val="00EE6008"/>
    <w:rsid w:val="00EE79AB"/>
    <w:rsid w:val="00F1399B"/>
    <w:rsid w:val="00F2493E"/>
    <w:rsid w:val="00F43901"/>
    <w:rsid w:val="00F45294"/>
    <w:rsid w:val="00F51181"/>
    <w:rsid w:val="00F60BD0"/>
    <w:rsid w:val="00F66243"/>
    <w:rsid w:val="00F82BAC"/>
    <w:rsid w:val="00F8398B"/>
    <w:rsid w:val="00FA7DBC"/>
    <w:rsid w:val="00FC1E30"/>
    <w:rsid w:val="00FD0A9E"/>
    <w:rsid w:val="00FD44CF"/>
    <w:rsid w:val="00FE16A0"/>
    <w:rsid w:val="00FF61C1"/>
    <w:rsid w:val="013D1841"/>
    <w:rsid w:val="01D1660C"/>
    <w:rsid w:val="02783976"/>
    <w:rsid w:val="035F4058"/>
    <w:rsid w:val="03661CA4"/>
    <w:rsid w:val="03936690"/>
    <w:rsid w:val="042E35BE"/>
    <w:rsid w:val="044B76B8"/>
    <w:rsid w:val="049F168E"/>
    <w:rsid w:val="04D34972"/>
    <w:rsid w:val="051E21FC"/>
    <w:rsid w:val="05341DD6"/>
    <w:rsid w:val="05483AD3"/>
    <w:rsid w:val="05EA2DDC"/>
    <w:rsid w:val="062B2B49"/>
    <w:rsid w:val="0644429B"/>
    <w:rsid w:val="078D7E04"/>
    <w:rsid w:val="08675989"/>
    <w:rsid w:val="08EC3C9C"/>
    <w:rsid w:val="095347F5"/>
    <w:rsid w:val="09A97202"/>
    <w:rsid w:val="0A494730"/>
    <w:rsid w:val="0A535A33"/>
    <w:rsid w:val="0A5F7293"/>
    <w:rsid w:val="0AC43BFC"/>
    <w:rsid w:val="0BAC6132"/>
    <w:rsid w:val="0C0614F4"/>
    <w:rsid w:val="0C473C58"/>
    <w:rsid w:val="0C486A13"/>
    <w:rsid w:val="0C57284E"/>
    <w:rsid w:val="0D156991"/>
    <w:rsid w:val="0D240982"/>
    <w:rsid w:val="0D2766C4"/>
    <w:rsid w:val="0D8E6766"/>
    <w:rsid w:val="0E010CC3"/>
    <w:rsid w:val="0E1028CD"/>
    <w:rsid w:val="0E7A765E"/>
    <w:rsid w:val="0EEA1757"/>
    <w:rsid w:val="0F334EAC"/>
    <w:rsid w:val="0F6C5013"/>
    <w:rsid w:val="0F7A0D2D"/>
    <w:rsid w:val="101C6EA5"/>
    <w:rsid w:val="10883BA1"/>
    <w:rsid w:val="10A67900"/>
    <w:rsid w:val="110E2943"/>
    <w:rsid w:val="11446C05"/>
    <w:rsid w:val="12771554"/>
    <w:rsid w:val="12C624DB"/>
    <w:rsid w:val="13892D03"/>
    <w:rsid w:val="1410604D"/>
    <w:rsid w:val="14164D9C"/>
    <w:rsid w:val="14172FEE"/>
    <w:rsid w:val="14CD31AF"/>
    <w:rsid w:val="14EF6207"/>
    <w:rsid w:val="150F589E"/>
    <w:rsid w:val="153F59F6"/>
    <w:rsid w:val="157B75AD"/>
    <w:rsid w:val="159B6C13"/>
    <w:rsid w:val="16EB0762"/>
    <w:rsid w:val="16F5338F"/>
    <w:rsid w:val="170F165A"/>
    <w:rsid w:val="17282396"/>
    <w:rsid w:val="17361823"/>
    <w:rsid w:val="177559EB"/>
    <w:rsid w:val="185F1ECC"/>
    <w:rsid w:val="18DC2AE8"/>
    <w:rsid w:val="18E10F23"/>
    <w:rsid w:val="193F689E"/>
    <w:rsid w:val="19A00E89"/>
    <w:rsid w:val="19C534ED"/>
    <w:rsid w:val="1A0F29BA"/>
    <w:rsid w:val="1AD87250"/>
    <w:rsid w:val="1C2344FA"/>
    <w:rsid w:val="1C2C344C"/>
    <w:rsid w:val="1C8F6548"/>
    <w:rsid w:val="1C982DC5"/>
    <w:rsid w:val="1D7F5576"/>
    <w:rsid w:val="1DF60118"/>
    <w:rsid w:val="1E2A0E82"/>
    <w:rsid w:val="1E334EC9"/>
    <w:rsid w:val="1F2504CB"/>
    <w:rsid w:val="1F9A7964"/>
    <w:rsid w:val="1FE761AE"/>
    <w:rsid w:val="20CE041B"/>
    <w:rsid w:val="21A67760"/>
    <w:rsid w:val="22043B6F"/>
    <w:rsid w:val="223437A6"/>
    <w:rsid w:val="22E76168"/>
    <w:rsid w:val="230C30B9"/>
    <w:rsid w:val="231D4366"/>
    <w:rsid w:val="2322375E"/>
    <w:rsid w:val="236B2A0F"/>
    <w:rsid w:val="23AA01A0"/>
    <w:rsid w:val="23E06A66"/>
    <w:rsid w:val="24150BCD"/>
    <w:rsid w:val="242B0763"/>
    <w:rsid w:val="24FE77F3"/>
    <w:rsid w:val="259E18C6"/>
    <w:rsid w:val="25BA0C9E"/>
    <w:rsid w:val="261E645E"/>
    <w:rsid w:val="266A16A4"/>
    <w:rsid w:val="272D0F38"/>
    <w:rsid w:val="27580F7E"/>
    <w:rsid w:val="27D901DB"/>
    <w:rsid w:val="283B38A8"/>
    <w:rsid w:val="28F90ABD"/>
    <w:rsid w:val="29070B9D"/>
    <w:rsid w:val="2953641F"/>
    <w:rsid w:val="295D104C"/>
    <w:rsid w:val="2C3B319A"/>
    <w:rsid w:val="2CAF3A12"/>
    <w:rsid w:val="2D572346"/>
    <w:rsid w:val="2D9011F0"/>
    <w:rsid w:val="2D9A0AA6"/>
    <w:rsid w:val="2DD1025A"/>
    <w:rsid w:val="2EC92CDF"/>
    <w:rsid w:val="30915A7F"/>
    <w:rsid w:val="30B33C47"/>
    <w:rsid w:val="30F3371F"/>
    <w:rsid w:val="314A45AB"/>
    <w:rsid w:val="318F1FBE"/>
    <w:rsid w:val="32862630"/>
    <w:rsid w:val="32C83002"/>
    <w:rsid w:val="32D566D2"/>
    <w:rsid w:val="330E5059"/>
    <w:rsid w:val="331035D3"/>
    <w:rsid w:val="33154745"/>
    <w:rsid w:val="33220BAB"/>
    <w:rsid w:val="33AC1DDC"/>
    <w:rsid w:val="33E02FA5"/>
    <w:rsid w:val="34484172"/>
    <w:rsid w:val="346904C3"/>
    <w:rsid w:val="34A23C1A"/>
    <w:rsid w:val="354B0068"/>
    <w:rsid w:val="354F39CB"/>
    <w:rsid w:val="35967540"/>
    <w:rsid w:val="35DA163E"/>
    <w:rsid w:val="35FE3BB6"/>
    <w:rsid w:val="36293C2D"/>
    <w:rsid w:val="362C24D2"/>
    <w:rsid w:val="3662413F"/>
    <w:rsid w:val="38C70CB8"/>
    <w:rsid w:val="391935A5"/>
    <w:rsid w:val="3AAE5A75"/>
    <w:rsid w:val="3ACB4F85"/>
    <w:rsid w:val="3AE4692D"/>
    <w:rsid w:val="3B1672AC"/>
    <w:rsid w:val="3B1A56C2"/>
    <w:rsid w:val="3B647709"/>
    <w:rsid w:val="3C124329"/>
    <w:rsid w:val="3C485F05"/>
    <w:rsid w:val="3CA628B2"/>
    <w:rsid w:val="3D081560"/>
    <w:rsid w:val="3D6A1B31"/>
    <w:rsid w:val="3D9F7A2D"/>
    <w:rsid w:val="3DB23467"/>
    <w:rsid w:val="3DDA6CB7"/>
    <w:rsid w:val="3EE308FB"/>
    <w:rsid w:val="3EF67B21"/>
    <w:rsid w:val="3F6727CC"/>
    <w:rsid w:val="3F8A1170"/>
    <w:rsid w:val="41641E74"/>
    <w:rsid w:val="416F6B0D"/>
    <w:rsid w:val="41B25855"/>
    <w:rsid w:val="421610D5"/>
    <w:rsid w:val="42164036"/>
    <w:rsid w:val="428B4190"/>
    <w:rsid w:val="435B3335"/>
    <w:rsid w:val="436C6603"/>
    <w:rsid w:val="43A5385B"/>
    <w:rsid w:val="43DD4C31"/>
    <w:rsid w:val="449812F5"/>
    <w:rsid w:val="44EE3048"/>
    <w:rsid w:val="45486BFC"/>
    <w:rsid w:val="4582210E"/>
    <w:rsid w:val="46050649"/>
    <w:rsid w:val="46492C2C"/>
    <w:rsid w:val="468B348B"/>
    <w:rsid w:val="46CB53EF"/>
    <w:rsid w:val="46E3440D"/>
    <w:rsid w:val="475915D3"/>
    <w:rsid w:val="47A1451B"/>
    <w:rsid w:val="486039E3"/>
    <w:rsid w:val="48747943"/>
    <w:rsid w:val="48EC0FE7"/>
    <w:rsid w:val="49357497"/>
    <w:rsid w:val="49935F6C"/>
    <w:rsid w:val="4A1B5B8C"/>
    <w:rsid w:val="4AA20B5D"/>
    <w:rsid w:val="4AB56AE2"/>
    <w:rsid w:val="4ABF56F5"/>
    <w:rsid w:val="4AE01CB2"/>
    <w:rsid w:val="4B575FCA"/>
    <w:rsid w:val="4B5B1FDD"/>
    <w:rsid w:val="4CC34DBA"/>
    <w:rsid w:val="4CD069FA"/>
    <w:rsid w:val="4D2414C2"/>
    <w:rsid w:val="4D266337"/>
    <w:rsid w:val="4D30280F"/>
    <w:rsid w:val="4D353705"/>
    <w:rsid w:val="4DA44BEC"/>
    <w:rsid w:val="4E2676B1"/>
    <w:rsid w:val="4E7D377A"/>
    <w:rsid w:val="4ED35788"/>
    <w:rsid w:val="4FAB400F"/>
    <w:rsid w:val="4FAE1D52"/>
    <w:rsid w:val="4FCE5105"/>
    <w:rsid w:val="50AA25DD"/>
    <w:rsid w:val="50DD28EE"/>
    <w:rsid w:val="51256043"/>
    <w:rsid w:val="527A5F1B"/>
    <w:rsid w:val="52D043E1"/>
    <w:rsid w:val="531E1711"/>
    <w:rsid w:val="543427CF"/>
    <w:rsid w:val="54721BF2"/>
    <w:rsid w:val="548A4B3B"/>
    <w:rsid w:val="55232C86"/>
    <w:rsid w:val="55481E7E"/>
    <w:rsid w:val="55482C14"/>
    <w:rsid w:val="56E147BB"/>
    <w:rsid w:val="58120797"/>
    <w:rsid w:val="58901EBA"/>
    <w:rsid w:val="58BE59E5"/>
    <w:rsid w:val="58FF717A"/>
    <w:rsid w:val="5A236E98"/>
    <w:rsid w:val="5A3D7F5A"/>
    <w:rsid w:val="5A6503AB"/>
    <w:rsid w:val="5ADC48C6"/>
    <w:rsid w:val="5C1949F7"/>
    <w:rsid w:val="5C384E7D"/>
    <w:rsid w:val="5C930305"/>
    <w:rsid w:val="5D401EF9"/>
    <w:rsid w:val="5D414205"/>
    <w:rsid w:val="5D5F28DD"/>
    <w:rsid w:val="5D9B12D1"/>
    <w:rsid w:val="5E0D2339"/>
    <w:rsid w:val="5E4C2A70"/>
    <w:rsid w:val="5E512226"/>
    <w:rsid w:val="5E710B1A"/>
    <w:rsid w:val="5F0674B4"/>
    <w:rsid w:val="5F560AF4"/>
    <w:rsid w:val="602A7A08"/>
    <w:rsid w:val="605C7DC8"/>
    <w:rsid w:val="609819EF"/>
    <w:rsid w:val="60CA4511"/>
    <w:rsid w:val="613D6968"/>
    <w:rsid w:val="620572E1"/>
    <w:rsid w:val="64177A6E"/>
    <w:rsid w:val="662965DD"/>
    <w:rsid w:val="662B76DC"/>
    <w:rsid w:val="668C4743"/>
    <w:rsid w:val="669C55C5"/>
    <w:rsid w:val="672229B1"/>
    <w:rsid w:val="680774E2"/>
    <w:rsid w:val="6B9145AA"/>
    <w:rsid w:val="6C200B48"/>
    <w:rsid w:val="6D952DD1"/>
    <w:rsid w:val="6DC9627D"/>
    <w:rsid w:val="6DF76824"/>
    <w:rsid w:val="6E874588"/>
    <w:rsid w:val="6FA32AFD"/>
    <w:rsid w:val="700B68B8"/>
    <w:rsid w:val="707F3039"/>
    <w:rsid w:val="70F35078"/>
    <w:rsid w:val="71D0417F"/>
    <w:rsid w:val="71F53502"/>
    <w:rsid w:val="72504F3B"/>
    <w:rsid w:val="733E17AF"/>
    <w:rsid w:val="73814F04"/>
    <w:rsid w:val="73F531FC"/>
    <w:rsid w:val="741967CA"/>
    <w:rsid w:val="745E77D3"/>
    <w:rsid w:val="74837BE2"/>
    <w:rsid w:val="74F459FA"/>
    <w:rsid w:val="75314C92"/>
    <w:rsid w:val="75756124"/>
    <w:rsid w:val="758F4452"/>
    <w:rsid w:val="75976C60"/>
    <w:rsid w:val="75BC0475"/>
    <w:rsid w:val="75DC0F26"/>
    <w:rsid w:val="76C67537"/>
    <w:rsid w:val="775F15F9"/>
    <w:rsid w:val="776C1A27"/>
    <w:rsid w:val="77D53A70"/>
    <w:rsid w:val="77DA2E34"/>
    <w:rsid w:val="77DE23DB"/>
    <w:rsid w:val="7877490D"/>
    <w:rsid w:val="7879264D"/>
    <w:rsid w:val="795457C0"/>
    <w:rsid w:val="797A667D"/>
    <w:rsid w:val="79C93160"/>
    <w:rsid w:val="7A077F60"/>
    <w:rsid w:val="7AAD7D85"/>
    <w:rsid w:val="7AC758D0"/>
    <w:rsid w:val="7C645ACD"/>
    <w:rsid w:val="7CB54BCA"/>
    <w:rsid w:val="7CBB76D8"/>
    <w:rsid w:val="7CBF3C51"/>
    <w:rsid w:val="7D580C9E"/>
    <w:rsid w:val="7EB937A4"/>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24"/>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2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lang w:val="zh-CN"/>
    </w:rPr>
  </w:style>
  <w:style w:type="paragraph" w:styleId="6">
    <w:name w:val="annotation text"/>
    <w:basedOn w:val="1"/>
    <w:semiHidden/>
    <w:qFormat/>
    <w:uiPriority w:val="0"/>
    <w:pPr>
      <w:jc w:val="left"/>
    </w:pPr>
    <w:rPr>
      <w:sz w:val="24"/>
      <w:szCs w:val="20"/>
    </w:rPr>
  </w:style>
  <w:style w:type="paragraph" w:styleId="7">
    <w:name w:val="Body Text Indent"/>
    <w:basedOn w:val="1"/>
    <w:link w:val="25"/>
    <w:qFormat/>
    <w:uiPriority w:val="0"/>
    <w:pPr>
      <w:ind w:left="2098"/>
    </w:pPr>
    <w:rPr>
      <w:rFonts w:ascii="Times New Roman" w:hAnsi="Times New Roman" w:eastAsia="宋体" w:cs="Times New Roman"/>
      <w:color w:val="000000"/>
      <w:sz w:val="24"/>
      <w:szCs w:val="24"/>
    </w:rPr>
  </w:style>
  <w:style w:type="paragraph" w:styleId="8">
    <w:name w:val="Plain Text"/>
    <w:basedOn w:val="1"/>
    <w:link w:val="26"/>
    <w:qFormat/>
    <w:uiPriority w:val="0"/>
    <w:rPr>
      <w:rFonts w:ascii="宋体" w:hAnsi="Courier New" w:eastAsia="宋体" w:cs="Courier New"/>
      <w:szCs w:val="21"/>
    </w:rPr>
  </w:style>
  <w:style w:type="paragraph" w:styleId="9">
    <w:name w:val="Date"/>
    <w:basedOn w:val="1"/>
    <w:next w:val="1"/>
    <w:link w:val="22"/>
    <w:qFormat/>
    <w:uiPriority w:val="0"/>
    <w:pPr>
      <w:autoSpaceDE w:val="0"/>
      <w:autoSpaceDN w:val="0"/>
      <w:adjustRightInd w:val="0"/>
      <w:textAlignment w:val="baseline"/>
    </w:pPr>
    <w:rPr>
      <w:rFonts w:ascii="宋体" w:hAnsi="Times New Roman" w:eastAsia="宋体" w:cs="Times New Roman"/>
      <w:kern w:val="0"/>
      <w:sz w:val="28"/>
      <w:szCs w:val="20"/>
    </w:rPr>
  </w:style>
  <w:style w:type="paragraph" w:styleId="10">
    <w:name w:val="Balloon Text"/>
    <w:basedOn w:val="1"/>
    <w:link w:val="31"/>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0"/>
    <w:pPr>
      <w:widowControl/>
      <w:spacing w:after="100" w:line="276" w:lineRule="auto"/>
      <w:jc w:val="left"/>
    </w:pPr>
    <w:rPr>
      <w:rFonts w:asciiTheme="minorHAnsi" w:hAnsiTheme="minorHAnsi" w:eastAsiaTheme="minorEastAsia" w:cstheme="minorBidi"/>
      <w:kern w:val="0"/>
      <w:sz w:val="22"/>
      <w:szCs w:val="22"/>
    </w:rPr>
  </w:style>
  <w:style w:type="paragraph" w:styleId="14">
    <w:name w:val="Normal (Web)"/>
    <w:basedOn w:val="1"/>
    <w:uiPriority w:val="99"/>
    <w:rPr>
      <w:rFonts w:ascii="Times New Roman" w:hAnsi="Times New Roman" w:eastAsia="宋体" w:cs="Times New Roman"/>
      <w:sz w:val="24"/>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semiHidden/>
    <w:qFormat/>
    <w:uiPriority w:val="0"/>
    <w:rPr>
      <w:sz w:val="21"/>
      <w:szCs w:val="21"/>
    </w:rPr>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标题 1 Char"/>
    <w:basedOn w:val="17"/>
    <w:link w:val="3"/>
    <w:qFormat/>
    <w:uiPriority w:val="0"/>
    <w:rPr>
      <w:rFonts w:ascii="Times New Roman" w:hAnsi="Times New Roman" w:eastAsia="宋体" w:cs="Times New Roman"/>
      <w:b/>
      <w:bCs/>
      <w:kern w:val="44"/>
      <w:sz w:val="44"/>
      <w:szCs w:val="44"/>
    </w:rPr>
  </w:style>
  <w:style w:type="character" w:customStyle="1" w:styleId="22">
    <w:name w:val="日期 Char"/>
    <w:basedOn w:val="17"/>
    <w:link w:val="9"/>
    <w:qFormat/>
    <w:uiPriority w:val="0"/>
    <w:rPr>
      <w:rFonts w:ascii="宋体" w:hAnsi="Times New Roman" w:eastAsia="宋体" w:cs="Times New Roman"/>
      <w:kern w:val="0"/>
      <w:sz w:val="28"/>
      <w:szCs w:val="20"/>
    </w:rPr>
  </w:style>
  <w:style w:type="paragraph" w:customStyle="1" w:styleId="23">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cs="Times New Roman"/>
      <w:kern w:val="0"/>
      <w:sz w:val="30"/>
      <w:szCs w:val="20"/>
    </w:rPr>
  </w:style>
  <w:style w:type="character" w:customStyle="1" w:styleId="24">
    <w:name w:val="标题 2 Char"/>
    <w:basedOn w:val="17"/>
    <w:link w:val="4"/>
    <w:qFormat/>
    <w:uiPriority w:val="0"/>
    <w:rPr>
      <w:rFonts w:ascii="Arial" w:hAnsi="Arial" w:eastAsia="黑体" w:cs="Times New Roman"/>
      <w:b/>
      <w:bCs/>
      <w:sz w:val="32"/>
      <w:szCs w:val="32"/>
    </w:rPr>
  </w:style>
  <w:style w:type="character" w:customStyle="1" w:styleId="25">
    <w:name w:val="正文文本缩进 Char"/>
    <w:basedOn w:val="17"/>
    <w:link w:val="7"/>
    <w:qFormat/>
    <w:uiPriority w:val="0"/>
    <w:rPr>
      <w:rFonts w:ascii="Times New Roman" w:hAnsi="Times New Roman" w:eastAsia="宋体" w:cs="Times New Roman"/>
      <w:color w:val="000000"/>
      <w:sz w:val="24"/>
      <w:szCs w:val="24"/>
    </w:rPr>
  </w:style>
  <w:style w:type="character" w:customStyle="1" w:styleId="26">
    <w:name w:val="纯文本 Char"/>
    <w:basedOn w:val="17"/>
    <w:link w:val="8"/>
    <w:qFormat/>
    <w:uiPriority w:val="0"/>
    <w:rPr>
      <w:rFonts w:ascii="宋体" w:hAnsi="Courier New" w:eastAsia="宋体" w:cs="Courier New"/>
      <w:szCs w:val="21"/>
    </w:rPr>
  </w:style>
  <w:style w:type="character" w:customStyle="1" w:styleId="27">
    <w:name w:val="标题 3 Char"/>
    <w:basedOn w:val="17"/>
    <w:link w:val="5"/>
    <w:qFormat/>
    <w:uiPriority w:val="0"/>
    <w:rPr>
      <w:rFonts w:ascii="Times New Roman" w:hAnsi="Times New Roman" w:eastAsia="宋体" w:cs="Times New Roman"/>
      <w:b/>
      <w:bCs/>
      <w:sz w:val="32"/>
      <w:szCs w:val="32"/>
    </w:rPr>
  </w:style>
  <w:style w:type="character" w:customStyle="1" w:styleId="28">
    <w:name w:val="页眉 Char"/>
    <w:basedOn w:val="17"/>
    <w:link w:val="12"/>
    <w:qFormat/>
    <w:uiPriority w:val="0"/>
    <w:rPr>
      <w:sz w:val="18"/>
      <w:szCs w:val="18"/>
    </w:rPr>
  </w:style>
  <w:style w:type="character" w:customStyle="1" w:styleId="29">
    <w:name w:val="页脚 Char"/>
    <w:basedOn w:val="17"/>
    <w:link w:val="11"/>
    <w:qFormat/>
    <w:uiPriority w:val="99"/>
    <w:rPr>
      <w:sz w:val="18"/>
      <w:szCs w:val="18"/>
    </w:rPr>
  </w:style>
  <w:style w:type="paragraph" w:styleId="30">
    <w:name w:val="List Paragraph"/>
    <w:basedOn w:val="1"/>
    <w:link w:val="32"/>
    <w:qFormat/>
    <w:uiPriority w:val="34"/>
    <w:pPr>
      <w:ind w:firstLine="420" w:firstLineChars="200"/>
    </w:pPr>
  </w:style>
  <w:style w:type="character" w:customStyle="1" w:styleId="31">
    <w:name w:val="批注框文本 Char"/>
    <w:basedOn w:val="17"/>
    <w:link w:val="10"/>
    <w:semiHidden/>
    <w:qFormat/>
    <w:uiPriority w:val="99"/>
    <w:rPr>
      <w:sz w:val="18"/>
      <w:szCs w:val="18"/>
    </w:rPr>
  </w:style>
  <w:style w:type="character" w:customStyle="1" w:styleId="32">
    <w:name w:val="列出段落 Char"/>
    <w:link w:val="30"/>
    <w:qFormat/>
    <w:locked/>
    <w:uiPriority w:val="34"/>
  </w:style>
  <w:style w:type="character" w:customStyle="1" w:styleId="33">
    <w:name w:val="标题 3 Char Char"/>
    <w:qFormat/>
    <w:uiPriority w:val="0"/>
    <w:rPr>
      <w:rFonts w:ascii="黑体" w:eastAsia="黑体"/>
      <w:bCs/>
      <w:sz w:val="30"/>
    </w:rPr>
  </w:style>
  <w:style w:type="character" w:customStyle="1" w:styleId="34">
    <w:name w:val="日期 Char1"/>
    <w:basedOn w:val="17"/>
    <w:qFormat/>
    <w:uiPriority w:val="0"/>
    <w:rPr>
      <w:rFonts w:ascii="宋体" w:hAnsi="Courier New" w:eastAsia="宋体" w:cs="Times New Roman"/>
      <w:sz w:val="32"/>
      <w:szCs w:val="20"/>
    </w:rPr>
  </w:style>
  <w:style w:type="paragraph" w:customStyle="1" w:styleId="35">
    <w:name w:val="Char Char Char"/>
    <w:basedOn w:val="1"/>
    <w:qFormat/>
    <w:uiPriority w:val="0"/>
    <w:rPr>
      <w:rFonts w:ascii="Times New Roman" w:hAnsi="Times New Roman" w:eastAsia="宋体" w:cs="Times New Roman"/>
      <w:szCs w:val="20"/>
    </w:rPr>
  </w:style>
  <w:style w:type="character" w:customStyle="1" w:styleId="36">
    <w:name w:val="email"/>
    <w:basedOn w:val="17"/>
    <w:qFormat/>
    <w:uiPriority w:val="0"/>
  </w:style>
  <w:style w:type="paragraph" w:customStyle="1" w:styleId="37">
    <w:name w:val="WPSOffice手动目录 1"/>
    <w:qFormat/>
    <w:uiPriority w:val="0"/>
    <w:pPr>
      <w:ind w:leftChars="0"/>
    </w:pPr>
    <w:rPr>
      <w:rFonts w:asciiTheme="minorHAnsi" w:hAnsiTheme="minorHAnsi" w:eastAsiaTheme="minorEastAsia" w:cstheme="minorBidi"/>
      <w:sz w:val="20"/>
      <w:szCs w:val="20"/>
    </w:rPr>
  </w:style>
  <w:style w:type="paragraph" w:customStyle="1" w:styleId="38">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9F42-6CBD-4065-BF63-5B9B717447B1}">
  <ds:schemaRefs/>
</ds:datastoreItem>
</file>

<file path=docProps/app.xml><?xml version="1.0" encoding="utf-8"?>
<Properties xmlns="http://schemas.openxmlformats.org/officeDocument/2006/extended-properties" xmlns:vt="http://schemas.openxmlformats.org/officeDocument/2006/docPropsVTypes">
  <Template>Normal</Template>
  <Company>eachome</Company>
  <Pages>30</Pages>
  <Words>15710</Words>
  <Characters>16556</Characters>
  <Lines>124</Lines>
  <Paragraphs>35</Paragraphs>
  <TotalTime>7</TotalTime>
  <ScaleCrop>false</ScaleCrop>
  <LinksUpToDate>false</LinksUpToDate>
  <CharactersWithSpaces>17380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2017-01-17T07:48:00Z</dcterms:created>
  <dc:creator>fuyuxiong</dc:creator>
  <cp:lastModifiedBy>S'</cp:lastModifiedBy>
  <cp:lastPrinted>2017-03-15T10:14:00Z</cp:lastPrinted>
  <dcterms:modified xsi:type="dcterms:W3CDTF">2024-05-31T02:52:49Z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2D31C9D845E7413AB9E422BC974F2D40_13</vt:lpwstr>
  </property>
</Properties>
</file>