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bidi w:val="0"/>
        <w:spacing w:before="0" w:after="0" w:line="360" w:lineRule="auto"/>
        <w:ind w:left="0" w:leftChars="0" w:right="0" w:firstLine="0" w:firstLineChars="0"/>
        <w:jc w:val="both"/>
        <w:outlineLvl w:val="9"/>
        <w:rPr>
          <w:rFonts w:hint="eastAsia" w:ascii="宋体" w:hAnsi="宋体" w:eastAsia="宋体" w:cs="宋体"/>
          <w:color w:val="auto"/>
          <w:sz w:val="52"/>
          <w:szCs w:val="52"/>
          <w:u w:val="none"/>
          <w:lang w:val="en-US" w:eastAsia="zh-CN"/>
        </w:rPr>
      </w:pPr>
      <w:bookmarkStart w:id="0" w:name="_Toc22882"/>
      <w:bookmarkStart w:id="1" w:name="_Toc10607"/>
    </w:p>
    <w:p>
      <w:pPr>
        <w:pStyle w:val="3"/>
        <w:pageBreakBefore w:val="0"/>
        <w:kinsoku/>
        <w:wordWrap/>
        <w:overflowPunct/>
        <w:topLinePunct w:val="0"/>
        <w:bidi w:val="0"/>
        <w:spacing w:before="0" w:after="0" w:line="360" w:lineRule="auto"/>
        <w:ind w:left="0" w:leftChars="0" w:right="0" w:firstLine="0" w:firstLineChars="0"/>
        <w:jc w:val="both"/>
        <w:outlineLvl w:val="9"/>
        <w:rPr>
          <w:rFonts w:hint="eastAsia" w:ascii="宋体" w:hAnsi="宋体" w:eastAsia="宋体" w:cs="宋体"/>
          <w:color w:val="auto"/>
          <w:sz w:val="52"/>
          <w:szCs w:val="52"/>
          <w:u w:val="none"/>
          <w:lang w:val="en-US" w:eastAsia="zh-CN"/>
        </w:rPr>
      </w:pPr>
    </w:p>
    <w:bookmarkEnd w:id="0"/>
    <w:bookmarkEnd w:id="1"/>
    <w:p>
      <w:pPr>
        <w:pStyle w:val="3"/>
        <w:spacing w:line="360" w:lineRule="auto"/>
        <w:jc w:val="center"/>
        <w:rPr>
          <w:rFonts w:hint="eastAsia" w:ascii="宋体" w:hAnsi="宋体" w:cs="宋体"/>
          <w:b/>
          <w:color w:val="auto"/>
          <w:sz w:val="52"/>
          <w:szCs w:val="52"/>
          <w:highlight w:val="none"/>
          <w:u w:val="none"/>
          <w:lang w:eastAsia="zh-CN"/>
        </w:rPr>
      </w:pPr>
      <w:bookmarkStart w:id="2" w:name="_Toc857"/>
      <w:r>
        <w:rPr>
          <w:rFonts w:hint="eastAsia" w:ascii="宋体" w:hAnsi="宋体" w:cs="宋体"/>
          <w:b/>
          <w:color w:val="auto"/>
          <w:sz w:val="52"/>
          <w:szCs w:val="52"/>
          <w:highlight w:val="none"/>
          <w:u w:val="none"/>
        </w:rPr>
        <w:t>2024年</w:t>
      </w:r>
      <w:r>
        <w:rPr>
          <w:rFonts w:hint="eastAsia" w:ascii="宋体" w:hAnsi="宋体" w:cs="宋体"/>
          <w:b/>
          <w:color w:val="auto"/>
          <w:sz w:val="52"/>
          <w:szCs w:val="52"/>
          <w:highlight w:val="none"/>
          <w:u w:val="none"/>
          <w:lang w:eastAsia="zh-CN"/>
        </w:rPr>
        <w:t>第十三届深圳动漫节</w:t>
      </w:r>
    </w:p>
    <w:p>
      <w:pPr>
        <w:pStyle w:val="3"/>
        <w:pageBreakBefore w:val="0"/>
        <w:kinsoku/>
        <w:wordWrap/>
        <w:overflowPunct/>
        <w:topLinePunct w:val="0"/>
        <w:bidi w:val="0"/>
        <w:spacing w:before="0" w:after="0" w:line="360" w:lineRule="auto"/>
        <w:ind w:left="0" w:leftChars="0" w:right="0" w:firstLine="0" w:firstLineChars="0"/>
        <w:jc w:val="center"/>
        <w:rPr>
          <w:rFonts w:hint="eastAsia" w:ascii="宋体" w:hAnsi="宋体" w:eastAsia="宋体" w:cs="宋体"/>
          <w:color w:val="auto"/>
          <w:sz w:val="52"/>
          <w:szCs w:val="52"/>
          <w:highlight w:val="none"/>
          <w:u w:val="none"/>
          <w:lang w:eastAsia="zh-CN"/>
        </w:rPr>
      </w:pPr>
      <w:r>
        <w:rPr>
          <w:rFonts w:hint="eastAsia" w:ascii="宋体" w:hAnsi="宋体" w:cs="宋体"/>
          <w:b/>
          <w:color w:val="auto"/>
          <w:sz w:val="52"/>
          <w:szCs w:val="52"/>
          <w:highlight w:val="none"/>
          <w:u w:val="none"/>
          <w:lang w:eastAsia="zh-CN"/>
        </w:rPr>
        <w:t>格斗电竞大赛</w:t>
      </w:r>
      <w:r>
        <w:rPr>
          <w:rFonts w:hint="eastAsia" w:ascii="宋体" w:hAnsi="宋体" w:eastAsia="宋体" w:cs="宋体"/>
          <w:color w:val="auto"/>
          <w:sz w:val="52"/>
          <w:szCs w:val="52"/>
          <w:highlight w:val="none"/>
          <w:u w:val="none"/>
          <w:lang w:eastAsia="zh-CN"/>
        </w:rPr>
        <w:t>项目</w:t>
      </w:r>
      <w:bookmarkEnd w:id="2"/>
    </w:p>
    <w:p>
      <w:pPr>
        <w:pageBreakBefore w:val="0"/>
        <w:kinsoku/>
        <w:wordWrap/>
        <w:overflowPunct/>
        <w:topLinePunct w:val="0"/>
        <w:bidi w:val="0"/>
        <w:spacing w:line="360" w:lineRule="auto"/>
        <w:ind w:left="0" w:leftChars="0" w:right="0" w:firstLine="0" w:firstLineChars="0"/>
        <w:jc w:val="both"/>
        <w:rPr>
          <w:rFonts w:hint="eastAsia" w:ascii="宋体" w:hAnsi="宋体" w:eastAsia="宋体" w:cs="宋体"/>
          <w:b/>
          <w:bCs/>
          <w:color w:val="auto"/>
          <w:sz w:val="84"/>
          <w:szCs w:val="21"/>
        </w:rPr>
      </w:pPr>
    </w:p>
    <w:p>
      <w:pPr>
        <w:pageBreakBefore w:val="0"/>
        <w:kinsoku/>
        <w:wordWrap/>
        <w:overflowPunct/>
        <w:topLinePunct w:val="0"/>
        <w:bidi w:val="0"/>
        <w:spacing w:line="360" w:lineRule="auto"/>
        <w:ind w:left="0" w:leftChars="0" w:right="0" w:firstLine="0" w:firstLineChars="0"/>
        <w:jc w:val="both"/>
        <w:rPr>
          <w:rFonts w:hint="eastAsia" w:ascii="宋体" w:hAnsi="宋体" w:eastAsia="宋体" w:cs="宋体"/>
          <w:b/>
          <w:bCs/>
          <w:color w:val="auto"/>
          <w:sz w:val="84"/>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
          <w:bCs/>
          <w:color w:val="auto"/>
          <w:sz w:val="84"/>
          <w:szCs w:val="21"/>
        </w:rPr>
      </w:pPr>
      <w:r>
        <w:rPr>
          <w:rFonts w:hint="eastAsia" w:ascii="宋体" w:hAnsi="宋体" w:eastAsia="宋体" w:cs="宋体"/>
          <w:b/>
          <w:bCs/>
          <w:color w:val="auto"/>
          <w:sz w:val="84"/>
          <w:szCs w:val="21"/>
        </w:rPr>
        <w:t>招标文件</w:t>
      </w:r>
    </w:p>
    <w:p>
      <w:pPr>
        <w:pageBreakBefore w:val="0"/>
        <w:kinsoku/>
        <w:wordWrap/>
        <w:overflowPunct/>
        <w:topLinePunct w:val="0"/>
        <w:bidi w:val="0"/>
        <w:spacing w:line="360" w:lineRule="auto"/>
        <w:ind w:left="0" w:leftChars="0" w:right="0" w:firstLine="0" w:firstLineChars="0"/>
        <w:jc w:val="center"/>
        <w:outlineLvl w:val="0"/>
        <w:rPr>
          <w:rFonts w:hint="default" w:ascii="宋体" w:hAnsi="宋体" w:eastAsia="宋体" w:cs="宋体"/>
          <w:color w:val="auto"/>
          <w:sz w:val="32"/>
          <w:szCs w:val="32"/>
          <w:u w:val="none"/>
          <w:lang w:val="en-US"/>
        </w:rPr>
      </w:pPr>
      <w:bookmarkStart w:id="3" w:name="_Toc21786"/>
      <w:bookmarkStart w:id="4" w:name="_Toc12103"/>
      <w:bookmarkStart w:id="5" w:name="_Toc16272"/>
      <w:r>
        <w:rPr>
          <w:rFonts w:hint="eastAsia" w:ascii="宋体" w:hAnsi="宋体" w:eastAsia="宋体" w:cs="宋体"/>
          <w:b/>
          <w:color w:val="auto"/>
          <w:sz w:val="32"/>
          <w:szCs w:val="32"/>
        </w:rPr>
        <w:t>招标编号</w:t>
      </w:r>
      <w:r>
        <w:rPr>
          <w:rFonts w:hint="eastAsia" w:ascii="宋体" w:hAnsi="宋体" w:eastAsia="宋体" w:cs="宋体"/>
          <w:color w:val="auto"/>
          <w:sz w:val="32"/>
          <w:szCs w:val="32"/>
        </w:rPr>
        <w:t>：</w:t>
      </w:r>
      <w:r>
        <w:rPr>
          <w:rFonts w:hint="eastAsia" w:ascii="宋体" w:hAnsi="宋体" w:eastAsia="宋体" w:cs="宋体"/>
          <w:color w:val="auto"/>
          <w:sz w:val="32"/>
          <w:szCs w:val="32"/>
          <w:highlight w:val="none"/>
          <w:u w:val="none"/>
          <w:lang w:val="en-US" w:eastAsia="zh-CN"/>
        </w:rPr>
        <w:t>SJZD</w:t>
      </w:r>
      <w:r>
        <w:rPr>
          <w:rFonts w:hint="eastAsia" w:ascii="宋体" w:hAnsi="宋体" w:eastAsia="宋体" w:cs="宋体"/>
          <w:color w:val="auto"/>
          <w:sz w:val="32"/>
          <w:szCs w:val="32"/>
          <w:highlight w:val="none"/>
          <w:u w:val="none"/>
        </w:rPr>
        <w:t>-20240</w:t>
      </w:r>
      <w:r>
        <w:rPr>
          <w:rFonts w:hint="eastAsia" w:ascii="宋体" w:hAnsi="宋体" w:eastAsia="宋体" w:cs="宋体"/>
          <w:color w:val="auto"/>
          <w:sz w:val="32"/>
          <w:szCs w:val="32"/>
          <w:highlight w:val="none"/>
          <w:u w:val="none"/>
          <w:lang w:val="en-US" w:eastAsia="zh-CN"/>
        </w:rPr>
        <w:t>0</w:t>
      </w:r>
      <w:bookmarkEnd w:id="3"/>
      <w:bookmarkEnd w:id="4"/>
      <w:bookmarkEnd w:id="5"/>
      <w:r>
        <w:rPr>
          <w:rFonts w:hint="eastAsia" w:ascii="宋体" w:hAnsi="宋体" w:cs="宋体"/>
          <w:color w:val="auto"/>
          <w:sz w:val="32"/>
          <w:szCs w:val="32"/>
          <w:highlight w:val="none"/>
          <w:u w:val="none"/>
          <w:lang w:val="en-US" w:eastAsia="zh-CN"/>
        </w:rPr>
        <w:t xml:space="preserve">9 </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both"/>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jc w:val="center"/>
        <w:outlineLvl w:val="0"/>
        <w:rPr>
          <w:rFonts w:hint="eastAsia" w:ascii="宋体" w:hAnsi="宋体" w:eastAsia="宋体" w:cs="宋体"/>
          <w:color w:val="auto"/>
          <w:sz w:val="36"/>
          <w:szCs w:val="36"/>
        </w:rPr>
      </w:pPr>
      <w:bookmarkStart w:id="6" w:name="_Toc32546"/>
      <w:bookmarkStart w:id="7" w:name="_Toc25910"/>
      <w:bookmarkStart w:id="8" w:name="_Toc27534"/>
      <w:r>
        <w:rPr>
          <w:rFonts w:hint="eastAsia" w:ascii="宋体" w:hAnsi="宋体" w:eastAsia="宋体" w:cs="宋体"/>
          <w:color w:val="auto"/>
          <w:sz w:val="36"/>
          <w:szCs w:val="36"/>
        </w:rPr>
        <w:t>深圳市设计之都运营发展有限公司</w:t>
      </w:r>
      <w:bookmarkEnd w:id="6"/>
      <w:bookmarkEnd w:id="7"/>
      <w:r>
        <w:rPr>
          <w:rFonts w:hint="eastAsia" w:ascii="宋体" w:hAnsi="宋体" w:eastAsia="宋体" w:cs="宋体"/>
          <w:color w:val="auto"/>
          <w:sz w:val="36"/>
          <w:szCs w:val="36"/>
        </w:rPr>
        <w:br w:type="page"/>
      </w:r>
      <w:bookmarkEnd w:id="8"/>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sdt>
      <w:sdtPr>
        <w:rPr>
          <w:rFonts w:ascii="宋体" w:hAnsi="宋体" w:eastAsia="宋体" w:cs="Times New Roman"/>
          <w:kern w:val="2"/>
          <w:sz w:val="21"/>
          <w:szCs w:val="24"/>
          <w:lang w:val="en-US" w:eastAsia="zh-CN" w:bidi="ar-SA"/>
        </w:rPr>
        <w:id w:val="147481335"/>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203"/>
            <w:tabs>
              <w:tab w:val="right" w:leader="dot" w:pos="8312"/>
            </w:tabs>
          </w:pPr>
          <w:r>
            <w:fldChar w:fldCharType="begin"/>
          </w:r>
          <w:r>
            <w:instrText xml:space="preserve">TOC \o "1-1" \h \u </w:instrText>
          </w:r>
          <w:r>
            <w:fldChar w:fldCharType="separate"/>
          </w:r>
        </w:p>
        <w:p>
          <w:pPr>
            <w:pStyle w:val="203"/>
            <w:tabs>
              <w:tab w:val="right" w:leader="dot" w:pos="8312"/>
            </w:tabs>
          </w:pPr>
          <w:r>
            <w:fldChar w:fldCharType="begin"/>
          </w:r>
          <w:r>
            <w:instrText xml:space="preserve"> HYPERLINK \l _Toc1913 </w:instrText>
          </w:r>
          <w:r>
            <w:fldChar w:fldCharType="separate"/>
          </w:r>
          <w:r>
            <w:rPr>
              <w:rFonts w:hint="eastAsia" w:ascii="黑体" w:hAnsi="黑体" w:eastAsia="黑体" w:cs="黑体"/>
            </w:rPr>
            <w:t>招标文件第一册</w:t>
          </w:r>
          <w:r>
            <w:tab/>
          </w:r>
          <w:r>
            <w:fldChar w:fldCharType="begin"/>
          </w:r>
          <w:r>
            <w:instrText xml:space="preserve"> PAGEREF _Toc1913 \h </w:instrText>
          </w:r>
          <w:r>
            <w:fldChar w:fldCharType="separate"/>
          </w:r>
          <w:r>
            <w:t>3</w:t>
          </w:r>
          <w:r>
            <w:fldChar w:fldCharType="end"/>
          </w:r>
          <w:r>
            <w:fldChar w:fldCharType="end"/>
          </w:r>
        </w:p>
        <w:p>
          <w:pPr>
            <w:pStyle w:val="203"/>
            <w:tabs>
              <w:tab w:val="right" w:leader="dot" w:pos="8312"/>
            </w:tabs>
          </w:pPr>
          <w:r>
            <w:fldChar w:fldCharType="begin"/>
          </w:r>
          <w:r>
            <w:instrText xml:space="preserve"> HYPERLINK \l _Toc20130 </w:instrText>
          </w:r>
          <w:r>
            <w:fldChar w:fldCharType="separate"/>
          </w:r>
          <w:r>
            <w:rPr>
              <w:rFonts w:hint="eastAsia"/>
            </w:rPr>
            <w:t>第一章  投标邀请</w:t>
          </w:r>
          <w:r>
            <w:tab/>
          </w:r>
          <w:r>
            <w:fldChar w:fldCharType="begin"/>
          </w:r>
          <w:r>
            <w:instrText xml:space="preserve"> PAGEREF _Toc20130 \h </w:instrText>
          </w:r>
          <w:r>
            <w:fldChar w:fldCharType="separate"/>
          </w:r>
          <w:r>
            <w:t>4</w:t>
          </w:r>
          <w:r>
            <w:fldChar w:fldCharType="end"/>
          </w:r>
          <w:r>
            <w:fldChar w:fldCharType="end"/>
          </w:r>
        </w:p>
        <w:p>
          <w:pPr>
            <w:pStyle w:val="203"/>
            <w:tabs>
              <w:tab w:val="right" w:leader="dot" w:pos="8312"/>
            </w:tabs>
          </w:pPr>
          <w:r>
            <w:fldChar w:fldCharType="begin"/>
          </w:r>
          <w:r>
            <w:instrText xml:space="preserve"> HYPERLINK \l _Toc16599 </w:instrText>
          </w:r>
          <w:r>
            <w:fldChar w:fldCharType="separate"/>
          </w:r>
          <w:r>
            <w:rPr>
              <w:rFonts w:hint="eastAsia"/>
            </w:rPr>
            <w:t>第二章  投标资料表</w:t>
          </w:r>
          <w:r>
            <w:tab/>
          </w:r>
          <w:r>
            <w:fldChar w:fldCharType="begin"/>
          </w:r>
          <w:r>
            <w:instrText xml:space="preserve"> PAGEREF _Toc16599 \h </w:instrText>
          </w:r>
          <w:r>
            <w:fldChar w:fldCharType="separate"/>
          </w:r>
          <w:r>
            <w:t>5</w:t>
          </w:r>
          <w:r>
            <w:fldChar w:fldCharType="end"/>
          </w:r>
          <w:r>
            <w:fldChar w:fldCharType="end"/>
          </w:r>
        </w:p>
        <w:p>
          <w:pPr>
            <w:pStyle w:val="203"/>
            <w:tabs>
              <w:tab w:val="right" w:leader="dot" w:pos="8312"/>
            </w:tabs>
          </w:pPr>
          <w:r>
            <w:fldChar w:fldCharType="begin"/>
          </w:r>
          <w:r>
            <w:instrText xml:space="preserve"> HYPERLINK \l _Toc2526 </w:instrText>
          </w:r>
          <w:r>
            <w:fldChar w:fldCharType="separate"/>
          </w:r>
          <w:r>
            <w:rPr>
              <w:rFonts w:hint="eastAsia"/>
              <w:highlight w:val="none"/>
            </w:rPr>
            <w:t>第三章　用户需求书</w:t>
          </w:r>
          <w:r>
            <w:tab/>
          </w:r>
          <w:r>
            <w:fldChar w:fldCharType="begin"/>
          </w:r>
          <w:r>
            <w:instrText xml:space="preserve"> PAGEREF _Toc2526 \h </w:instrText>
          </w:r>
          <w:r>
            <w:fldChar w:fldCharType="separate"/>
          </w:r>
          <w:r>
            <w:t>12</w:t>
          </w:r>
          <w:r>
            <w:fldChar w:fldCharType="end"/>
          </w:r>
          <w:r>
            <w:fldChar w:fldCharType="end"/>
          </w:r>
        </w:p>
        <w:p>
          <w:pPr>
            <w:pStyle w:val="203"/>
            <w:tabs>
              <w:tab w:val="right" w:leader="dot" w:pos="8312"/>
            </w:tabs>
          </w:pPr>
          <w:r>
            <w:fldChar w:fldCharType="begin"/>
          </w:r>
          <w:r>
            <w:instrText xml:space="preserve"> HYPERLINK \l _Toc11205 </w:instrText>
          </w:r>
          <w:r>
            <w:fldChar w:fldCharType="separate"/>
          </w:r>
          <w:r>
            <w:rPr>
              <w:rFonts w:hint="eastAsia" w:ascii="黑体" w:hAnsi="黑体" w:eastAsia="黑体" w:cs="黑体"/>
            </w:rPr>
            <w:t>招标文件第二册</w:t>
          </w:r>
          <w:r>
            <w:tab/>
          </w:r>
          <w:r>
            <w:fldChar w:fldCharType="begin"/>
          </w:r>
          <w:r>
            <w:instrText xml:space="preserve"> PAGEREF _Toc11205 \h </w:instrText>
          </w:r>
          <w:r>
            <w:fldChar w:fldCharType="separate"/>
          </w:r>
          <w:r>
            <w:t>16</w:t>
          </w:r>
          <w:r>
            <w:fldChar w:fldCharType="end"/>
          </w:r>
          <w:r>
            <w:fldChar w:fldCharType="end"/>
          </w:r>
        </w:p>
        <w:p>
          <w:pPr>
            <w:pStyle w:val="203"/>
            <w:tabs>
              <w:tab w:val="right" w:leader="dot" w:pos="8312"/>
            </w:tabs>
          </w:pPr>
          <w:r>
            <w:fldChar w:fldCharType="begin"/>
          </w:r>
          <w:r>
            <w:instrText xml:space="preserve"> HYPERLINK \l _Toc31562 </w:instrText>
          </w:r>
          <w:r>
            <w:fldChar w:fldCharType="separate"/>
          </w:r>
          <w:r>
            <w:rPr>
              <w:rFonts w:hint="eastAsia"/>
            </w:rPr>
            <w:t>第四章　投标人须知</w:t>
          </w:r>
          <w:r>
            <w:tab/>
          </w:r>
          <w:r>
            <w:fldChar w:fldCharType="begin"/>
          </w:r>
          <w:r>
            <w:instrText xml:space="preserve"> PAGEREF _Toc31562 \h </w:instrText>
          </w:r>
          <w:r>
            <w:fldChar w:fldCharType="separate"/>
          </w:r>
          <w:r>
            <w:t>17</w:t>
          </w:r>
          <w:r>
            <w:fldChar w:fldCharType="end"/>
          </w:r>
          <w:r>
            <w:fldChar w:fldCharType="end"/>
          </w:r>
        </w:p>
        <w:p>
          <w:pPr>
            <w:pStyle w:val="203"/>
            <w:tabs>
              <w:tab w:val="right" w:leader="dot" w:pos="8312"/>
            </w:tabs>
          </w:pPr>
          <w:r>
            <w:fldChar w:fldCharType="begin"/>
          </w:r>
          <w:r>
            <w:instrText xml:space="preserve"> HYPERLINK \l _Toc3067 </w:instrText>
          </w:r>
          <w:r>
            <w:fldChar w:fldCharType="separate"/>
          </w:r>
          <w:r>
            <w:rPr>
              <w:rFonts w:hint="eastAsia"/>
            </w:rPr>
            <w:t>第五章　合同条款</w:t>
          </w:r>
          <w:r>
            <w:tab/>
          </w:r>
          <w:r>
            <w:fldChar w:fldCharType="begin"/>
          </w:r>
          <w:r>
            <w:instrText xml:space="preserve"> PAGEREF _Toc3067 \h </w:instrText>
          </w:r>
          <w:r>
            <w:fldChar w:fldCharType="separate"/>
          </w:r>
          <w:r>
            <w:t>31</w:t>
          </w:r>
          <w:r>
            <w:fldChar w:fldCharType="end"/>
          </w:r>
          <w:r>
            <w:fldChar w:fldCharType="end"/>
          </w:r>
        </w:p>
        <w:p>
          <w:pPr>
            <w:pStyle w:val="203"/>
            <w:tabs>
              <w:tab w:val="right" w:leader="dot" w:pos="8312"/>
            </w:tabs>
          </w:pPr>
          <w:r>
            <w:fldChar w:fldCharType="begin"/>
          </w:r>
          <w:r>
            <w:instrText xml:space="preserve"> HYPERLINK \l _Toc21696 </w:instrText>
          </w:r>
          <w:r>
            <w:fldChar w:fldCharType="separate"/>
          </w:r>
          <w:r>
            <w:rPr>
              <w:rFonts w:hint="eastAsia"/>
            </w:rPr>
            <w:t>第六章　附件－投标文件格式</w:t>
          </w:r>
          <w:r>
            <w:tab/>
          </w:r>
          <w:r>
            <w:fldChar w:fldCharType="begin"/>
          </w:r>
          <w:r>
            <w:instrText xml:space="preserve"> PAGEREF _Toc21696 \h </w:instrText>
          </w:r>
          <w:r>
            <w:fldChar w:fldCharType="separate"/>
          </w:r>
          <w:r>
            <w:t>32</w:t>
          </w:r>
          <w:r>
            <w:fldChar w:fldCharType="end"/>
          </w:r>
          <w:r>
            <w:fldChar w:fldCharType="end"/>
          </w:r>
        </w:p>
        <w:p>
          <w:r>
            <w:fldChar w:fldCharType="end"/>
          </w:r>
        </w:p>
      </w:sdtContent>
    </w:sdt>
    <w:p>
      <w:pPr>
        <w:pageBreakBefore w:val="0"/>
        <w:kinsoku/>
        <w:wordWrap/>
        <w:overflowPunct/>
        <w:topLinePunct w:val="0"/>
        <w:bidi w:val="0"/>
        <w:spacing w:line="360" w:lineRule="auto"/>
        <w:ind w:left="0" w:leftChars="0" w:right="0" w:firstLine="0" w:firstLineChars="0"/>
        <w:rPr>
          <w:rFonts w:hint="eastAsia" w:ascii="宋体" w:hAnsi="宋体" w:eastAsia="宋体" w:cs="宋体"/>
        </w:rPr>
      </w:pPr>
      <w:r>
        <w:rPr>
          <w:rFonts w:hint="eastAsia" w:ascii="宋体" w:hAnsi="宋体" w:eastAsia="宋体" w:cs="宋体"/>
          <w:color w:val="auto"/>
          <w:sz w:val="21"/>
          <w:szCs w:val="21"/>
        </w:rPr>
        <w:t>注：第一册的内容是对具体招标项目的说明、补充、完善和对第二册的修改等，第二册是招标文件的通用条款，第一册与第二册内容如有差异，以第一册内容为准。</w:t>
      </w:r>
    </w:p>
    <w:p>
      <w:pPr>
        <w:pageBreakBefore w:val="0"/>
        <w:kinsoku/>
        <w:wordWrap/>
        <w:overflowPunct/>
        <w:topLinePunct w:val="0"/>
        <w:bidi w:val="0"/>
        <w:spacing w:line="360" w:lineRule="auto"/>
        <w:rPr>
          <w:rFonts w:hint="eastAsia" w:ascii="宋体" w:hAnsi="宋体" w:eastAsia="宋体" w:cs="宋体"/>
        </w:rPr>
      </w:pPr>
      <w:r>
        <w:rPr>
          <w:rFonts w:hint="eastAsia" w:ascii="宋体" w:hAnsi="宋体" w:eastAsia="宋体" w:cs="宋体"/>
        </w:rPr>
        <w:br w:type="page"/>
      </w: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ind w:left="0" w:leftChars="0" w:right="0" w:firstLine="0" w:firstLineChars="0"/>
        <w:jc w:val="both"/>
        <w:outlineLvl w:val="9"/>
        <w:rPr>
          <w:rFonts w:hint="eastAsia" w:ascii="宋体" w:hAnsi="宋体" w:eastAsia="宋体" w:cs="宋体"/>
        </w:rPr>
      </w:pPr>
    </w:p>
    <w:p>
      <w:pPr>
        <w:pStyle w:val="3"/>
        <w:pageBreakBefore w:val="0"/>
        <w:kinsoku/>
        <w:wordWrap/>
        <w:overflowPunct/>
        <w:topLinePunct w:val="0"/>
        <w:bidi w:val="0"/>
        <w:spacing w:line="360" w:lineRule="auto"/>
        <w:jc w:val="center"/>
        <w:rPr>
          <w:rFonts w:hint="eastAsia"/>
        </w:rPr>
      </w:pPr>
      <w:bookmarkStart w:id="9" w:name="_Toc1913"/>
      <w:r>
        <w:rPr>
          <w:rFonts w:hint="eastAsia"/>
        </w:rPr>
        <w:t>招标文件第一册</w:t>
      </w:r>
      <w:bookmarkEnd w:id="9"/>
    </w:p>
    <w:p>
      <w:pPr>
        <w:pageBreakBefore w:val="0"/>
        <w:kinsoku/>
        <w:wordWrap/>
        <w:overflowPunct/>
        <w:topLinePunct w:val="0"/>
        <w:bidi w:val="0"/>
        <w:spacing w:line="360" w:lineRule="auto"/>
        <w:rPr>
          <w:rFonts w:hint="eastAsia" w:ascii="宋体" w:hAnsi="宋体" w:eastAsia="宋体" w:cs="宋体"/>
        </w:rPr>
      </w:pPr>
      <w:r>
        <w:rPr>
          <w:rFonts w:hint="eastAsia" w:ascii="宋体" w:hAnsi="宋体" w:eastAsia="宋体" w:cs="宋体"/>
        </w:rPr>
        <w:br w:type="page"/>
      </w:r>
    </w:p>
    <w:p>
      <w:pPr>
        <w:pStyle w:val="4"/>
        <w:pageBreakBefore w:val="0"/>
        <w:kinsoku/>
        <w:wordWrap/>
        <w:overflowPunct/>
        <w:topLinePunct w:val="0"/>
        <w:bidi w:val="0"/>
        <w:spacing w:line="360" w:lineRule="auto"/>
        <w:jc w:val="center"/>
        <w:outlineLvl w:val="0"/>
        <w:rPr>
          <w:rFonts w:hint="eastAsia"/>
        </w:rPr>
      </w:pPr>
      <w:bookmarkStart w:id="10" w:name="_Toc20130"/>
      <w:r>
        <w:rPr>
          <w:rFonts w:hint="eastAsia"/>
        </w:rPr>
        <w:t>第一章  投标邀请</w:t>
      </w:r>
      <w:bookmarkEnd w:id="10"/>
    </w:p>
    <w:p>
      <w:pPr>
        <w:pageBreakBefore w:val="0"/>
        <w:kinsoku/>
        <w:wordWrap/>
        <w:overflowPunct/>
        <w:topLinePunct w:val="0"/>
        <w:autoSpaceDE w:val="0"/>
        <w:autoSpaceDN w:val="0"/>
        <w:bidi w:val="0"/>
        <w:adjustRightInd w:val="0"/>
        <w:snapToGrid w:val="0"/>
        <w:spacing w:line="360" w:lineRule="auto"/>
        <w:ind w:left="0" w:leftChars="0" w:right="0" w:firstLine="420" w:firstLineChars="200"/>
        <w:rPr>
          <w:rFonts w:hint="eastAsia" w:ascii="宋体" w:hAnsi="宋体" w:eastAsia="宋体" w:cs="宋体"/>
          <w:color w:val="auto"/>
          <w:highlight w:val="none"/>
          <w:u w:val="single"/>
          <w:lang w:val="en-US" w:eastAsia="zh-CN"/>
        </w:rPr>
      </w:pPr>
      <w:r>
        <w:rPr>
          <w:rFonts w:hint="eastAsia" w:ascii="宋体" w:hAnsi="宋体" w:eastAsia="宋体" w:cs="宋体"/>
          <w:color w:val="auto"/>
        </w:rPr>
        <w:t>根据政府相关法律法规及深圳市设计之都运营发展有限公司关于招标的各项规定，就</w:t>
      </w:r>
      <w:r>
        <w:rPr>
          <w:rFonts w:hint="eastAsia" w:ascii="宋体" w:hAnsi="宋体" w:cs="宋体"/>
          <w:b/>
          <w:bCs/>
          <w:color w:val="auto"/>
          <w:highlight w:val="none"/>
          <w:u w:val="single"/>
          <w:lang w:val="en-US" w:eastAsia="zh-CN"/>
        </w:rPr>
        <w:t>2024年第十三届深圳动漫节格斗电竞大赛</w:t>
      </w:r>
      <w:r>
        <w:rPr>
          <w:rFonts w:hint="eastAsia" w:ascii="宋体" w:hAnsi="宋体" w:eastAsia="宋体" w:cs="宋体"/>
          <w:color w:val="auto"/>
          <w:highlight w:val="none"/>
        </w:rPr>
        <w:t>进行邀请招标</w:t>
      </w:r>
      <w:r>
        <w:rPr>
          <w:rFonts w:hint="eastAsia" w:ascii="宋体" w:hAnsi="宋体" w:eastAsia="宋体" w:cs="宋体"/>
          <w:color w:val="auto"/>
          <w:highlight w:val="none"/>
          <w:lang w:val="zh-CN"/>
        </w:rPr>
        <w:t>，欢迎符合资质要求并能提供相关服务的投标人参加投标。本项目招标编号</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u w:val="single"/>
          <w:lang w:val="en-US" w:eastAsia="zh-CN"/>
        </w:rPr>
        <w:t>SJZD</w:t>
      </w:r>
      <w:r>
        <w:rPr>
          <w:rFonts w:hint="eastAsia" w:ascii="宋体" w:hAnsi="宋体" w:eastAsia="宋体" w:cs="宋体"/>
          <w:color w:val="auto"/>
          <w:highlight w:val="none"/>
          <w:u w:val="single"/>
          <w:lang w:val="zh-CN"/>
        </w:rPr>
        <w:t>-20240</w:t>
      </w:r>
      <w:r>
        <w:rPr>
          <w:rFonts w:hint="eastAsia" w:ascii="宋体" w:hAnsi="宋体" w:eastAsia="宋体" w:cs="宋体"/>
          <w:color w:val="auto"/>
          <w:highlight w:val="none"/>
          <w:u w:val="single"/>
          <w:lang w:val="en-US" w:eastAsia="zh-CN"/>
        </w:rPr>
        <w:t>0</w:t>
      </w:r>
      <w:r>
        <w:rPr>
          <w:rFonts w:hint="eastAsia" w:ascii="宋体" w:hAnsi="宋体" w:cs="宋体"/>
          <w:color w:val="auto"/>
          <w:highlight w:val="none"/>
          <w:u w:val="single"/>
          <w:lang w:val="en-US" w:eastAsia="zh-CN"/>
        </w:rPr>
        <w:t>9</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招标项目名称、用途、简要技术要求或者招标项目的性质</w:t>
      </w:r>
      <w:r>
        <w:rPr>
          <w:rFonts w:hint="eastAsia" w:ascii="黑体" w:hAnsi="黑体" w:eastAsia="黑体" w:cs="黑体"/>
          <w:b/>
          <w:bCs/>
          <w:color w:val="auto"/>
          <w:sz w:val="24"/>
          <w:szCs w:val="32"/>
          <w:lang w:val="zh-CN" w:eastAsia="zh-CN"/>
        </w:rPr>
        <w:t>：</w:t>
      </w:r>
    </w:p>
    <w:p>
      <w:pPr>
        <w:pageBreakBefore w:val="0"/>
        <w:numPr>
          <w:ilvl w:val="0"/>
          <w:numId w:val="2"/>
        </w:numPr>
        <w:kinsoku/>
        <w:wordWrap/>
        <w:overflowPunct/>
        <w:topLinePunct w:val="0"/>
        <w:bidi w:val="0"/>
        <w:spacing w:line="360" w:lineRule="auto"/>
        <w:ind w:leftChars="0" w:right="0" w:rightChars="0" w:firstLine="420" w:firstLineChars="200"/>
        <w:jc w:val="left"/>
        <w:rPr>
          <w:rFonts w:hint="eastAsia" w:ascii="宋体" w:hAnsi="宋体" w:eastAsia="宋体" w:cs="宋体"/>
          <w:b/>
          <w:color w:val="auto"/>
          <w:highlight w:val="none"/>
          <w:u w:val="single"/>
        </w:rPr>
      </w:pPr>
      <w:r>
        <w:rPr>
          <w:rFonts w:hint="eastAsia" w:ascii="宋体" w:hAnsi="宋体" w:eastAsia="宋体" w:cs="宋体"/>
          <w:color w:val="auto"/>
          <w:highlight w:val="none"/>
        </w:rPr>
        <w:t>项目名称：</w:t>
      </w:r>
      <w:r>
        <w:rPr>
          <w:rFonts w:hint="eastAsia" w:ascii="宋体" w:hAnsi="宋体" w:cs="宋体"/>
          <w:b/>
          <w:color w:val="auto"/>
          <w:highlight w:val="none"/>
          <w:u w:val="single"/>
          <w:lang w:val="en-US" w:eastAsia="zh-CN"/>
        </w:rPr>
        <w:t>2024年第十三届深圳动漫节格斗电竞大赛</w:t>
      </w:r>
    </w:p>
    <w:p>
      <w:pPr>
        <w:pageBreakBefore w:val="0"/>
        <w:numPr>
          <w:ilvl w:val="0"/>
          <w:numId w:val="2"/>
        </w:numPr>
        <w:kinsoku/>
        <w:wordWrap/>
        <w:overflowPunct/>
        <w:topLinePunct w:val="0"/>
        <w:bidi w:val="0"/>
        <w:spacing w:line="360" w:lineRule="auto"/>
        <w:ind w:leftChars="0" w:right="0" w:rightChars="0" w:firstLine="420" w:firstLineChars="200"/>
        <w:jc w:val="left"/>
        <w:rPr>
          <w:rFonts w:hint="eastAsia" w:ascii="宋体" w:hAnsi="宋体" w:eastAsia="宋体" w:cs="宋体"/>
          <w:color w:val="auto"/>
        </w:rPr>
      </w:pPr>
      <w:r>
        <w:rPr>
          <w:rFonts w:hint="eastAsia" w:ascii="宋体" w:hAnsi="宋体" w:eastAsia="宋体" w:cs="宋体"/>
          <w:color w:val="auto"/>
        </w:rPr>
        <w:t>简要技术要求或招标项目的性质：详细内容请参阅招标文件第三章《用户需求书》。</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投标人需具有的相关资质：</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投标人须是在中华人民共和国境内注册的有合法经营资格的国内独立法人企业；具有履行合同的服务能力、专业技术能力、供应保障能力及风险控制能力；</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投标人必须承</w:t>
      </w:r>
      <w:r>
        <w:rPr>
          <w:rFonts w:hint="eastAsia" w:ascii="宋体" w:hAnsi="宋体" w:eastAsia="宋体" w:cs="宋体"/>
          <w:color w:val="auto"/>
          <w:highlight w:val="none"/>
        </w:rPr>
        <w:t>接过</w:t>
      </w:r>
      <w:r>
        <w:rPr>
          <w:rFonts w:hint="eastAsia" w:ascii="宋体" w:hAnsi="Times New Roman" w:eastAsia="宋体" w:cs="宋体"/>
          <w:b/>
          <w:color w:val="FF0000"/>
          <w:kern w:val="0"/>
          <w:szCs w:val="21"/>
          <w:highlight w:val="none"/>
          <w:lang w:val="en-US" w:eastAsia="zh-CN"/>
        </w:rPr>
        <w:t>电竞赛事</w:t>
      </w:r>
      <w:r>
        <w:rPr>
          <w:rFonts w:hint="eastAsia" w:ascii="宋体" w:hAnsi="Times New Roman" w:eastAsia="宋体" w:cs="宋体"/>
          <w:b/>
          <w:color w:val="FF0000"/>
          <w:kern w:val="0"/>
          <w:szCs w:val="21"/>
          <w:highlight w:val="none"/>
          <w:lang w:val="zh-CN"/>
        </w:rPr>
        <w:t>类项目</w:t>
      </w:r>
      <w:r>
        <w:rPr>
          <w:rFonts w:hint="eastAsia" w:ascii="宋体" w:hAnsi="宋体" w:eastAsia="宋体" w:cs="宋体"/>
          <w:color w:val="auto"/>
          <w:highlight w:val="none"/>
        </w:rPr>
        <w:t>工作，有相应</w:t>
      </w:r>
      <w:r>
        <w:rPr>
          <w:rFonts w:hint="eastAsia" w:ascii="宋体" w:hAnsi="宋体" w:cs="宋体"/>
          <w:color w:val="auto"/>
          <w:highlight w:val="none"/>
          <w:lang w:val="en-US" w:eastAsia="zh-CN"/>
        </w:rPr>
        <w:t>2024年第十三届深圳动漫节格斗电竞大赛</w:t>
      </w:r>
      <w:r>
        <w:rPr>
          <w:rFonts w:hint="eastAsia" w:ascii="宋体" w:hAnsi="宋体" w:eastAsia="宋体" w:cs="宋体"/>
          <w:color w:val="auto"/>
          <w:highlight w:val="none"/>
        </w:rPr>
        <w:t>工作经验和</w:t>
      </w:r>
      <w:r>
        <w:rPr>
          <w:rFonts w:hint="eastAsia" w:ascii="宋体" w:hAnsi="Times New Roman" w:eastAsia="宋体" w:cs="宋体"/>
          <w:color w:val="000000"/>
          <w:kern w:val="0"/>
          <w:szCs w:val="21"/>
          <w:highlight w:val="none"/>
          <w:lang w:val="zh-CN"/>
        </w:rPr>
        <w:t>展会</w:t>
      </w:r>
      <w:r>
        <w:rPr>
          <w:rFonts w:hint="eastAsia" w:ascii="宋体" w:hAnsi="宋体" w:eastAsia="宋体" w:cs="宋体"/>
          <w:color w:val="auto"/>
          <w:highlight w:val="none"/>
        </w:rPr>
        <w:t>现场应变能力的专业公司，</w:t>
      </w:r>
      <w:r>
        <w:rPr>
          <w:rFonts w:hint="eastAsia" w:ascii="宋体" w:hAnsi="宋体" w:eastAsia="宋体" w:cs="宋体"/>
          <w:color w:val="auto"/>
        </w:rPr>
        <w:t>经营范围具有相关经营范围；</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投标人必须合法运作，不存在违法违规等不良记录；具有良好的银行资信和商业信誉，无处于被责令停业，财产被接管，冻结，破产状态；</w:t>
      </w:r>
    </w:p>
    <w:p>
      <w:pPr>
        <w:pageBreakBefore w:val="0"/>
        <w:numPr>
          <w:ilvl w:val="0"/>
          <w:numId w:val="3"/>
        </w:numPr>
        <w:kinsoku/>
        <w:wordWrap/>
        <w:overflowPunct/>
        <w:topLinePunct w:val="0"/>
        <w:bidi w:val="0"/>
        <w:spacing w:line="360" w:lineRule="auto"/>
        <w:ind w:leftChars="0" w:right="0" w:rightChars="0" w:firstLine="420" w:firstLineChars="200"/>
        <w:rPr>
          <w:rFonts w:hint="eastAsia" w:ascii="宋体" w:hAnsi="宋体" w:eastAsia="宋体" w:cs="宋体"/>
          <w:color w:val="auto"/>
        </w:rPr>
      </w:pPr>
      <w:r>
        <w:rPr>
          <w:rFonts w:hint="eastAsia" w:ascii="宋体" w:hAnsi="宋体" w:eastAsia="宋体" w:cs="宋体"/>
          <w:color w:val="auto"/>
        </w:rPr>
        <w:t>本项目不接受联合体投标。</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投标截止时间、开标时间及地点</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right="0" w:firstLine="0" w:firstLineChars="0"/>
        <w:rPr>
          <w:rFonts w:hint="eastAsia" w:ascii="宋体" w:hAnsi="宋体" w:eastAsia="宋体" w:cs="宋体"/>
          <w:b w:val="0"/>
          <w:bCs w:val="0"/>
          <w:color w:val="auto"/>
          <w:szCs w:val="21"/>
          <w:highlight w:val="none"/>
          <w:u w:val="single"/>
        </w:rPr>
      </w:pPr>
      <w:r>
        <w:rPr>
          <w:rFonts w:hint="eastAsia" w:ascii="宋体" w:hAnsi="宋体" w:eastAsia="宋体" w:cs="宋体"/>
          <w:b w:val="0"/>
          <w:bCs w:val="0"/>
          <w:color w:val="auto"/>
          <w:highlight w:val="none"/>
        </w:rPr>
        <w:t>投标截止及开标时间：</w:t>
      </w:r>
      <w:r>
        <w:rPr>
          <w:rFonts w:hint="eastAsia" w:ascii="宋体" w:hAnsi="宋体" w:eastAsia="宋体" w:cs="宋体"/>
          <w:b w:val="0"/>
          <w:bCs w:val="0"/>
          <w:color w:val="auto"/>
          <w:highlight w:val="none"/>
          <w:u w:val="single"/>
        </w:rPr>
        <w:t>2024年</w:t>
      </w:r>
      <w:r>
        <w:rPr>
          <w:rFonts w:hint="eastAsia" w:ascii="宋体" w:hAnsi="宋体" w:cs="宋体"/>
          <w:b w:val="0"/>
          <w:bCs w:val="0"/>
          <w:color w:val="auto"/>
          <w:highlight w:val="none"/>
          <w:u w:val="single"/>
          <w:lang w:val="en-US" w:eastAsia="zh-CN"/>
        </w:rPr>
        <w:t>5</w:t>
      </w:r>
      <w:r>
        <w:rPr>
          <w:rFonts w:hint="eastAsia" w:ascii="宋体" w:hAnsi="宋体" w:eastAsia="宋体" w:cs="宋体"/>
          <w:b w:val="0"/>
          <w:bCs w:val="0"/>
          <w:color w:val="auto"/>
          <w:highlight w:val="none"/>
          <w:u w:val="single"/>
        </w:rPr>
        <w:t>月</w:t>
      </w:r>
      <w:r>
        <w:rPr>
          <w:rFonts w:hint="eastAsia" w:ascii="宋体" w:hAnsi="宋体" w:cs="宋体"/>
          <w:b w:val="0"/>
          <w:bCs w:val="0"/>
          <w:color w:val="auto"/>
          <w:highlight w:val="none"/>
          <w:u w:val="single"/>
          <w:lang w:val="en-US" w:eastAsia="zh-CN"/>
        </w:rPr>
        <w:t>17</w:t>
      </w:r>
      <w:r>
        <w:rPr>
          <w:rFonts w:hint="eastAsia" w:ascii="宋体" w:hAnsi="宋体" w:eastAsia="宋体" w:cs="宋体"/>
          <w:b w:val="0"/>
          <w:bCs w:val="0"/>
          <w:color w:val="auto"/>
          <w:highlight w:val="none"/>
          <w:u w:val="single"/>
        </w:rPr>
        <w:t>日</w:t>
      </w:r>
      <w:r>
        <w:rPr>
          <w:rFonts w:hint="eastAsia" w:ascii="宋体" w:hAnsi="宋体" w:cs="宋体"/>
          <w:b w:val="0"/>
          <w:bCs w:val="0"/>
          <w:color w:val="auto"/>
          <w:highlight w:val="none"/>
          <w:u w:val="single"/>
          <w:lang w:val="en-US" w:eastAsia="zh-CN"/>
        </w:rPr>
        <w:t>11：00</w:t>
      </w:r>
      <w:r>
        <w:rPr>
          <w:rFonts w:hint="eastAsia" w:ascii="宋体" w:hAnsi="宋体" w:eastAsia="宋体" w:cs="宋体"/>
          <w:b w:val="0"/>
          <w:bCs w:val="0"/>
          <w:color w:val="auto"/>
          <w:highlight w:val="none"/>
          <w:u w:val="single"/>
        </w:rPr>
        <w:t>（北京时间）</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right="0" w:firstLine="0" w:firstLineChars="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开标地点：</w:t>
      </w:r>
      <w:r>
        <w:rPr>
          <w:rFonts w:hint="eastAsia" w:ascii="宋体" w:hAnsi="宋体" w:eastAsia="宋体" w:cs="宋体"/>
          <w:b w:val="0"/>
          <w:bCs w:val="0"/>
          <w:color w:val="auto"/>
          <w:szCs w:val="21"/>
          <w:highlight w:val="none"/>
          <w:u w:val="single"/>
        </w:rPr>
        <w:t>深圳市福田区鹏程一路广电金融中心48楼核心筒会议室</w:t>
      </w:r>
    </w:p>
    <w:p>
      <w:pPr>
        <w:pageBreakBefore w:val="0"/>
        <w:numPr>
          <w:ilvl w:val="0"/>
          <w:numId w:val="4"/>
        </w:numPr>
        <w:kinsoku/>
        <w:wordWrap/>
        <w:overflowPunct/>
        <w:topLinePunct w:val="0"/>
        <w:autoSpaceDE w:val="0"/>
        <w:autoSpaceDN w:val="0"/>
        <w:bidi w:val="0"/>
        <w:adjustRightInd w:val="0"/>
        <w:snapToGrid w:val="0"/>
        <w:spacing w:line="360" w:lineRule="auto"/>
        <w:ind w:left="0" w:leftChars="0" w:right="0" w:firstLine="0" w:firstLineChars="0"/>
        <w:rPr>
          <w:rFonts w:hint="eastAsia" w:ascii="宋体" w:hAnsi="宋体" w:eastAsia="宋体" w:cs="宋体"/>
          <w:b w:val="0"/>
          <w:bCs w:val="0"/>
          <w:color w:val="auto"/>
          <w:highlight w:val="none"/>
          <w:u w:val="single"/>
        </w:rPr>
      </w:pPr>
      <w:r>
        <w:rPr>
          <w:rFonts w:hint="eastAsia" w:ascii="宋体" w:hAnsi="宋体" w:eastAsia="宋体" w:cs="宋体"/>
          <w:b w:val="0"/>
          <w:bCs w:val="0"/>
          <w:color w:val="auto"/>
          <w:highlight w:val="none"/>
        </w:rPr>
        <w:t>递交投标文件地点：</w:t>
      </w:r>
      <w:r>
        <w:rPr>
          <w:rFonts w:hint="eastAsia" w:ascii="宋体" w:hAnsi="宋体" w:eastAsia="宋体" w:cs="宋体"/>
          <w:b w:val="0"/>
          <w:bCs w:val="0"/>
          <w:color w:val="auto"/>
          <w:szCs w:val="21"/>
          <w:highlight w:val="none"/>
          <w:u w:val="single"/>
        </w:rPr>
        <w:t>深圳市福田区鹏程一路广电金融中心48楼核心筒会议室</w:t>
      </w:r>
    </w:p>
    <w:p>
      <w:pPr>
        <w:pageBreakBefore w:val="0"/>
        <w:numPr>
          <w:ilvl w:val="0"/>
          <w:numId w:val="1"/>
        </w:numPr>
        <w:kinsoku/>
        <w:wordWrap/>
        <w:overflowPunct/>
        <w:topLinePunct w:val="0"/>
        <w:autoSpaceDE w:val="0"/>
        <w:autoSpaceDN w:val="0"/>
        <w:bidi w:val="0"/>
        <w:adjustRightInd w:val="0"/>
        <w:snapToGrid w:val="0"/>
        <w:spacing w:line="360" w:lineRule="auto"/>
        <w:ind w:left="0" w:leftChars="0" w:right="0" w:firstLine="420" w:firstLineChars="0"/>
        <w:rPr>
          <w:rFonts w:hint="eastAsia" w:ascii="黑体" w:hAnsi="黑体" w:eastAsia="黑体" w:cs="黑体"/>
          <w:b/>
          <w:bCs/>
          <w:color w:val="auto"/>
          <w:sz w:val="24"/>
          <w:szCs w:val="32"/>
          <w:lang w:val="zh-CN"/>
        </w:rPr>
      </w:pPr>
      <w:r>
        <w:rPr>
          <w:rFonts w:hint="eastAsia" w:ascii="黑体" w:hAnsi="黑体" w:eastAsia="黑体" w:cs="黑体"/>
          <w:b/>
          <w:bCs/>
          <w:color w:val="auto"/>
          <w:sz w:val="24"/>
          <w:szCs w:val="32"/>
          <w:lang w:val="zh-CN"/>
        </w:rPr>
        <w:t>有关此次招标事宜，可按下列地址以书面或传真的形式查询：</w:t>
      </w:r>
    </w:p>
    <w:p>
      <w:pPr>
        <w:autoSpaceDE w:val="0"/>
        <w:autoSpaceDN w:val="0"/>
        <w:adjustRightInd w:val="0"/>
        <w:snapToGrid w:val="0"/>
        <w:spacing w:line="360" w:lineRule="auto"/>
        <w:ind w:firstLine="480"/>
        <w:rPr>
          <w:rFonts w:hint="eastAsia" w:ascii="宋体" w:hAnsi="宋体" w:cs="仿宋_GB2312"/>
          <w:highlight w:val="none"/>
        </w:rPr>
      </w:pPr>
      <w:r>
        <w:rPr>
          <w:rFonts w:ascii="宋体" w:hAnsi="宋体" w:cs="仿宋_GB2312"/>
          <w:highlight w:val="none"/>
        </w:rPr>
        <w:t>联 系 人：</w:t>
      </w:r>
      <w:r>
        <w:rPr>
          <w:rFonts w:hint="eastAsia" w:ascii="宋体" w:hAnsi="宋体" w:cs="仿宋_GB2312"/>
          <w:highlight w:val="none"/>
          <w:lang w:val="en-US" w:eastAsia="zh-CN"/>
        </w:rPr>
        <w:t>黄巧杏</w:t>
      </w:r>
      <w:r>
        <w:rPr>
          <w:rFonts w:hint="eastAsia" w:ascii="宋体" w:hAnsi="宋体" w:cs="仿宋_GB2312"/>
          <w:highlight w:val="none"/>
        </w:rPr>
        <w:t xml:space="preserve">      </w:t>
      </w:r>
    </w:p>
    <w:p>
      <w:pPr>
        <w:autoSpaceDE w:val="0"/>
        <w:autoSpaceDN w:val="0"/>
        <w:adjustRightInd w:val="0"/>
        <w:snapToGrid w:val="0"/>
        <w:spacing w:line="360" w:lineRule="auto"/>
        <w:ind w:firstLine="480"/>
        <w:rPr>
          <w:rFonts w:hint="default" w:ascii="宋体" w:hAnsi="宋体" w:eastAsia="宋体" w:cs="仿宋_GB2312"/>
          <w:highlight w:val="none"/>
          <w:lang w:val="en-US" w:eastAsia="zh-CN"/>
        </w:rPr>
      </w:pPr>
      <w:r>
        <w:rPr>
          <w:rFonts w:ascii="宋体" w:hAnsi="宋体" w:cs="仿宋_GB2312"/>
          <w:highlight w:val="none"/>
        </w:rPr>
        <w:t>联系电话：</w:t>
      </w:r>
      <w:r>
        <w:rPr>
          <w:rFonts w:hint="eastAsia" w:ascii="宋体" w:hAnsi="宋体" w:cs="仿宋_GB2312"/>
          <w:highlight w:val="none"/>
          <w:lang w:val="en-US" w:eastAsia="zh-CN"/>
        </w:rPr>
        <w:t>15975626327</w:t>
      </w:r>
    </w:p>
    <w:p>
      <w:pPr>
        <w:autoSpaceDE w:val="0"/>
        <w:autoSpaceDN w:val="0"/>
        <w:adjustRightInd w:val="0"/>
        <w:snapToGrid w:val="0"/>
        <w:spacing w:line="360" w:lineRule="auto"/>
        <w:ind w:firstLine="480"/>
        <w:rPr>
          <w:rFonts w:ascii="宋体" w:hAnsi="宋体" w:cs="仿宋_GB2312"/>
          <w:highlight w:val="none"/>
        </w:rPr>
      </w:pPr>
      <w:r>
        <w:rPr>
          <w:rFonts w:hint="eastAsia" w:ascii="宋体" w:hAnsi="宋体" w:cs="仿宋_GB2312"/>
          <w:highlight w:val="none"/>
        </w:rPr>
        <w:t>邮箱地址</w:t>
      </w:r>
      <w:r>
        <w:rPr>
          <w:rFonts w:ascii="宋体" w:hAnsi="宋体" w:cs="仿宋_GB2312"/>
          <w:highlight w:val="none"/>
        </w:rPr>
        <w:t>：</w:t>
      </w:r>
      <w:r>
        <w:rPr>
          <w:rFonts w:hint="eastAsia" w:ascii="宋体" w:hAnsi="宋体" w:cs="仿宋_GB2312"/>
          <w:highlight w:val="none"/>
        </w:rPr>
        <w:t>service@designcities.cn</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szCs w:val="21"/>
          <w:highlight w:val="yellow"/>
          <w:u w:val="none"/>
        </w:rPr>
      </w:pPr>
      <w:r>
        <w:rPr>
          <w:rFonts w:hint="eastAsia" w:ascii="宋体" w:hAnsi="宋体" w:cs="仿宋_GB2312"/>
          <w:highlight w:val="none"/>
        </w:rPr>
        <w:t>公司地址：深圳市福田区广电金融中心48楼</w:t>
      </w:r>
      <w:r>
        <w:rPr>
          <w:rFonts w:hint="eastAsia" w:ascii="宋体" w:hAnsi="宋体" w:eastAsia="宋体" w:cs="宋体"/>
          <w:color w:val="auto"/>
          <w:szCs w:val="21"/>
          <w:highlight w:val="none"/>
          <w:u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200"/>
        <w:textAlignment w:val="auto"/>
        <w:rPr>
          <w:rFonts w:hint="eastAsia" w:ascii="宋体" w:hAnsi="宋体" w:eastAsia="宋体" w:cs="宋体"/>
          <w:color w:val="auto"/>
          <w:lang w:val="zh-CN"/>
        </w:rPr>
      </w:pPr>
      <w:r>
        <w:rPr>
          <w:rFonts w:hint="eastAsia" w:ascii="宋体" w:hAnsi="宋体" w:eastAsia="宋体" w:cs="宋体"/>
          <w:color w:val="auto"/>
          <w:lang w:val="zh-CN"/>
        </w:rPr>
        <w:t>本招标文件解释权归</w:t>
      </w:r>
      <w:r>
        <w:rPr>
          <w:rFonts w:hint="eastAsia" w:ascii="宋体" w:hAnsi="宋体" w:eastAsia="宋体" w:cs="宋体"/>
          <w:b/>
          <w:bCs/>
          <w:color w:val="auto"/>
          <w:u w:val="single"/>
        </w:rPr>
        <w:t>深圳市设计之都运营发展有限公司</w:t>
      </w:r>
      <w:r>
        <w:rPr>
          <w:rFonts w:hint="eastAsia" w:ascii="宋体" w:hAnsi="宋体" w:eastAsia="宋体" w:cs="宋体"/>
          <w:color w:val="auto"/>
          <w:lang w:val="zh-CN"/>
        </w:rPr>
        <w:t>所有。</w:t>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pStyle w:val="4"/>
        <w:bidi w:val="0"/>
        <w:spacing w:line="360" w:lineRule="auto"/>
        <w:jc w:val="center"/>
        <w:outlineLvl w:val="0"/>
        <w:rPr>
          <w:rFonts w:hint="eastAsia"/>
        </w:rPr>
      </w:pPr>
      <w:bookmarkStart w:id="11" w:name="_Toc16599"/>
      <w:r>
        <w:rPr>
          <w:rFonts w:hint="eastAsia"/>
        </w:rPr>
        <w:t>第二章  投标资料表</w:t>
      </w:r>
      <w:bookmarkEnd w:id="11"/>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本表关于要采购项目的具体资料，是对投标人须知的具体补充和修改，如有矛盾，应以本资料表为准。</w:t>
      </w:r>
    </w:p>
    <w:tbl>
      <w:tblPr>
        <w:tblStyle w:val="55"/>
        <w:tblW w:w="8831" w:type="dxa"/>
        <w:tblInd w:w="-2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12"/>
        <w:gridCol w:w="81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2"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条款号</w:t>
            </w:r>
          </w:p>
        </w:tc>
        <w:tc>
          <w:tcPr>
            <w:tcW w:w="8119"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5"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一、说明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1"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8119"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招标人名称</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深圳市设计之都运营发展有限公司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1"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8119" w:type="dxa"/>
            <w:tcBorders>
              <w:bottom w:val="single" w:color="auto" w:sz="6" w:space="0"/>
            </w:tcBorders>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资金来源</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Cs/>
                <w:color w:val="auto"/>
                <w:sz w:val="21"/>
                <w:szCs w:val="21"/>
              </w:rPr>
            </w:pPr>
            <w:r>
              <w:rPr>
                <w:rFonts w:hint="eastAsia" w:ascii="宋体" w:hAnsi="宋体" w:eastAsia="宋体" w:cs="宋体"/>
                <w:color w:val="auto"/>
                <w:sz w:val="21"/>
                <w:szCs w:val="21"/>
              </w:rPr>
              <w:t>自有资金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84"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8119" w:type="dxa"/>
            <w:tcBorders>
              <w:top w:val="single" w:color="auto" w:sz="6" w:space="0"/>
            </w:tcBorders>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合格的投标人：</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（1）投标人须是在中华人民共和国境内注册的有合法经营资格的国内独立法人企业；具有履行合同的服务能力、专业技术能力、供应保障能力及风险控制能力；</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（2）投标人必须</w:t>
            </w:r>
            <w:r>
              <w:rPr>
                <w:rFonts w:hint="eastAsia" w:ascii="宋体" w:hAnsi="宋体" w:eastAsia="宋体" w:cs="宋体"/>
                <w:color w:val="auto"/>
                <w:sz w:val="21"/>
                <w:szCs w:val="21"/>
                <w:highlight w:val="none"/>
              </w:rPr>
              <w:t>承接过</w:t>
            </w:r>
            <w:r>
              <w:rPr>
                <w:rFonts w:hint="eastAsia" w:ascii="宋体" w:hAnsi="Times New Roman" w:eastAsia="宋体" w:cs="宋体"/>
                <w:b/>
                <w:color w:val="FF0000"/>
                <w:kern w:val="0"/>
                <w:szCs w:val="21"/>
                <w:highlight w:val="none"/>
                <w:lang w:val="en-US" w:eastAsia="zh-CN"/>
              </w:rPr>
              <w:t>电竞赛事</w:t>
            </w:r>
            <w:r>
              <w:rPr>
                <w:rFonts w:hint="eastAsia" w:ascii="宋体" w:hAnsi="Times New Roman" w:eastAsia="宋体" w:cs="宋体"/>
                <w:b/>
                <w:color w:val="FF0000"/>
                <w:kern w:val="0"/>
                <w:szCs w:val="21"/>
                <w:highlight w:val="none"/>
                <w:lang w:val="zh-CN"/>
              </w:rPr>
              <w:t>类项目</w:t>
            </w:r>
            <w:r>
              <w:rPr>
                <w:rFonts w:hint="eastAsia" w:ascii="宋体" w:hAnsi="宋体" w:eastAsia="宋体" w:cs="宋体"/>
                <w:color w:val="auto"/>
                <w:sz w:val="21"/>
                <w:szCs w:val="21"/>
                <w:highlight w:val="none"/>
              </w:rPr>
              <w:t>工作，有相应项目工作经验和</w:t>
            </w:r>
            <w:r>
              <w:rPr>
                <w:rFonts w:hint="eastAsia" w:ascii="宋体" w:hAnsi="宋体" w:cs="宋体"/>
                <w:color w:val="auto"/>
                <w:sz w:val="21"/>
                <w:szCs w:val="21"/>
                <w:highlight w:val="none"/>
                <w:lang w:val="en-US" w:eastAsia="zh-CN"/>
              </w:rPr>
              <w:t>展会</w:t>
            </w:r>
            <w:r>
              <w:rPr>
                <w:rFonts w:hint="eastAsia" w:ascii="宋体" w:hAnsi="宋体" w:eastAsia="宋体" w:cs="宋体"/>
                <w:color w:val="auto"/>
                <w:sz w:val="21"/>
                <w:szCs w:val="21"/>
                <w:highlight w:val="none"/>
              </w:rPr>
              <w:t>现场应变能力的专业公司，经营</w:t>
            </w:r>
            <w:r>
              <w:rPr>
                <w:rFonts w:hint="eastAsia" w:ascii="宋体" w:hAnsi="宋体" w:eastAsia="宋体" w:cs="宋体"/>
                <w:color w:val="auto"/>
                <w:sz w:val="21"/>
                <w:szCs w:val="21"/>
              </w:rPr>
              <w:t>范围具有相关经营范围；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（3）投标人必须合法运作，不存在违法违规等不良记录；具有良好的银行资信和商业信誉，无处于被责令停业，财产被接管，冻结，破产状态；</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5"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8119" w:type="dxa"/>
            <w:tcBorders>
              <w:top w:val="single" w:color="auto" w:sz="6" w:space="0"/>
            </w:tcBorders>
          </w:tcPr>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color w:val="auto"/>
                <w:sz w:val="21"/>
                <w:szCs w:val="21"/>
              </w:rPr>
            </w:pPr>
            <w:r>
              <w:rPr>
                <w:rFonts w:hint="eastAsia" w:ascii="宋体" w:hAnsi="宋体" w:eastAsia="宋体" w:cs="宋体"/>
                <w:b/>
                <w:bCs/>
                <w:color w:val="auto"/>
                <w:sz w:val="21"/>
                <w:szCs w:val="21"/>
              </w:rPr>
              <w:t>本次投标上限价为人民币：</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小写</w:t>
            </w:r>
            <w:r>
              <w:rPr>
                <w:rFonts w:hint="eastAsia" w:ascii="宋体" w:hAnsi="宋体" w:eastAsia="宋体" w:cs="宋体"/>
                <w:color w:val="auto"/>
                <w:kern w:val="0"/>
                <w:sz w:val="21"/>
                <w:szCs w:val="21"/>
                <w:highlight w:val="none"/>
              </w:rPr>
              <w:t>：RMB</w:t>
            </w:r>
            <w:r>
              <w:rPr>
                <w:rFonts w:hint="eastAsia" w:ascii="宋体" w:hAnsi="宋体" w:cs="宋体"/>
                <w:b/>
                <w:color w:val="auto"/>
                <w:kern w:val="0"/>
                <w:sz w:val="21"/>
                <w:szCs w:val="21"/>
                <w:highlight w:val="none"/>
                <w:u w:val="single"/>
                <w:lang w:val="en-US" w:eastAsia="zh-CN"/>
              </w:rPr>
              <w:t>160000</w:t>
            </w:r>
            <w:r>
              <w:rPr>
                <w:rFonts w:hint="eastAsia" w:ascii="宋体" w:hAnsi="宋体" w:eastAsia="宋体" w:cs="宋体"/>
                <w:color w:val="auto"/>
                <w:kern w:val="0"/>
                <w:sz w:val="21"/>
                <w:szCs w:val="21"/>
                <w:highlight w:val="none"/>
                <w:u w:val="single"/>
              </w:rPr>
              <w:t>元</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大写：人民币</w:t>
            </w:r>
            <w:r>
              <w:rPr>
                <w:rFonts w:hint="eastAsia" w:ascii="宋体" w:hAnsi="宋体" w:cs="宋体"/>
                <w:color w:val="auto"/>
                <w:kern w:val="0"/>
                <w:sz w:val="21"/>
                <w:szCs w:val="21"/>
                <w:highlight w:val="none"/>
                <w:u w:val="single"/>
                <w:lang w:val="en-US" w:eastAsia="zh-CN"/>
              </w:rPr>
              <w:t>壹拾陆万元</w:t>
            </w:r>
            <w:r>
              <w:rPr>
                <w:rFonts w:hint="eastAsia" w:ascii="宋体" w:hAnsi="宋体" w:eastAsia="宋体" w:cs="宋体"/>
                <w:b/>
                <w:color w:val="auto"/>
                <w:kern w:val="0"/>
                <w:sz w:val="21"/>
                <w:szCs w:val="21"/>
                <w:highlight w:val="none"/>
                <w:u w:val="single"/>
                <w:lang w:val="zh-CN"/>
              </w:rPr>
              <w:t>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val="0"/>
                <w:bCs/>
                <w:color w:val="auto"/>
                <w:kern w:val="0"/>
                <w:sz w:val="21"/>
                <w:szCs w:val="21"/>
                <w:highlight w:val="none"/>
              </w:rPr>
              <w:t>投标人报价应包括完成本项目所需的一切费用，超出此预算控制金额的投标报价将导致其投标无效。投标人开具的发票为增值税专用发票。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6"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8119" w:type="dxa"/>
            <w:tcBorders>
              <w:top w:val="single" w:color="auto" w:sz="6" w:space="0"/>
            </w:tcBorders>
            <w:vAlign w:val="center"/>
          </w:tcPr>
          <w:p>
            <w:pPr>
              <w:pageBreakBefore w:val="0"/>
              <w:kinsoku/>
              <w:wordWrap/>
              <w:overflowPunct/>
              <w:topLinePunct w:val="0"/>
              <w:autoSpaceDE w:val="0"/>
              <w:autoSpaceDN w:val="0"/>
              <w:bidi w:val="0"/>
              <w:snapToGrid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highlight w:val="none"/>
              </w:rPr>
              <w:t>投标保证金：</w:t>
            </w:r>
            <w:r>
              <w:rPr>
                <w:rFonts w:hint="eastAsia" w:ascii="宋体" w:hAnsi="宋体" w:eastAsia="宋体" w:cs="宋体"/>
                <w:b/>
                <w:color w:val="auto"/>
                <w:sz w:val="21"/>
                <w:szCs w:val="21"/>
                <w:highlight w:val="yellow"/>
              </w:rPr>
              <w:t>（此项目无需</w:t>
            </w:r>
            <w:r>
              <w:rPr>
                <w:rFonts w:hint="eastAsia" w:ascii="宋体" w:hAnsi="宋体" w:eastAsia="宋体" w:cs="宋体"/>
                <w:b/>
                <w:bCs/>
                <w:color w:val="auto"/>
                <w:kern w:val="0"/>
                <w:sz w:val="21"/>
                <w:szCs w:val="21"/>
                <w:highlight w:val="yellow"/>
                <w:u w:val="none"/>
                <w:lang w:val="zh-CN"/>
              </w:rPr>
              <w:t>保证金</w:t>
            </w:r>
            <w:r>
              <w:rPr>
                <w:rFonts w:hint="eastAsia" w:ascii="宋体" w:hAnsi="宋体" w:eastAsia="宋体" w:cs="宋体"/>
                <w:b/>
                <w:color w:val="auto"/>
                <w:sz w:val="21"/>
                <w:szCs w:val="21"/>
                <w:highlight w:val="yellow"/>
                <w:u w:val="none"/>
              </w:rPr>
              <w:t>）</w:t>
            </w:r>
            <w:r>
              <w:rPr>
                <w:rFonts w:hint="eastAsia" w:ascii="宋体" w:hAnsi="宋体" w:eastAsia="宋体" w:cs="宋体"/>
                <w:b/>
                <w:color w:val="auto"/>
                <w:sz w:val="21"/>
                <w:szCs w:val="21"/>
                <w:highlight w:val="yellow"/>
              </w:rPr>
              <w:t xml:space="preserve"> </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递交金额:</w:t>
            </w:r>
            <w:r>
              <w:rPr>
                <w:rFonts w:hint="eastAsia" w:ascii="宋体" w:hAnsi="宋体" w:eastAsia="宋体" w:cs="宋体"/>
                <w:color w:val="auto"/>
                <w:sz w:val="21"/>
                <w:szCs w:val="21"/>
                <w:highlight w:val="none"/>
                <w:u w:val="none"/>
              </w:rPr>
              <w:t xml:space="preserve"> 元（人民币）</w:t>
            </w:r>
            <w:r>
              <w:rPr>
                <w:rFonts w:hint="eastAsia" w:ascii="宋体" w:hAnsi="宋体" w:eastAsia="宋体" w:cs="宋体"/>
                <w:color w:val="auto"/>
                <w:sz w:val="21"/>
                <w:szCs w:val="21"/>
                <w:u w:val="none"/>
              </w:rPr>
              <w:t xml:space="preserve"> </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递交方式：银行转账</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账户名称：深圳市设计之都运营发展有限公司</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账户号码：338200100100051632</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开户银行：兴业银行深圳民治支行</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u w:val="none"/>
              </w:rPr>
            </w:pPr>
            <w:r>
              <w:rPr>
                <w:rFonts w:hint="eastAsia" w:ascii="宋体" w:hAnsi="宋体" w:eastAsia="宋体" w:cs="宋体"/>
                <w:color w:val="auto"/>
                <w:sz w:val="21"/>
                <w:szCs w:val="21"/>
                <w:u w:val="none"/>
              </w:rPr>
              <w:t xml:space="preserve">递交截止日：投标文件截止时  </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u w:val="none"/>
              </w:rPr>
              <w:t>投标保证金有效期</w:t>
            </w:r>
            <w:r>
              <w:rPr>
                <w:rFonts w:hint="eastAsia" w:ascii="宋体" w:hAnsi="宋体" w:cs="宋体"/>
                <w:color w:val="auto"/>
                <w:sz w:val="21"/>
                <w:szCs w:val="21"/>
                <w:u w:val="none"/>
                <w:lang w:eastAsia="zh-CN"/>
              </w:rPr>
              <w:t>：</w:t>
            </w:r>
            <w:r>
              <w:rPr>
                <w:rFonts w:hint="eastAsia" w:ascii="宋体" w:hAnsi="宋体" w:eastAsia="宋体" w:cs="宋体"/>
                <w:color w:val="auto"/>
                <w:sz w:val="21"/>
                <w:szCs w:val="21"/>
                <w:u w:val="none"/>
              </w:rPr>
              <w:t>比投标文件有效期延长28天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45"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color w:val="auto"/>
                <w:sz w:val="21"/>
                <w:szCs w:val="21"/>
              </w:rPr>
              <w:t>二、投标文件的编制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6"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8119" w:type="dxa"/>
          </w:tcPr>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color w:val="auto"/>
                <w:sz w:val="21"/>
                <w:szCs w:val="21"/>
              </w:rPr>
            </w:pPr>
            <w:r>
              <w:rPr>
                <w:rFonts w:hint="eastAsia" w:ascii="宋体" w:hAnsi="宋体" w:eastAsia="宋体" w:cs="宋体"/>
                <w:b/>
                <w:color w:val="auto"/>
                <w:sz w:val="21"/>
                <w:szCs w:val="21"/>
              </w:rPr>
              <w:t>投标语言</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12" w:type="dxa"/>
            <w:tcBorders>
              <w:bottom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8119" w:type="dxa"/>
            <w:tcBorders>
              <w:bottom w:val="single" w:color="auto" w:sz="4" w:space="0"/>
            </w:tcBorders>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服务提供时间要求：</w:t>
            </w:r>
          </w:p>
          <w:p>
            <w:pPr>
              <w:autoSpaceDE w:val="0"/>
              <w:autoSpaceDN w:val="0"/>
              <w:adjustRightInd w:val="0"/>
              <w:jc w:val="lef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第十三届深圳动漫节</w:t>
            </w:r>
            <w:r>
              <w:rPr>
                <w:rFonts w:hint="eastAsia" w:asciiTheme="minorEastAsia" w:hAnsiTheme="minorEastAsia" w:cstheme="minorEastAsia"/>
                <w:sz w:val="22"/>
                <w:szCs w:val="22"/>
                <w:u w:val="single"/>
                <w:lang w:val="en-US" w:eastAsia="zh-CN"/>
              </w:rPr>
              <w:t>于</w:t>
            </w:r>
            <w:r>
              <w:rPr>
                <w:rFonts w:hint="eastAsia" w:asciiTheme="minorEastAsia" w:hAnsiTheme="minorEastAsia" w:eastAsiaTheme="minorEastAsia" w:cstheme="minorEastAsia"/>
                <w:sz w:val="22"/>
                <w:szCs w:val="22"/>
                <w:u w:val="single"/>
              </w:rPr>
              <w:t>2024年7月25-28日</w:t>
            </w:r>
          </w:p>
          <w:p>
            <w:pPr>
              <w:pageBreakBefore w:val="0"/>
              <w:widowControl/>
              <w:kinsoku/>
              <w:wordWrap/>
              <w:overflowPunct/>
              <w:topLinePunct w:val="0"/>
              <w:bidi w:val="0"/>
              <w:spacing w:line="240" w:lineRule="auto"/>
              <w:ind w:left="0" w:leftChars="0" w:right="0" w:firstLine="0" w:firstLineChars="0"/>
              <w:jc w:val="left"/>
              <w:rPr>
                <w:rFonts w:hint="eastAsia" w:ascii="宋体" w:hAnsi="宋体" w:eastAsia="宋体" w:cs="宋体"/>
                <w:color w:val="auto"/>
                <w:sz w:val="21"/>
                <w:szCs w:val="21"/>
              </w:rPr>
            </w:pPr>
            <w:r>
              <w:rPr>
                <w:rFonts w:hint="eastAsia" w:asciiTheme="minorEastAsia" w:hAnsiTheme="minorEastAsia" w:eastAsiaTheme="minorEastAsia" w:cstheme="minorEastAsia"/>
                <w:sz w:val="22"/>
                <w:szCs w:val="22"/>
                <w:u w:val="single"/>
              </w:rPr>
              <w:t>在深圳会展中心 2/3/4号馆</w:t>
            </w:r>
            <w:r>
              <w:rPr>
                <w:rFonts w:hint="eastAsia" w:ascii="宋体" w:hAnsi="Times New Roman" w:eastAsia="宋体" w:cs="宋体"/>
                <w:bCs/>
                <w:kern w:val="0"/>
                <w:szCs w:val="21"/>
                <w:lang w:val="zh-CN"/>
              </w:rPr>
              <w:t>。（北京时间）</w:t>
            </w:r>
            <w:r>
              <w:rPr>
                <w:rFonts w:ascii="Times New Roman" w:hAnsi="Times New Roman" w:eastAsia="宋体" w:cs="Times New Roman"/>
                <w:kern w:val="0"/>
                <w:szCs w:val="21"/>
              </w:rPr>
              <w:t xml:space="preserve"> (</w:t>
            </w:r>
            <w:r>
              <w:rPr>
                <w:rFonts w:hint="eastAsia" w:ascii="宋体" w:hAnsi="Times New Roman" w:eastAsia="宋体" w:cs="宋体"/>
                <w:kern w:val="0"/>
                <w:szCs w:val="21"/>
                <w:lang w:val="zh-CN"/>
              </w:rPr>
              <w:t>以招标人最终通知为准</w:t>
            </w:r>
            <w:r>
              <w:rPr>
                <w:rFonts w:ascii="Times New Roman" w:hAnsi="Times New Roman" w:eastAsia="宋体" w:cs="Times New Roman"/>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712" w:type="dxa"/>
            <w:tcBorders>
              <w:bottom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8</w:t>
            </w:r>
          </w:p>
        </w:tc>
        <w:tc>
          <w:tcPr>
            <w:tcW w:w="8119" w:type="dxa"/>
            <w:tcBorders>
              <w:bottom w:val="single" w:color="auto" w:sz="4" w:space="0"/>
            </w:tcBorders>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b/>
                <w:bCs/>
                <w:color w:val="auto"/>
                <w:sz w:val="21"/>
                <w:szCs w:val="21"/>
              </w:rPr>
              <w:t>报价要求：</w:t>
            </w:r>
          </w:p>
          <w:p>
            <w:pPr>
              <w:pStyle w:val="49"/>
              <w:pageBreakBefore w:val="0"/>
              <w:kinsoku/>
              <w:wordWrap/>
              <w:overflowPunct/>
              <w:topLinePunct w:val="0"/>
              <w:bidi w:val="0"/>
              <w:spacing w:line="240" w:lineRule="auto"/>
              <w:ind w:left="0" w:leftChars="0" w:right="0" w:firstLine="420" w:firstLineChars="200"/>
              <w:rPr>
                <w:rFonts w:hint="eastAsia" w:ascii="宋体" w:hAnsi="宋体" w:eastAsia="宋体" w:cs="宋体"/>
                <w:b/>
                <w:bCs/>
                <w:color w:val="auto"/>
                <w:sz w:val="21"/>
                <w:szCs w:val="21"/>
                <w:lang w:eastAsia="zh-CN"/>
              </w:rPr>
            </w:pPr>
            <w:r>
              <w:rPr>
                <w:rFonts w:hint="eastAsia" w:ascii="宋体" w:hAnsi="宋体" w:eastAsia="宋体" w:cs="宋体"/>
                <w:color w:val="auto"/>
                <w:kern w:val="0"/>
                <w:sz w:val="21"/>
                <w:szCs w:val="21"/>
                <w:u w:val="none"/>
              </w:rPr>
              <w:t>投标货币为人民币，</w:t>
            </w:r>
            <w:r>
              <w:rPr>
                <w:rFonts w:hint="eastAsia" w:ascii="宋体" w:hAnsi="宋体" w:eastAsia="宋体" w:cs="宋体"/>
                <w:color w:val="auto"/>
                <w:kern w:val="0"/>
                <w:sz w:val="21"/>
                <w:szCs w:val="21"/>
                <w:highlight w:val="none"/>
                <w:u w:val="none"/>
              </w:rPr>
              <w:t>报价应包括完成本项目所需的一切费用。总服务价格（含税），另根据各投标人清单明细服务价格（含税）</w:t>
            </w:r>
            <w:r>
              <w:rPr>
                <w:rFonts w:hint="eastAsia" w:ascii="宋体" w:hAnsi="宋体" w:cs="宋体"/>
                <w:color w:val="auto"/>
                <w:kern w:val="0"/>
                <w:sz w:val="21"/>
                <w:szCs w:val="21"/>
                <w:highlight w:val="none"/>
                <w:u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85" w:hRule="atLeast"/>
        </w:trPr>
        <w:tc>
          <w:tcPr>
            <w:tcW w:w="712" w:type="dxa"/>
            <w:tcBorders>
              <w:top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p>
        </w:tc>
        <w:tc>
          <w:tcPr>
            <w:tcW w:w="8119" w:type="dxa"/>
            <w:tcBorders>
              <w:top w:val="single" w:color="auto" w:sz="4" w:space="0"/>
            </w:tcBorders>
          </w:tcPr>
          <w:p>
            <w:pPr>
              <w:pStyle w:val="2"/>
              <w:spacing w:line="240" w:lineRule="auto"/>
              <w:ind w:firstLine="0" w:firstLineChars="0"/>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rPr>
              <w:t>结算方式：</w:t>
            </w:r>
          </w:p>
          <w:p>
            <w:pPr>
              <w:pStyle w:val="2"/>
              <w:spacing w:line="240" w:lineRule="auto"/>
              <w:ind w:firstLine="420" w:firstLineChars="200"/>
              <w:rPr>
                <w:rFonts w:hint="eastAsia" w:ascii="宋体" w:hAnsi="宋体" w:eastAsia="宋体" w:cs="宋体"/>
                <w:kern w:val="0"/>
                <w:sz w:val="21"/>
                <w:szCs w:val="21"/>
                <w:highlight w:val="none"/>
                <w:lang w:val="zh-CN"/>
              </w:rPr>
            </w:pPr>
            <w:r>
              <w:rPr>
                <w:rFonts w:hint="eastAsia" w:ascii="宋体" w:hAnsi="宋体" w:eastAsia="宋体" w:cs="宋体"/>
                <w:color w:val="auto"/>
                <w:kern w:val="0"/>
                <w:sz w:val="21"/>
                <w:szCs w:val="21"/>
                <w:highlight w:val="none"/>
                <w:lang w:val="zh-CN"/>
              </w:rPr>
              <w:t>合同签署后</w:t>
            </w:r>
            <w:r>
              <w:rPr>
                <w:rFonts w:hint="eastAsia" w:ascii="宋体" w:hAnsi="宋体" w:eastAsia="宋体" w:cs="宋体"/>
                <w:color w:val="auto"/>
                <w:kern w:val="0"/>
                <w:sz w:val="21"/>
                <w:szCs w:val="21"/>
                <w:highlight w:val="none"/>
                <w:lang w:val="en-US" w:eastAsia="zh-CN"/>
              </w:rPr>
              <w:t>十</w:t>
            </w:r>
            <w:r>
              <w:rPr>
                <w:rFonts w:hint="eastAsia" w:ascii="宋体" w:hAnsi="宋体" w:eastAsia="宋体" w:cs="宋体"/>
                <w:color w:val="auto"/>
                <w:kern w:val="0"/>
                <w:sz w:val="21"/>
                <w:szCs w:val="21"/>
                <w:highlight w:val="none"/>
                <w:lang w:val="zh-CN"/>
              </w:rPr>
              <w:t xml:space="preserve">个工作日内支付 </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lang w:val="zh-CN"/>
              </w:rPr>
              <w:t>0%，项目开始前五个工作日</w:t>
            </w:r>
            <w:r>
              <w:rPr>
                <w:rFonts w:hint="eastAsia" w:ascii="宋体" w:hAnsi="宋体" w:eastAsia="宋体" w:cs="宋体"/>
                <w:color w:val="auto"/>
                <w:kern w:val="0"/>
                <w:sz w:val="21"/>
                <w:szCs w:val="21"/>
                <w:highlight w:val="none"/>
                <w:lang w:val="en-US" w:eastAsia="zh-CN"/>
              </w:rPr>
              <w:t>内</w:t>
            </w:r>
            <w:r>
              <w:rPr>
                <w:rFonts w:hint="eastAsia" w:ascii="宋体" w:hAnsi="宋体" w:eastAsia="宋体" w:cs="宋体"/>
                <w:color w:val="auto"/>
                <w:kern w:val="0"/>
                <w:sz w:val="21"/>
                <w:szCs w:val="21"/>
                <w:highlight w:val="none"/>
                <w:lang w:val="zh-CN"/>
              </w:rPr>
              <w:t>支付 50%，项目完成后，</w:t>
            </w:r>
            <w:r>
              <w:rPr>
                <w:rFonts w:hint="eastAsia" w:ascii="宋体" w:hAnsi="宋体" w:eastAsia="宋体" w:cs="宋体"/>
                <w:color w:val="auto"/>
                <w:kern w:val="0"/>
                <w:sz w:val="21"/>
                <w:szCs w:val="21"/>
                <w:highlight w:val="none"/>
                <w:lang w:val="en-US" w:eastAsia="zh-CN"/>
              </w:rPr>
              <w:t>经</w:t>
            </w:r>
            <w:r>
              <w:rPr>
                <w:rFonts w:hint="eastAsia" w:ascii="宋体" w:hAnsi="宋体" w:eastAsia="宋体" w:cs="宋体"/>
                <w:color w:val="auto"/>
                <w:kern w:val="0"/>
                <w:sz w:val="21"/>
                <w:szCs w:val="21"/>
                <w:highlight w:val="none"/>
                <w:lang w:val="zh-CN"/>
              </w:rPr>
              <w:t>甲方验收</w:t>
            </w:r>
            <w:r>
              <w:rPr>
                <w:rFonts w:hint="eastAsia" w:ascii="宋体" w:hAnsi="宋体" w:eastAsia="宋体" w:cs="宋体"/>
                <w:color w:val="auto"/>
                <w:kern w:val="0"/>
                <w:sz w:val="21"/>
                <w:szCs w:val="21"/>
                <w:highlight w:val="none"/>
                <w:lang w:val="en-US" w:eastAsia="zh-CN"/>
              </w:rPr>
              <w:t>及</w:t>
            </w:r>
            <w:r>
              <w:rPr>
                <w:rFonts w:hint="eastAsia" w:ascii="宋体" w:hAnsi="宋体" w:eastAsia="宋体" w:cs="宋体"/>
                <w:kern w:val="0"/>
                <w:sz w:val="21"/>
                <w:szCs w:val="21"/>
                <w:highlight w:val="none"/>
                <w:lang w:val="zh-CN"/>
              </w:rPr>
              <w:t>履约评价考核</w:t>
            </w:r>
            <w:r>
              <w:rPr>
                <w:rFonts w:hint="eastAsia" w:ascii="宋体" w:hAnsi="宋体" w:eastAsia="宋体" w:cs="宋体"/>
                <w:kern w:val="0"/>
                <w:sz w:val="21"/>
                <w:szCs w:val="21"/>
                <w:highlight w:val="none"/>
                <w:lang w:val="en-US" w:eastAsia="zh-CN"/>
              </w:rPr>
              <w:t>后</w:t>
            </w:r>
            <w:r>
              <w:rPr>
                <w:rFonts w:hint="eastAsia" w:ascii="宋体" w:hAnsi="宋体" w:eastAsia="宋体" w:cs="宋体"/>
                <w:kern w:val="0"/>
                <w:sz w:val="21"/>
                <w:szCs w:val="21"/>
                <w:highlight w:val="none"/>
                <w:lang w:val="zh-CN"/>
              </w:rPr>
              <w:t>（具体履约评价要求见附件）</w:t>
            </w:r>
            <w:r>
              <w:rPr>
                <w:rFonts w:hint="eastAsia" w:ascii="宋体" w:hAnsi="宋体" w:eastAsia="宋体" w:cs="宋体"/>
                <w:color w:val="auto"/>
                <w:kern w:val="0"/>
                <w:sz w:val="21"/>
                <w:szCs w:val="21"/>
                <w:highlight w:val="none"/>
                <w:lang w:val="zh-CN"/>
              </w:rPr>
              <w:t>书面签字确认，十五</w:t>
            </w:r>
            <w:r>
              <w:rPr>
                <w:rFonts w:hint="eastAsia" w:ascii="宋体" w:hAnsi="宋体" w:eastAsia="宋体" w:cs="宋体"/>
                <w:kern w:val="0"/>
                <w:sz w:val="21"/>
                <w:szCs w:val="21"/>
                <w:highlight w:val="none"/>
                <w:lang w:val="zh-CN"/>
              </w:rPr>
              <w:t>个工作日内，根据履约</w:t>
            </w:r>
            <w:r>
              <w:rPr>
                <w:rFonts w:hint="eastAsia" w:ascii="宋体" w:hAnsi="宋体" w:eastAsia="宋体" w:cs="宋体"/>
                <w:kern w:val="0"/>
                <w:sz w:val="21"/>
                <w:szCs w:val="21"/>
                <w:highlight w:val="none"/>
                <w:lang w:val="en-US" w:eastAsia="zh-CN"/>
              </w:rPr>
              <w:t>考核</w:t>
            </w:r>
            <w:r>
              <w:rPr>
                <w:rFonts w:hint="eastAsia" w:ascii="宋体" w:hAnsi="宋体" w:eastAsia="宋体" w:cs="宋体"/>
                <w:kern w:val="0"/>
                <w:sz w:val="21"/>
                <w:szCs w:val="21"/>
                <w:highlight w:val="none"/>
                <w:lang w:val="zh-CN"/>
              </w:rPr>
              <w:t>情况，向乙方支付对应的合同尾款。</w:t>
            </w:r>
          </w:p>
          <w:p>
            <w:pPr>
              <w:pStyle w:val="2"/>
              <w:spacing w:line="240" w:lineRule="auto"/>
              <w:ind w:firstLine="422" w:firstLineChars="200"/>
              <w:rPr>
                <w:rFonts w:hint="eastAsia" w:ascii="宋体" w:hAnsi="宋体" w:eastAsia="宋体" w:cs="宋体"/>
                <w:color w:val="auto"/>
                <w:sz w:val="21"/>
                <w:szCs w:val="21"/>
                <w:highlight w:val="yellow"/>
              </w:rPr>
            </w:pPr>
            <w:r>
              <w:rPr>
                <w:rFonts w:hint="eastAsia" w:ascii="宋体" w:hAnsi="宋体" w:eastAsia="宋体" w:cs="宋体"/>
                <w:b/>
                <w:bCs/>
                <w:color w:val="auto"/>
                <w:kern w:val="0"/>
                <w:sz w:val="21"/>
                <w:szCs w:val="21"/>
                <w:highlight w:val="none"/>
                <w:lang w:val="zh-CN"/>
              </w:rPr>
              <w:t>（必需提供增值税专用发票）</w:t>
            </w:r>
          </w:p>
          <w:p>
            <w:pPr>
              <w:pStyle w:val="2"/>
              <w:spacing w:line="240" w:lineRule="auto"/>
              <w:ind w:firstLine="420" w:firstLineChars="200"/>
              <w:rPr>
                <w:rFonts w:hint="eastAsia" w:ascii="宋体" w:hAnsi="宋体" w:eastAsia="宋体" w:cs="宋体"/>
                <w:b/>
                <w:color w:val="auto"/>
                <w:sz w:val="21"/>
                <w:szCs w:val="21"/>
                <w:u w:val="single"/>
              </w:rPr>
            </w:pPr>
            <w:r>
              <w:rPr>
                <w:rStyle w:val="61"/>
                <w:rFonts w:hint="eastAsia" w:ascii="宋体" w:hAnsi="宋体" w:eastAsia="宋体" w:cs="宋体"/>
                <w:color w:val="auto"/>
                <w:sz w:val="21"/>
                <w:szCs w:val="21"/>
                <w:highlight w:val="none"/>
              </w:rPr>
              <w:t>注：上述费用为含税价，包括活动相关所有费用。</w:t>
            </w:r>
            <w:r>
              <w:rPr>
                <w:rStyle w:val="61"/>
                <w:rFonts w:hint="eastAsia" w:ascii="宋体" w:hAnsi="宋体" w:eastAsia="宋体" w:cs="宋体"/>
                <w:color w:val="auto"/>
                <w:sz w:val="21"/>
                <w:szCs w:val="21"/>
                <w:highlight w:val="none"/>
                <w:lang w:val="en-US" w:eastAsia="zh-CN"/>
              </w:rPr>
              <w:t>供应商报价时需单列增值税率。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7" w:hRule="atLeast"/>
        </w:trPr>
        <w:tc>
          <w:tcPr>
            <w:tcW w:w="712" w:type="dxa"/>
            <w:tcBorders>
              <w:top w:val="single" w:color="auto" w:sz="4" w:space="0"/>
            </w:tcBorders>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0</w:t>
            </w:r>
          </w:p>
        </w:tc>
        <w:tc>
          <w:tcPr>
            <w:tcW w:w="8119" w:type="dxa"/>
            <w:tcBorders>
              <w:top w:val="single" w:color="auto" w:sz="4" w:space="0"/>
            </w:tcBorders>
          </w:tcPr>
          <w:p>
            <w:pPr>
              <w:pStyle w:val="2"/>
              <w:spacing w:line="240" w:lineRule="auto"/>
              <w:ind w:firstLine="0" w:firstLineChars="0"/>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rPr>
              <w:t>履约评价考核</w:t>
            </w:r>
            <w:r>
              <w:rPr>
                <w:rStyle w:val="61"/>
                <w:rFonts w:hint="eastAsia" w:ascii="宋体" w:hAnsi="宋体" w:eastAsia="宋体" w:cs="宋体"/>
                <w:b/>
                <w:bCs/>
                <w:color w:val="auto"/>
                <w:sz w:val="21"/>
                <w:szCs w:val="21"/>
                <w:highlight w:val="none"/>
                <w:lang w:eastAsia="zh-CN"/>
              </w:rPr>
              <w:t>：</w:t>
            </w:r>
          </w:p>
          <w:p>
            <w:pPr>
              <w:pStyle w:val="2"/>
              <w:numPr>
                <w:ilvl w:val="0"/>
                <w:numId w:val="5"/>
              </w:numPr>
              <w:spacing w:line="24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履约评价考核方式：</w:t>
            </w:r>
          </w:p>
          <w:p>
            <w:pPr>
              <w:pStyle w:val="2"/>
              <w:numPr>
                <w:ilvl w:val="-1"/>
                <w:numId w:val="0"/>
              </w:numPr>
              <w:spacing w:line="240" w:lineRule="auto"/>
              <w:ind w:firstLine="420" w:firstLineChars="200"/>
              <w:jc w:val="both"/>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乙方完成本合同项下全部服务事项后20个工作日内向甲方提交项目</w:t>
            </w:r>
            <w:r>
              <w:rPr>
                <w:rStyle w:val="61"/>
                <w:rFonts w:hint="eastAsia" w:ascii="宋体" w:hAnsi="宋体" w:eastAsia="宋体" w:cs="宋体"/>
                <w:b w:val="0"/>
                <w:bCs w:val="0"/>
                <w:color w:val="auto"/>
                <w:sz w:val="21"/>
                <w:szCs w:val="21"/>
                <w:highlight w:val="none"/>
                <w:lang w:val="en-US" w:eastAsia="zh-CN"/>
              </w:rPr>
              <w:t>结算</w:t>
            </w:r>
            <w:r>
              <w:rPr>
                <w:rStyle w:val="61"/>
                <w:rFonts w:hint="eastAsia" w:ascii="宋体" w:hAnsi="宋体" w:eastAsia="宋体" w:cs="宋体"/>
                <w:b w:val="0"/>
                <w:bCs w:val="0"/>
                <w:color w:val="auto"/>
                <w:sz w:val="21"/>
                <w:szCs w:val="21"/>
                <w:highlight w:val="none"/>
                <w:lang w:eastAsia="zh-CN"/>
              </w:rPr>
              <w:t>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乙方履约评价考核按下表执行，其中履约评价考核得分在60分以下（不含本数）者为不合格：</w:t>
            </w:r>
          </w:p>
          <w:tbl>
            <w:tblPr>
              <w:tblStyle w:val="55"/>
              <w:tblW w:w="7402" w:type="dxa"/>
              <w:jc w:val="center"/>
              <w:tblLayout w:type="autofit"/>
              <w:tblCellMar>
                <w:top w:w="0" w:type="dxa"/>
                <w:left w:w="108" w:type="dxa"/>
                <w:bottom w:w="0" w:type="dxa"/>
                <w:right w:w="108" w:type="dxa"/>
              </w:tblCellMar>
            </w:tblPr>
            <w:tblGrid>
              <w:gridCol w:w="2303"/>
              <w:gridCol w:w="3588"/>
              <w:gridCol w:w="1511"/>
            </w:tblGrid>
            <w:tr>
              <w:tblPrEx>
                <w:tblCellMar>
                  <w:top w:w="0" w:type="dxa"/>
                  <w:left w:w="108" w:type="dxa"/>
                  <w:bottom w:w="0" w:type="dxa"/>
                  <w:right w:w="108" w:type="dxa"/>
                </w:tblCellMar>
              </w:tblPrEx>
              <w:trPr>
                <w:trHeight w:val="477" w:hRule="atLeast"/>
                <w:jc w:val="center"/>
              </w:trPr>
              <w:tc>
                <w:tcPr>
                  <w:tcW w:w="1555"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履约评价得分</w:t>
                  </w:r>
                </w:p>
              </w:tc>
              <w:tc>
                <w:tcPr>
                  <w:tcW w:w="2423"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对应支付的合同尾款</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备注</w:t>
                  </w:r>
                </w:p>
              </w:tc>
            </w:tr>
            <w:tr>
              <w:tblPrEx>
                <w:tblCellMar>
                  <w:top w:w="0" w:type="dxa"/>
                  <w:left w:w="108" w:type="dxa"/>
                  <w:bottom w:w="0" w:type="dxa"/>
                  <w:right w:w="108" w:type="dxa"/>
                </w:tblCellMar>
              </w:tblPrEx>
              <w:trPr>
                <w:trHeight w:val="167" w:hRule="atLeast"/>
                <w:jc w:val="center"/>
              </w:trPr>
              <w:tc>
                <w:tcPr>
                  <w:tcW w:w="1555"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80分以上（含80分）</w:t>
                  </w:r>
                </w:p>
              </w:tc>
              <w:tc>
                <w:tcPr>
                  <w:tcW w:w="2423"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default" w:ascii="宋体" w:hAnsi="宋体" w:cs="宋体"/>
                      <w:szCs w:val="21"/>
                      <w:highlight w:val="none"/>
                    </w:rPr>
                  </w:pPr>
                  <w:r>
                    <w:rPr>
                      <w:rFonts w:hint="eastAsia" w:ascii="宋体" w:hAnsi="宋体" w:cs="宋体"/>
                      <w:szCs w:val="21"/>
                      <w:highlight w:val="none"/>
                      <w:lang w:val="en-US" w:eastAsia="zh-CN"/>
                    </w:rPr>
                    <w:t>剩余尾款全额支付</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831" w:hRule="atLeast"/>
                <w:jc w:val="center"/>
              </w:trPr>
              <w:tc>
                <w:tcPr>
                  <w:tcW w:w="1555" w:type="pct"/>
                  <w:tcBorders>
                    <w:top w:val="single" w:color="000000" w:sz="4" w:space="0"/>
                    <w:left w:val="single" w:color="000000" w:sz="4" w:space="0"/>
                    <w:right w:val="single" w:color="000000" w:sz="4" w:space="0"/>
                  </w:tcBorders>
                  <w:noWrap w:val="0"/>
                  <w:vAlign w:val="center"/>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0分以上，80分以下</w:t>
                  </w:r>
                </w:p>
              </w:tc>
              <w:tc>
                <w:tcPr>
                  <w:tcW w:w="2423" w:type="pct"/>
                  <w:tcBorders>
                    <w:top w:val="single" w:color="000000" w:sz="4" w:space="0"/>
                    <w:left w:val="nil"/>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以80分为基准，履约评价实际得分每少1分，对应扣减合同总价款的1%，扣除后结算余款</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rPr>
                    <w:t>/</w:t>
                  </w:r>
                </w:p>
                <w:p>
                  <w:pPr>
                    <w:widowControl w:val="0"/>
                    <w:adjustRightInd w:val="0"/>
                    <w:spacing w:line="240" w:lineRule="auto"/>
                    <w:jc w:val="both"/>
                    <w:rPr>
                      <w:rFonts w:ascii="宋体" w:hAnsi="宋体" w:cs="宋体"/>
                      <w:szCs w:val="21"/>
                      <w:highlight w:val="none"/>
                    </w:rPr>
                  </w:pPr>
                </w:p>
              </w:tc>
            </w:tr>
            <w:tr>
              <w:tblPrEx>
                <w:tblCellMar>
                  <w:top w:w="0" w:type="dxa"/>
                  <w:left w:w="108" w:type="dxa"/>
                  <w:bottom w:w="0" w:type="dxa"/>
                  <w:right w:w="108" w:type="dxa"/>
                </w:tblCellMar>
              </w:tblPrEx>
              <w:trPr>
                <w:trHeight w:val="477" w:hRule="atLeast"/>
                <w:jc w:val="center"/>
              </w:trPr>
              <w:tc>
                <w:tcPr>
                  <w:tcW w:w="1555"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240" w:lineRule="auto"/>
                    <w:jc w:val="center"/>
                    <w:rPr>
                      <w:rFonts w:ascii="宋体" w:hAnsi="宋体" w:cs="宋体"/>
                      <w:szCs w:val="21"/>
                      <w:highlight w:val="none"/>
                    </w:rPr>
                  </w:pPr>
                  <w:r>
                    <w:rPr>
                      <w:rFonts w:hint="eastAsia" w:ascii="宋体" w:hAnsi="宋体" w:cs="宋体"/>
                      <w:szCs w:val="21"/>
                      <w:highlight w:val="none"/>
                    </w:rPr>
                    <w:t>60分以下</w:t>
                  </w:r>
                </w:p>
              </w:tc>
              <w:tc>
                <w:tcPr>
                  <w:tcW w:w="2423"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Fonts w:hint="eastAsia" w:ascii="宋体" w:hAnsi="宋体" w:cs="宋体"/>
                      <w:szCs w:val="21"/>
                      <w:highlight w:val="none"/>
                      <w:lang w:val="en-US" w:eastAsia="zh-CN"/>
                    </w:rPr>
                    <w:t>不付尾款</w:t>
                  </w:r>
                  <w:r>
                    <w:rPr>
                      <w:rFonts w:hint="eastAsia" w:ascii="宋体" w:hAnsi="宋体" w:cs="宋体"/>
                      <w:szCs w:val="21"/>
                      <w:highlight w:val="none"/>
                    </w:rPr>
                    <w:t>（不合格）</w:t>
                  </w:r>
                </w:p>
              </w:tc>
              <w:tc>
                <w:tcPr>
                  <w:tcW w:w="1020"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240" w:lineRule="auto"/>
                    <w:jc w:val="center"/>
                    <w:rPr>
                      <w:rFonts w:hint="eastAsia" w:ascii="宋体" w:hAnsi="宋体" w:cs="宋体"/>
                      <w:szCs w:val="21"/>
                      <w:highlight w:val="none"/>
                    </w:rPr>
                  </w:pPr>
                  <w:r>
                    <w:rPr>
                      <w:rStyle w:val="61"/>
                      <w:rFonts w:hint="eastAsia" w:ascii="宋体" w:hAnsi="宋体" w:eastAsia="宋体" w:cs="宋体"/>
                      <w:b w:val="0"/>
                      <w:bCs w:val="0"/>
                      <w:color w:val="auto"/>
                      <w:sz w:val="21"/>
                      <w:szCs w:val="21"/>
                      <w:highlight w:val="none"/>
                      <w:lang w:val="en-US" w:eastAsia="zh-CN"/>
                    </w:rPr>
                    <w:t>并被剔除供应商库</w:t>
                  </w:r>
                </w:p>
              </w:tc>
            </w:tr>
          </w:tbl>
          <w:p>
            <w:pPr>
              <w:pStyle w:val="2"/>
              <w:numPr>
                <w:ilvl w:val="-1"/>
                <w:numId w:val="0"/>
              </w:numPr>
              <w:spacing w:line="240" w:lineRule="auto"/>
              <w:ind w:firstLine="0" w:firstLineChars="0"/>
              <w:jc w:val="both"/>
              <w:rPr>
                <w:rStyle w:val="61"/>
                <w:rFonts w:hint="eastAsia" w:ascii="宋体" w:hAnsi="宋体" w:eastAsia="宋体" w:cs="宋体"/>
                <w:b/>
                <w:bCs/>
                <w:color w:val="auto"/>
                <w:sz w:val="21"/>
                <w:szCs w:val="21"/>
                <w:highlight w:val="none"/>
                <w:lang w:eastAsia="zh-CN"/>
              </w:rPr>
            </w:pPr>
          </w:p>
          <w:p>
            <w:pPr>
              <w:pStyle w:val="2"/>
              <w:numPr>
                <w:ilvl w:val="0"/>
                <w:numId w:val="5"/>
              </w:numPr>
              <w:spacing w:line="24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w:t>
            </w:r>
            <w:r>
              <w:rPr>
                <w:rStyle w:val="61"/>
                <w:rFonts w:hint="eastAsia" w:ascii="宋体" w:hAnsi="宋体" w:eastAsia="宋体" w:cs="宋体"/>
                <w:b/>
                <w:bCs/>
                <w:color w:val="auto"/>
                <w:sz w:val="21"/>
                <w:szCs w:val="21"/>
                <w:highlight w:val="none"/>
                <w:lang w:val="en-US" w:eastAsia="zh-CN"/>
              </w:rPr>
              <w:t>管理办法</w:t>
            </w:r>
            <w:r>
              <w:rPr>
                <w:rStyle w:val="61"/>
                <w:rFonts w:hint="eastAsia" w:ascii="宋体" w:hAnsi="宋体" w:eastAsia="宋体" w:cs="宋体"/>
                <w:b/>
                <w:bCs/>
                <w:color w:val="auto"/>
                <w:sz w:val="21"/>
                <w:szCs w:val="21"/>
                <w:highlight w:val="none"/>
                <w:lang w:eastAsia="zh-CN"/>
              </w:rPr>
              <w:t>：</w:t>
            </w:r>
          </w:p>
          <w:p>
            <w:pPr>
              <w:pStyle w:val="2"/>
              <w:spacing w:line="240" w:lineRule="auto"/>
              <w:ind w:firstLine="420" w:firstLineChars="20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val="en-US" w:eastAsia="zh-CN"/>
              </w:rPr>
              <w:t xml:space="preserve">第一条 </w:t>
            </w:r>
            <w:r>
              <w:rPr>
                <w:rStyle w:val="61"/>
                <w:rFonts w:hint="eastAsia" w:ascii="宋体" w:hAnsi="宋体" w:eastAsia="宋体" w:cs="宋体"/>
                <w:b w:val="0"/>
                <w:bCs w:val="0"/>
                <w:color w:val="auto"/>
                <w:sz w:val="21"/>
                <w:szCs w:val="21"/>
                <w:highlight w:val="none"/>
                <w:lang w:eastAsia="zh-CN"/>
              </w:rPr>
              <w:t>根据得分（用字母“N”表示）情况，履约评价结果分为以下五个等级：</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当N≥90分时，评价结果为优秀；</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当80≤N＜90分时，评价结果为良好；</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当70≤N＜80分时，评价结果为中等；</w:t>
            </w:r>
          </w:p>
          <w:p>
            <w:pPr>
              <w:pStyle w:val="2"/>
              <w:numPr>
                <w:ilvl w:val="0"/>
                <w:numId w:val="6"/>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当60≤N＜70分时，评价结果为合格；</w:t>
            </w:r>
          </w:p>
          <w:p>
            <w:pPr>
              <w:pStyle w:val="2"/>
              <w:numPr>
                <w:ilvl w:val="0"/>
                <w:numId w:val="6"/>
              </w:numPr>
              <w:ind w:firstLine="420"/>
              <w:rPr>
                <w:rFonts w:hint="eastAsia"/>
                <w:highlight w:val="none"/>
                <w:lang w:eastAsia="zh-CN"/>
              </w:rPr>
            </w:pPr>
            <w:r>
              <w:rPr>
                <w:rStyle w:val="61"/>
                <w:rFonts w:hint="eastAsia" w:ascii="宋体" w:hAnsi="宋体" w:eastAsia="宋体" w:cs="宋体"/>
                <w:b w:val="0"/>
                <w:bCs w:val="0"/>
                <w:color w:val="auto"/>
                <w:sz w:val="21"/>
                <w:szCs w:val="21"/>
                <w:highlight w:val="none"/>
                <w:lang w:eastAsia="zh-CN"/>
              </w:rPr>
              <w:t>当N＜60分时，评价结果为不合格。</w:t>
            </w:r>
          </w:p>
          <w:p>
            <w:pPr>
              <w:pStyle w:val="2"/>
              <w:spacing w:line="24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二</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w:t>
            </w:r>
            <w:r>
              <w:rPr>
                <w:rStyle w:val="61"/>
                <w:rFonts w:hint="eastAsia" w:ascii="宋体" w:hAnsi="宋体" w:eastAsia="宋体" w:cs="宋体"/>
                <w:b w:val="0"/>
                <w:bCs w:val="0"/>
                <w:color w:val="auto"/>
                <w:sz w:val="21"/>
                <w:szCs w:val="21"/>
                <w:highlight w:val="none"/>
                <w:lang w:eastAsia="zh-CN"/>
              </w:rPr>
              <w:t>商</w:t>
            </w:r>
            <w:r>
              <w:rPr>
                <w:rStyle w:val="61"/>
                <w:rFonts w:hint="eastAsia" w:ascii="宋体" w:hAnsi="宋体" w:eastAsia="宋体" w:cs="宋体"/>
                <w:b w:val="0"/>
                <w:bCs w:val="0"/>
                <w:color w:val="auto"/>
                <w:sz w:val="21"/>
                <w:szCs w:val="21"/>
                <w:highlight w:val="none"/>
                <w:lang w:val="en-US" w:eastAsia="zh-CN"/>
              </w:rPr>
              <w:t>/承包商</w:t>
            </w:r>
            <w:r>
              <w:rPr>
                <w:rStyle w:val="61"/>
                <w:rFonts w:hint="eastAsia" w:ascii="宋体" w:hAnsi="宋体" w:eastAsia="宋体" w:cs="宋体"/>
                <w:b w:val="0"/>
                <w:bCs w:val="0"/>
                <w:color w:val="auto"/>
                <w:sz w:val="21"/>
                <w:szCs w:val="21"/>
                <w:highlight w:val="none"/>
                <w:lang w:eastAsia="zh-CN"/>
              </w:rPr>
              <w:t>履约评价不得被评为优秀、良好等级，履约评价得分不得高于79分：</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因自身原因拖延合同工期6个月以上的；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项目管理班子未按投标承诺配备或者不到位的；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因自身原因造成工程发生一般质量安全事故的；</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因设计原因导致工程变更超过施工合同价5%的（仅限设计合同）;</w:t>
            </w:r>
          </w:p>
          <w:p>
            <w:pPr>
              <w:pStyle w:val="2"/>
              <w:numPr>
                <w:ilvl w:val="0"/>
                <w:numId w:val="7"/>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p>
            <w:pPr>
              <w:pStyle w:val="2"/>
              <w:spacing w:line="24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三</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供应商/</w:t>
            </w:r>
            <w:r>
              <w:rPr>
                <w:rStyle w:val="61"/>
                <w:rFonts w:hint="eastAsia" w:ascii="宋体" w:hAnsi="宋体" w:eastAsia="宋体" w:cs="宋体"/>
                <w:b w:val="0"/>
                <w:bCs w:val="0"/>
                <w:color w:val="auto"/>
                <w:sz w:val="21"/>
                <w:szCs w:val="21"/>
                <w:highlight w:val="none"/>
                <w:lang w:eastAsia="zh-CN"/>
              </w:rPr>
              <w:t>承包商履约评价直接被评为“不合格”，得分不得高于59分，</w:t>
            </w:r>
            <w:r>
              <w:rPr>
                <w:rStyle w:val="61"/>
                <w:rFonts w:hint="eastAsia" w:ascii="宋体" w:hAnsi="宋体" w:eastAsia="宋体" w:cs="宋体"/>
                <w:b w:val="0"/>
                <w:bCs w:val="0"/>
                <w:color w:val="auto"/>
                <w:sz w:val="21"/>
                <w:szCs w:val="21"/>
                <w:highlight w:val="none"/>
                <w:lang w:val="en-US" w:eastAsia="zh-CN"/>
              </w:rPr>
              <w:t>并被剔除供应商库</w:t>
            </w:r>
            <w:r>
              <w:rPr>
                <w:rStyle w:val="61"/>
                <w:rFonts w:hint="eastAsia" w:ascii="宋体" w:hAnsi="宋体" w:eastAsia="宋体" w:cs="宋体"/>
                <w:b w:val="0"/>
                <w:bCs w:val="0"/>
                <w:color w:val="auto"/>
                <w:sz w:val="21"/>
                <w:szCs w:val="21"/>
                <w:highlight w:val="none"/>
                <w:lang w:eastAsia="zh-CN"/>
              </w:rPr>
              <w:t>：</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因自身原因拖延合同工期12个月以上的；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因拖欠工人工资或分包商工程款，引发群体性上访事件的；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因自身原因未按合同约定提交</w:t>
            </w:r>
            <w:r>
              <w:rPr>
                <w:rStyle w:val="61"/>
                <w:rFonts w:hint="eastAsia" w:ascii="宋体" w:hAnsi="宋体" w:eastAsia="宋体" w:cs="宋体"/>
                <w:b w:val="0"/>
                <w:bCs w:val="0"/>
                <w:color w:val="auto"/>
                <w:sz w:val="21"/>
                <w:szCs w:val="21"/>
                <w:highlight w:val="none"/>
                <w:lang w:val="en-US" w:eastAsia="zh-CN"/>
              </w:rPr>
              <w:t>项目结算</w:t>
            </w:r>
            <w:r>
              <w:rPr>
                <w:rStyle w:val="61"/>
                <w:rFonts w:hint="eastAsia" w:ascii="宋体" w:hAnsi="宋体" w:eastAsia="宋体" w:cs="宋体"/>
                <w:b w:val="0"/>
                <w:bCs w:val="0"/>
                <w:color w:val="auto"/>
                <w:sz w:val="21"/>
                <w:szCs w:val="21"/>
                <w:highlight w:val="none"/>
                <w:lang w:eastAsia="zh-CN"/>
              </w:rPr>
              <w:t>报告的；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经认定使用假冒伪劣材料或偷工减料，情节恶劣或者情形严重的；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因自身原因造成工程发生较大及以上质量安全事故的；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因该工程存在串通投标、转包、以他人名义投标、违法分包或者弄虚作假等违法行为，被行政监督部门行政处罚的；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经纪检监察机关或者有关部门认定，存在贿赂政府部门公职人员的行为的；</w:t>
            </w:r>
          </w:p>
          <w:p>
            <w:pPr>
              <w:pStyle w:val="2"/>
              <w:numPr>
                <w:ilvl w:val="0"/>
                <w:numId w:val="8"/>
              </w:numPr>
              <w:spacing w:line="24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1</w:t>
            </w:r>
          </w:p>
        </w:tc>
        <w:tc>
          <w:tcPr>
            <w:tcW w:w="8119" w:type="dxa"/>
          </w:tcPr>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需提供资料及标准：</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1、营业执照 (加盖公章的复印件)；</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、资质证书(加盖公章的复印件)(如有则附)；</w:t>
            </w:r>
          </w:p>
          <w:p>
            <w:pPr>
              <w:pageBreakBefore w:val="0"/>
              <w:widowControl/>
              <w:kinsoku/>
              <w:wordWrap/>
              <w:overflowPunct/>
              <w:topLinePunct w:val="0"/>
              <w:bidi w:val="0"/>
              <w:spacing w:line="240" w:lineRule="auto"/>
              <w:ind w:left="0" w:leftChars="0" w:right="0" w:firstLine="0" w:firstLineChars="0"/>
              <w:rPr>
                <w:rFonts w:hint="eastAsia"/>
                <w:lang w:eastAsia="zh-CN"/>
              </w:rPr>
            </w:pPr>
            <w:r>
              <w:rPr>
                <w:rFonts w:hint="eastAsia" w:ascii="宋体" w:hAnsi="宋体" w:cs="宋体"/>
                <w:color w:val="auto"/>
                <w:kern w:val="0"/>
                <w:sz w:val="21"/>
                <w:szCs w:val="21"/>
                <w:lang w:val="en-US" w:eastAsia="zh-CN"/>
              </w:rPr>
              <w:t>3</w:t>
            </w:r>
            <w:r>
              <w:rPr>
                <w:rFonts w:hint="eastAsia" w:ascii="宋体" w:hAnsi="宋体" w:eastAsia="宋体" w:cs="宋体"/>
                <w:color w:val="auto"/>
                <w:kern w:val="0"/>
                <w:sz w:val="21"/>
                <w:szCs w:val="21"/>
              </w:rPr>
              <w:t>、投标人简介（加盖公章）；</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rPr>
              <w:t>、近三年经营业绩简介（</w:t>
            </w:r>
            <w:r>
              <w:rPr>
                <w:rFonts w:hint="eastAsia" w:ascii="宋体" w:hAnsi="宋体" w:eastAsia="宋体" w:cs="宋体"/>
                <w:color w:val="auto"/>
                <w:sz w:val="21"/>
                <w:szCs w:val="21"/>
              </w:rPr>
              <w:t>投标人成立不足三年的可从成立之日起</w:t>
            </w:r>
            <w:r>
              <w:rPr>
                <w:rFonts w:hint="eastAsia" w:ascii="宋体" w:hAnsi="宋体" w:eastAsia="宋体" w:cs="宋体"/>
                <w:color w:val="auto"/>
                <w:kern w:val="0"/>
                <w:sz w:val="21"/>
                <w:szCs w:val="21"/>
              </w:rPr>
              <w:t>）；</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、近三年财务报表或审计报告</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以及上年度第四季度所得税纳税申报表</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投标人成立不足三年的可从成立之日起，</w:t>
            </w:r>
            <w:r>
              <w:rPr>
                <w:rFonts w:hint="eastAsia" w:ascii="宋体" w:hAnsi="宋体" w:eastAsia="宋体" w:cs="宋体"/>
                <w:color w:val="auto"/>
                <w:kern w:val="0"/>
                <w:sz w:val="21"/>
                <w:szCs w:val="21"/>
              </w:rPr>
              <w:t>加盖公章的复印件）；</w:t>
            </w:r>
          </w:p>
          <w:p>
            <w:pPr>
              <w:pageBreakBefore w:val="0"/>
              <w:widowControl/>
              <w:kinsoku/>
              <w:wordWrap/>
              <w:overflowPunct/>
              <w:topLinePunct w:val="0"/>
              <w:bidi w:val="0"/>
              <w:spacing w:line="240" w:lineRule="auto"/>
              <w:ind w:left="0" w:leftChars="0" w:right="0" w:firstLine="0" w:firstLineChars="0"/>
              <w:rPr>
                <w:rFonts w:hint="eastAsia" w:ascii="宋体" w:hAnsi="宋体" w:eastAsia="宋体" w:cs="宋体"/>
                <w:color w:val="auto"/>
                <w:kern w:val="0"/>
                <w:sz w:val="21"/>
                <w:szCs w:val="21"/>
              </w:rPr>
            </w:pP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rPr>
              <w:t>、法人代表及授权书（加盖公章的复印件）；</w:t>
            </w:r>
          </w:p>
          <w:p>
            <w:pPr>
              <w:pageBreakBefore w:val="0"/>
              <w:kinsoku/>
              <w:wordWrap/>
              <w:overflowPunct/>
              <w:topLinePunct w:val="0"/>
              <w:bidi w:val="0"/>
              <w:spacing w:line="240" w:lineRule="auto"/>
              <w:ind w:left="0" w:leftChars="0" w:right="0" w:firstLine="0" w:firstLineChars="0"/>
              <w:jc w:val="left"/>
              <w:rPr>
                <w:rFonts w:hint="eastAsia" w:ascii="宋体" w:hAnsi="宋体" w:eastAsia="宋体" w:cs="宋体"/>
                <w:b/>
                <w:color w:val="auto"/>
                <w:sz w:val="21"/>
                <w:szCs w:val="21"/>
                <w:u w:val="single"/>
              </w:rPr>
            </w:pPr>
            <w:r>
              <w:rPr>
                <w:rFonts w:hint="eastAsia" w:ascii="宋体" w:hAnsi="宋体" w:eastAsia="宋体" w:cs="宋体"/>
                <w:b/>
                <w:color w:val="auto"/>
                <w:sz w:val="21"/>
                <w:szCs w:val="21"/>
              </w:rPr>
              <w:t>注意：以上材料请加盖有效公章。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4"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cs="宋体"/>
                <w:color w:val="auto"/>
                <w:sz w:val="21"/>
                <w:szCs w:val="21"/>
                <w:lang w:val="en-US" w:eastAsia="zh-CN"/>
              </w:rPr>
              <w:t>2</w:t>
            </w:r>
          </w:p>
        </w:tc>
        <w:tc>
          <w:tcPr>
            <w:tcW w:w="8119"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投标有效期</w:t>
            </w:r>
          </w:p>
          <w:p>
            <w:pPr>
              <w:pageBreakBefore w:val="0"/>
              <w:kinsoku/>
              <w:wordWrap/>
              <w:overflowPunct/>
              <w:topLinePunct w:val="0"/>
              <w:bidi w:val="0"/>
              <w:spacing w:line="240" w:lineRule="auto"/>
              <w:ind w:left="0" w:leftChars="0" w:right="0" w:firstLine="0" w:firstLineChars="0"/>
              <w:rPr>
                <w:rFonts w:hint="eastAsia" w:ascii="宋体" w:hAnsi="宋体" w:eastAsia="宋体" w:cs="宋体"/>
                <w:i/>
                <w:color w:val="auto"/>
                <w:sz w:val="21"/>
                <w:szCs w:val="21"/>
              </w:rPr>
            </w:pPr>
            <w:r>
              <w:rPr>
                <w:rFonts w:hint="eastAsia" w:ascii="宋体" w:hAnsi="宋体" w:eastAsia="宋体" w:cs="宋体"/>
                <w:color w:val="auto"/>
                <w:sz w:val="21"/>
                <w:szCs w:val="21"/>
              </w:rPr>
              <w:t>投标有效期：九十天。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3</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投标文件的式样和签署：</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正本一份，副本肆份，文件电子版一份（开标完成后发至招标管理人员），“开标文件”一份。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color w:val="auto"/>
                <w:sz w:val="21"/>
                <w:szCs w:val="21"/>
              </w:rPr>
              <w:t>三、投标文件的递交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4</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投标文件递交至：</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color w:val="auto"/>
                <w:sz w:val="21"/>
                <w:szCs w:val="21"/>
                <w:highlight w:val="none"/>
                <w:u w:val="none"/>
              </w:rPr>
              <w:t>深圳市福田区鹏程一路广电金融中心48楼核心筒会议室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项目名称、招标编号：</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rPr>
              <w:t>项目名称：</w:t>
            </w:r>
            <w:r>
              <w:rPr>
                <w:rFonts w:hint="eastAsia" w:ascii="宋体" w:hAnsi="宋体" w:cs="宋体"/>
                <w:b w:val="0"/>
                <w:bCs w:val="0"/>
                <w:color w:val="auto"/>
                <w:kern w:val="0"/>
                <w:sz w:val="21"/>
                <w:szCs w:val="21"/>
                <w:highlight w:val="none"/>
                <w:u w:val="none"/>
                <w:lang w:val="en-US" w:eastAsia="zh-CN"/>
              </w:rPr>
              <w:t>2024年第十三届深圳动漫节格斗电竞大赛</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highlight w:val="none"/>
              </w:rPr>
              <w:t>招标编号：</w:t>
            </w:r>
            <w:r>
              <w:rPr>
                <w:rFonts w:hint="eastAsia" w:ascii="宋体" w:hAnsi="宋体" w:eastAsia="宋体" w:cs="宋体"/>
                <w:color w:val="auto"/>
                <w:sz w:val="21"/>
                <w:szCs w:val="21"/>
                <w:highlight w:val="none"/>
                <w:lang w:val="zh-CN"/>
              </w:rPr>
              <w:t>SJZD-202400</w:t>
            </w:r>
            <w:r>
              <w:rPr>
                <w:rFonts w:hint="eastAsia" w:ascii="宋体" w:hAnsi="宋体" w:cs="宋体"/>
                <w:color w:val="auto"/>
                <w:sz w:val="21"/>
                <w:szCs w:val="21"/>
                <w:highlight w:val="none"/>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6</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投标截止期：</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u w:val="single"/>
              </w:rPr>
            </w:pPr>
            <w:r>
              <w:rPr>
                <w:rFonts w:hint="eastAsia" w:ascii="宋体" w:hAnsi="宋体" w:eastAsia="宋体" w:cs="宋体"/>
                <w:b/>
                <w:color w:val="auto"/>
                <w:sz w:val="21"/>
                <w:szCs w:val="21"/>
                <w:highlight w:val="yellow"/>
                <w:u w:val="single"/>
              </w:rPr>
              <w:t>2024年</w:t>
            </w:r>
            <w:r>
              <w:rPr>
                <w:rFonts w:hint="eastAsia" w:ascii="宋体" w:hAnsi="宋体" w:cs="宋体"/>
                <w:b/>
                <w:color w:val="auto"/>
                <w:sz w:val="21"/>
                <w:szCs w:val="21"/>
                <w:highlight w:val="yellow"/>
                <w:u w:val="single"/>
                <w:lang w:val="en-US" w:eastAsia="zh-CN"/>
              </w:rPr>
              <w:t>5</w:t>
            </w:r>
            <w:r>
              <w:rPr>
                <w:rFonts w:hint="eastAsia" w:ascii="宋体" w:hAnsi="宋体" w:eastAsia="宋体" w:cs="宋体"/>
                <w:b/>
                <w:color w:val="auto"/>
                <w:sz w:val="21"/>
                <w:szCs w:val="21"/>
                <w:highlight w:val="yellow"/>
                <w:u w:val="single"/>
              </w:rPr>
              <w:t>月</w:t>
            </w:r>
            <w:r>
              <w:rPr>
                <w:rFonts w:hint="eastAsia" w:ascii="宋体" w:hAnsi="宋体" w:cs="宋体"/>
                <w:b/>
                <w:color w:val="auto"/>
                <w:sz w:val="21"/>
                <w:szCs w:val="21"/>
                <w:highlight w:val="yellow"/>
                <w:u w:val="single"/>
                <w:lang w:val="en-US" w:eastAsia="zh-CN"/>
              </w:rPr>
              <w:t>17</w:t>
            </w:r>
            <w:r>
              <w:rPr>
                <w:rFonts w:hint="eastAsia" w:ascii="宋体" w:hAnsi="宋体" w:eastAsia="宋体" w:cs="宋体"/>
                <w:b/>
                <w:color w:val="auto"/>
                <w:sz w:val="21"/>
                <w:szCs w:val="21"/>
                <w:highlight w:val="yellow"/>
                <w:u w:val="single"/>
              </w:rPr>
              <w:t>日</w:t>
            </w:r>
            <w:r>
              <w:rPr>
                <w:rFonts w:hint="eastAsia" w:ascii="宋体" w:hAnsi="宋体" w:cs="宋体"/>
                <w:b/>
                <w:color w:val="auto"/>
                <w:sz w:val="21"/>
                <w:szCs w:val="21"/>
                <w:highlight w:val="yellow"/>
                <w:u w:val="single"/>
                <w:lang w:val="en-US" w:eastAsia="zh-CN"/>
              </w:rPr>
              <w:t>11：00</w:t>
            </w:r>
            <w:r>
              <w:rPr>
                <w:rFonts w:hint="eastAsia" w:ascii="宋体" w:hAnsi="宋体" w:eastAsia="宋体" w:cs="宋体"/>
                <w:b/>
                <w:color w:val="auto"/>
                <w:sz w:val="21"/>
                <w:szCs w:val="21"/>
                <w:highlight w:val="yellow"/>
                <w:u w:val="single"/>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7"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b/>
                <w:color w:val="auto"/>
                <w:sz w:val="21"/>
                <w:szCs w:val="21"/>
              </w:rPr>
            </w:pPr>
            <w:r>
              <w:rPr>
                <w:rFonts w:hint="eastAsia" w:ascii="宋体" w:hAnsi="宋体" w:eastAsia="宋体" w:cs="宋体"/>
                <w:color w:val="auto"/>
                <w:sz w:val="21"/>
                <w:szCs w:val="21"/>
              </w:rPr>
              <w:t>四、开标与评标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yellow"/>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w:t>
            </w:r>
            <w:r>
              <w:rPr>
                <w:rFonts w:hint="eastAsia" w:ascii="宋体" w:hAnsi="宋体" w:cs="宋体"/>
                <w:color w:val="auto"/>
                <w:sz w:val="21"/>
                <w:szCs w:val="21"/>
                <w:highlight w:val="none"/>
                <w:lang w:val="en-US" w:eastAsia="zh-CN"/>
              </w:rPr>
              <w:t>7</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开标日期和时间：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yellow"/>
                <w:u w:val="single"/>
              </w:rPr>
              <w:t>2024年</w:t>
            </w:r>
            <w:r>
              <w:rPr>
                <w:rFonts w:hint="eastAsia" w:ascii="宋体" w:hAnsi="宋体" w:cs="宋体"/>
                <w:b/>
                <w:color w:val="auto"/>
                <w:sz w:val="21"/>
                <w:szCs w:val="21"/>
                <w:highlight w:val="yellow"/>
                <w:u w:val="single"/>
                <w:lang w:val="en-US" w:eastAsia="zh-CN"/>
              </w:rPr>
              <w:t>5</w:t>
            </w:r>
            <w:r>
              <w:rPr>
                <w:rFonts w:hint="eastAsia" w:ascii="宋体" w:hAnsi="宋体" w:eastAsia="宋体" w:cs="宋体"/>
                <w:b/>
                <w:color w:val="auto"/>
                <w:sz w:val="21"/>
                <w:szCs w:val="21"/>
                <w:highlight w:val="yellow"/>
                <w:u w:val="single"/>
              </w:rPr>
              <w:t>月</w:t>
            </w:r>
            <w:r>
              <w:rPr>
                <w:rFonts w:hint="eastAsia" w:ascii="宋体" w:hAnsi="宋体" w:cs="宋体"/>
                <w:b/>
                <w:color w:val="auto"/>
                <w:sz w:val="21"/>
                <w:szCs w:val="21"/>
                <w:highlight w:val="yellow"/>
                <w:u w:val="single"/>
                <w:lang w:val="en-US" w:eastAsia="zh-CN"/>
              </w:rPr>
              <w:t>17</w:t>
            </w:r>
            <w:r>
              <w:rPr>
                <w:rFonts w:hint="eastAsia" w:ascii="宋体" w:hAnsi="宋体" w:eastAsia="宋体" w:cs="宋体"/>
                <w:b/>
                <w:color w:val="auto"/>
                <w:sz w:val="21"/>
                <w:szCs w:val="21"/>
                <w:highlight w:val="yellow"/>
                <w:u w:val="single"/>
              </w:rPr>
              <w:t>日</w:t>
            </w:r>
            <w:r>
              <w:rPr>
                <w:rFonts w:hint="eastAsia" w:ascii="宋体" w:hAnsi="宋体" w:cs="宋体"/>
                <w:b/>
                <w:color w:val="auto"/>
                <w:sz w:val="21"/>
                <w:szCs w:val="21"/>
                <w:highlight w:val="yellow"/>
                <w:u w:val="single"/>
                <w:lang w:val="en-US" w:eastAsia="zh-CN"/>
              </w:rPr>
              <w:t>11：00</w:t>
            </w:r>
            <w:r>
              <w:rPr>
                <w:rFonts w:hint="eastAsia" w:ascii="宋体" w:hAnsi="宋体" w:eastAsia="宋体" w:cs="宋体"/>
                <w:b/>
                <w:color w:val="auto"/>
                <w:sz w:val="21"/>
                <w:szCs w:val="21"/>
                <w:highlight w:val="yellow"/>
                <w:u w:val="single"/>
              </w:rPr>
              <w:t>（北京时间）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开标地点：</w:t>
            </w:r>
          </w:p>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highlight w:val="yellow"/>
              </w:rPr>
            </w:pPr>
            <w:r>
              <w:rPr>
                <w:rFonts w:hint="eastAsia" w:ascii="宋体" w:hAnsi="宋体" w:eastAsia="宋体" w:cs="宋体"/>
                <w:color w:val="auto"/>
                <w:sz w:val="21"/>
                <w:szCs w:val="21"/>
                <w:highlight w:val="yellow"/>
                <w:u w:val="none"/>
              </w:rPr>
              <w:t>深圳市福田区鹏程一路广电金融中心48楼核心筒会议室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8</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b/>
                <w:color w:val="auto"/>
                <w:sz w:val="21"/>
                <w:szCs w:val="21"/>
              </w:rPr>
              <w:t>本项目评标方法</w:t>
            </w:r>
            <w:r>
              <w:rPr>
                <w:rFonts w:hint="eastAsia" w:ascii="宋体" w:hAnsi="宋体" w:eastAsia="宋体" w:cs="宋体"/>
                <w:color w:val="auto"/>
                <w:sz w:val="21"/>
                <w:szCs w:val="21"/>
              </w:rPr>
              <w:t>：</w:t>
            </w:r>
          </w:p>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综合评估法定标（见附表一）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62" w:hRule="atLeast"/>
        </w:trPr>
        <w:tc>
          <w:tcPr>
            <w:tcW w:w="8831" w:type="dxa"/>
            <w:gridSpan w:val="2"/>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五、授予合同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712" w:type="dxa"/>
            <w:vAlign w:val="center"/>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9</w:t>
            </w:r>
          </w:p>
        </w:tc>
        <w:tc>
          <w:tcPr>
            <w:tcW w:w="8119" w:type="dxa"/>
            <w:vAlign w:val="center"/>
          </w:tcPr>
          <w:p>
            <w:pPr>
              <w:pageBreakBefore w:val="0"/>
              <w:kinsoku/>
              <w:wordWrap/>
              <w:overflowPunct/>
              <w:topLinePunct w:val="0"/>
              <w:bidi w:val="0"/>
              <w:spacing w:line="240" w:lineRule="auto"/>
              <w:ind w:left="0" w:leftChars="0" w:right="0" w:firstLine="0"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项目变更：</w:t>
            </w:r>
          </w:p>
          <w:p>
            <w:pPr>
              <w:pageBreakBefore w:val="0"/>
              <w:kinsoku/>
              <w:wordWrap/>
              <w:overflowPunct/>
              <w:topLinePunct w:val="0"/>
              <w:bidi w:val="0"/>
              <w:spacing w:line="240" w:lineRule="auto"/>
              <w:ind w:left="0" w:leftChars="0" w:right="0" w:firstLine="0" w:firstLineChars="0"/>
              <w:rPr>
                <w:rFonts w:hint="eastAsia" w:ascii="宋体" w:hAnsi="宋体" w:eastAsia="宋体" w:cs="宋体"/>
                <w:i/>
                <w:color w:val="auto"/>
                <w:sz w:val="21"/>
                <w:szCs w:val="21"/>
              </w:rPr>
            </w:pPr>
            <w:r>
              <w:rPr>
                <w:rFonts w:hint="eastAsia" w:ascii="宋体" w:hAnsi="宋体" w:eastAsia="宋体" w:cs="宋体"/>
                <w:color w:val="auto"/>
                <w:sz w:val="21"/>
                <w:szCs w:val="21"/>
              </w:rPr>
              <w:t>投标报价的±10%</w:t>
            </w: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rPr>
      </w:pPr>
      <w:r>
        <w:rPr>
          <w:rFonts w:hint="eastAsia" w:ascii="宋体" w:hAnsi="宋体" w:eastAsia="宋体" w:cs="宋体"/>
          <w:b/>
          <w:bCs/>
          <w:color w:val="auto"/>
          <w:sz w:val="21"/>
          <w:szCs w:val="21"/>
        </w:rPr>
        <w:t>注：1、本招标项目要求中凡标有“</w:t>
      </w:r>
      <w:r>
        <w:rPr>
          <w:rFonts w:hint="eastAsia" w:ascii="宋体" w:hAnsi="宋体" w:eastAsia="宋体" w:cs="宋体"/>
          <w:color w:val="auto"/>
          <w:sz w:val="21"/>
          <w:szCs w:val="21"/>
        </w:rPr>
        <w:t>★</w:t>
      </w:r>
      <w:r>
        <w:rPr>
          <w:rFonts w:hint="eastAsia" w:ascii="宋体" w:hAnsi="宋体" w:eastAsia="宋体" w:cs="宋体"/>
          <w:b/>
          <w:bCs/>
          <w:color w:val="auto"/>
          <w:sz w:val="21"/>
          <w:szCs w:val="21"/>
        </w:rPr>
        <w:t>”号条款均为重要的要求，不可偏离。</w:t>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rPr>
      </w:pPr>
      <w:r>
        <w:rPr>
          <w:rFonts w:hint="eastAsia" w:ascii="宋体" w:hAnsi="宋体" w:eastAsia="宋体" w:cs="宋体"/>
          <w:color w:val="auto"/>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附表一：</w:t>
      </w:r>
      <w:bookmarkStart w:id="12" w:name="_Toc360961197"/>
      <w:bookmarkStart w:id="13" w:name="_Toc278278803"/>
    </w:p>
    <w:bookmarkEnd w:id="12"/>
    <w:bookmarkEnd w:id="13"/>
    <w:p>
      <w:pPr>
        <w:keepNext/>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定标方法和权重分值</w:t>
      </w:r>
    </w:p>
    <w:p>
      <w:pPr>
        <w:keepNext/>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符合性检查表：</w:t>
      </w:r>
    </w:p>
    <w:p>
      <w:pPr>
        <w:keepNext/>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综合评估法</w:t>
      </w:r>
    </w:p>
    <w:tbl>
      <w:tblPr>
        <w:tblStyle w:val="55"/>
        <w:tblW w:w="9494"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97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6979"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rPr>
              <w:t>评议内容</w:t>
            </w:r>
          </w:p>
        </w:tc>
        <w:tc>
          <w:tcPr>
            <w:tcW w:w="1859"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rPr>
              <w:t>评议结果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投标人的合格性（见投标人须知：“合格的投标人”及本章“投标文件否决性条款摘要”要求）</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投标的有效性:是否按要求由法定代表人或授权代表签署和加盖公章</w:t>
            </w:r>
          </w:p>
        </w:tc>
        <w:tc>
          <w:tcPr>
            <w:tcW w:w="1859" w:type="dxa"/>
            <w:shd w:val="clear" w:color="auto" w:fill="auto"/>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投标有效期（开标日起九十个日历日）</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highlight w:val="none"/>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highlight w:val="none"/>
              </w:rPr>
            </w:pPr>
            <w:r>
              <w:rPr>
                <w:rFonts w:hint="eastAsia" w:ascii="宋体" w:hAnsi="宋体" w:eastAsia="宋体" w:cs="宋体"/>
                <w:szCs w:val="21"/>
                <w:highlight w:val="none"/>
              </w:rPr>
              <w:t>投标书</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lang w:val="zh-CN"/>
              </w:rPr>
              <w:t>合格</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highlight w:val="none"/>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Cs w:val="21"/>
                <w:highlight w:val="none"/>
                <w:lang w:eastAsia="zh-CN"/>
              </w:rPr>
            </w:pPr>
            <w:r>
              <w:rPr>
                <w:rFonts w:hint="eastAsia" w:ascii="宋体" w:hAnsi="宋体" w:cs="宋体"/>
                <w:szCs w:val="21"/>
                <w:highlight w:val="none"/>
                <w:shd w:val="clear" w:fill="FFFF00"/>
                <w:lang w:eastAsia="zh-CN"/>
              </w:rPr>
              <w:t>投标保证金（如不需要则删除本条）</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法定代表人证明书/法定代表人授权书</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1"/>
                <w:szCs w:val="21"/>
              </w:rPr>
            </w:pPr>
            <w:r>
              <w:rPr>
                <w:rFonts w:hint="eastAsia" w:ascii="宋体" w:hAnsi="宋体" w:eastAsia="宋体" w:cs="宋体"/>
                <w:szCs w:val="21"/>
                <w:highlight w:val="none"/>
              </w:rPr>
              <w:t>股权关系证明文件</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提供工商营业执照副本复印件(加盖公章)</w:t>
            </w:r>
          </w:p>
        </w:tc>
        <w:tc>
          <w:tcPr>
            <w:tcW w:w="1859" w:type="dxa"/>
            <w:shd w:val="clear" w:color="auto" w:fill="auto"/>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近三年经营业绩简介（投标人成立不足三年的可从成立之日起）</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近三年财务报表或审计报告（投标人成立不足三年的可从成立之日起，加盖公章的复印件），以及上年度第四季度所得税纳税申报表。</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提供投标文件电子文档</w:t>
            </w:r>
          </w:p>
        </w:tc>
        <w:tc>
          <w:tcPr>
            <w:tcW w:w="1859"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项目控制金额：投标报价超出控制金额的投标将不被接受。</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提供技术文件：各类方案及响应/偏离表</w:t>
            </w:r>
          </w:p>
        </w:tc>
        <w:tc>
          <w:tcPr>
            <w:tcW w:w="1859" w:type="dxa"/>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提供商务文件：商务条款响应/偏离表</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投标分项报价表</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无重大违法记录的声明函</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highlight w:val="none"/>
              </w:rPr>
              <w:t>工期承诺</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合格/不合格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56" w:type="dxa"/>
            <w:vAlign w:val="center"/>
          </w:tcPr>
          <w:p>
            <w:pPr>
              <w:pageBreakBefore w:val="0"/>
              <w:numPr>
                <w:ilvl w:val="0"/>
                <w:numId w:val="9"/>
              </w:numPr>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6979" w:type="dxa"/>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Cs w:val="21"/>
              </w:rPr>
            </w:pPr>
            <w:r>
              <w:rPr>
                <w:rFonts w:hint="eastAsia" w:ascii="宋体" w:hAnsi="宋体" w:eastAsia="宋体" w:cs="宋体"/>
                <w:szCs w:val="21"/>
              </w:rPr>
              <w:t>结论（合格/不合格）</w:t>
            </w:r>
          </w:p>
        </w:tc>
        <w:tc>
          <w:tcPr>
            <w:tcW w:w="1859" w:type="dxa"/>
            <w:vAlign w:val="center"/>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通过/不通过</w:t>
            </w:r>
          </w:p>
        </w:tc>
      </w:tr>
    </w:tbl>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招标人组建</w:t>
      </w:r>
      <w:r>
        <w:rPr>
          <w:rFonts w:hint="eastAsia" w:ascii="宋体" w:hAnsi="宋体" w:eastAsia="宋体" w:cs="宋体"/>
          <w:color w:val="auto"/>
          <w:szCs w:val="21"/>
          <w:highlight w:val="none"/>
        </w:rPr>
        <w:t>定标委员会，定标委员会成员对所有进入定标程序的按下列规定对投标人进行排名。监督小组</w:t>
      </w:r>
      <w:r>
        <w:rPr>
          <w:rFonts w:hint="eastAsia" w:ascii="宋体" w:hAnsi="宋体" w:eastAsia="宋体" w:cs="宋体"/>
          <w:color w:val="auto"/>
          <w:szCs w:val="21"/>
        </w:rPr>
        <w:t>应对定标工作全过程进行监督。</w:t>
      </w:r>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招标人依据评标结果对进入定标程序的各投标单位的投标报价计算得分并对评标专家意见进行分类汇总。</w:t>
      </w:r>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定标委员会根据投标单位的</w:t>
      </w:r>
      <w:r>
        <w:rPr>
          <w:rFonts w:hint="eastAsia" w:ascii="宋体" w:hAnsi="宋体" w:eastAsia="宋体" w:cs="宋体"/>
          <w:b/>
          <w:color w:val="auto"/>
          <w:szCs w:val="21"/>
        </w:rPr>
        <w:t>技术标得分（权重为</w:t>
      </w:r>
      <w:r>
        <w:rPr>
          <w:rFonts w:hint="eastAsia" w:ascii="宋体" w:hAnsi="宋体" w:cs="宋体"/>
          <w:b/>
          <w:color w:val="auto"/>
          <w:szCs w:val="21"/>
          <w:lang w:val="en-US" w:eastAsia="zh-CN"/>
        </w:rPr>
        <w:t>3</w:t>
      </w:r>
      <w:r>
        <w:rPr>
          <w:rFonts w:hint="eastAsia" w:ascii="宋体" w:hAnsi="宋体" w:eastAsia="宋体" w:cs="宋体"/>
          <w:b/>
          <w:color w:val="auto"/>
          <w:szCs w:val="21"/>
        </w:rPr>
        <w:t>0%）</w:t>
      </w:r>
      <w:r>
        <w:rPr>
          <w:rFonts w:hint="eastAsia" w:ascii="宋体" w:hAnsi="宋体" w:eastAsia="宋体" w:cs="宋体"/>
          <w:color w:val="auto"/>
          <w:szCs w:val="21"/>
        </w:rPr>
        <w:t>、</w:t>
      </w:r>
      <w:r>
        <w:rPr>
          <w:rFonts w:hint="eastAsia" w:ascii="宋体" w:hAnsi="宋体" w:eastAsia="宋体" w:cs="宋体"/>
          <w:b/>
          <w:color w:val="auto"/>
          <w:szCs w:val="21"/>
        </w:rPr>
        <w:t>商务得分（权重为</w:t>
      </w:r>
      <w:r>
        <w:rPr>
          <w:rFonts w:hint="eastAsia" w:ascii="宋体" w:hAnsi="宋体" w:cs="宋体"/>
          <w:b/>
          <w:color w:val="auto"/>
          <w:szCs w:val="21"/>
          <w:lang w:val="en-US" w:eastAsia="zh-CN"/>
        </w:rPr>
        <w:t>1</w:t>
      </w:r>
      <w:r>
        <w:rPr>
          <w:rFonts w:hint="eastAsia" w:ascii="宋体" w:hAnsi="宋体" w:eastAsia="宋体" w:cs="宋体"/>
          <w:b/>
          <w:color w:val="auto"/>
          <w:szCs w:val="21"/>
        </w:rPr>
        <w:t>0%）</w:t>
      </w:r>
      <w:r>
        <w:rPr>
          <w:rFonts w:hint="eastAsia" w:ascii="宋体" w:hAnsi="宋体" w:eastAsia="宋体" w:cs="宋体"/>
          <w:color w:val="auto"/>
          <w:szCs w:val="21"/>
        </w:rPr>
        <w:t>以及</w:t>
      </w:r>
      <w:r>
        <w:rPr>
          <w:rFonts w:hint="eastAsia" w:ascii="宋体" w:hAnsi="宋体" w:eastAsia="宋体" w:cs="宋体"/>
          <w:b/>
          <w:color w:val="auto"/>
          <w:szCs w:val="21"/>
        </w:rPr>
        <w:t>投标报价得分（权重为</w:t>
      </w:r>
      <w:r>
        <w:rPr>
          <w:rFonts w:hint="eastAsia" w:ascii="宋体" w:hAnsi="宋体" w:cs="宋体"/>
          <w:b/>
          <w:color w:val="auto"/>
          <w:szCs w:val="21"/>
          <w:lang w:val="en-US" w:eastAsia="zh-CN"/>
        </w:rPr>
        <w:t>6</w:t>
      </w:r>
      <w:r>
        <w:rPr>
          <w:rFonts w:hint="eastAsia" w:ascii="宋体" w:hAnsi="宋体" w:eastAsia="宋体" w:cs="宋体"/>
          <w:b/>
          <w:color w:val="auto"/>
          <w:szCs w:val="21"/>
        </w:rPr>
        <w:t>0%）</w:t>
      </w:r>
      <w:r>
        <w:rPr>
          <w:rFonts w:hint="eastAsia" w:ascii="宋体" w:hAnsi="宋体" w:eastAsia="宋体" w:cs="宋体"/>
          <w:color w:val="auto"/>
          <w:szCs w:val="21"/>
        </w:rPr>
        <w:t>对投标单位加权计算总得分，由高至低排名，排名第一的投标人确定为中标人。</w:t>
      </w:r>
    </w:p>
    <w:p>
      <w:pPr>
        <w:pageBreakBefore w:val="0"/>
        <w:widowControl/>
        <w:kinsoku/>
        <w:wordWrap/>
        <w:overflowPunct/>
        <w:topLinePunct w:val="0"/>
        <w:bidi w:val="0"/>
        <w:spacing w:line="360" w:lineRule="auto"/>
        <w:ind w:left="0" w:leftChars="0" w:right="0"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中标价以该中标人的投标报价为准。</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注：定标基本程序</w:t>
      </w:r>
    </w:p>
    <w:p>
      <w:pPr>
        <w:pageBreakBefore w:val="0"/>
        <w:numPr>
          <w:ilvl w:val="0"/>
          <w:numId w:val="10"/>
        </w:numPr>
        <w:kinsoku/>
        <w:wordWrap/>
        <w:overflowPunct/>
        <w:topLinePunct w:val="0"/>
        <w:bidi w:val="0"/>
        <w:spacing w:line="360" w:lineRule="auto"/>
        <w:ind w:leftChars="0" w:right="0" w:rightChars="0" w:firstLine="420" w:firstLineChars="200"/>
        <w:rPr>
          <w:rFonts w:hint="eastAsia" w:ascii="宋体" w:hAnsi="宋体" w:cs="宋体"/>
          <w:color w:val="auto"/>
          <w:szCs w:val="21"/>
          <w:lang w:val="en-US" w:eastAsia="zh-CN"/>
        </w:rPr>
      </w:pPr>
      <w:r>
        <w:rPr>
          <w:rFonts w:hint="eastAsia" w:ascii="宋体" w:hAnsi="宋体" w:eastAsia="宋体" w:cs="宋体"/>
          <w:color w:val="auto"/>
          <w:szCs w:val="21"/>
        </w:rPr>
        <w:t>技术标得分</w:t>
      </w:r>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cs="宋体"/>
          <w:color w:val="auto"/>
          <w:szCs w:val="21"/>
          <w:lang w:val="en-US" w:eastAsia="zh-CN"/>
        </w:rPr>
      </w:pPr>
      <w:r>
        <w:rPr>
          <w:rFonts w:hint="eastAsia" w:ascii="宋体" w:hAnsi="宋体" w:eastAsia="宋体" w:cs="宋体"/>
          <w:color w:val="auto"/>
          <w:szCs w:val="21"/>
        </w:rPr>
        <w:t>由定标委员会各成员根据评标结果和自己的专业判断对进入定标程序的各投标单位进行打分。</w:t>
      </w:r>
      <w:bookmarkStart w:id="14" w:name="_Toc30220"/>
    </w:p>
    <w:p>
      <w:pPr>
        <w:pageBreakBefore w:val="0"/>
        <w:numPr>
          <w:ilvl w:val="0"/>
          <w:numId w:val="10"/>
        </w:numPr>
        <w:kinsoku/>
        <w:wordWrap/>
        <w:overflowPunct/>
        <w:topLinePunct w:val="0"/>
        <w:bidi w:val="0"/>
        <w:spacing w:line="360" w:lineRule="auto"/>
        <w:ind w:leftChars="0" w:right="0" w:rightChars="0" w:firstLine="420" w:firstLineChars="200"/>
        <w:rPr>
          <w:rFonts w:hint="eastAsia" w:ascii="宋体" w:hAnsi="宋体" w:eastAsia="宋体" w:cs="宋体"/>
          <w:color w:val="auto"/>
          <w:szCs w:val="21"/>
        </w:rPr>
      </w:pPr>
      <w:r>
        <w:rPr>
          <w:rFonts w:hint="eastAsia" w:ascii="宋体" w:hAnsi="宋体" w:cs="宋体"/>
          <w:color w:val="auto"/>
          <w:szCs w:val="21"/>
          <w:lang w:val="en-US" w:eastAsia="zh-CN"/>
        </w:rPr>
        <w:t>商务得分</w:t>
      </w:r>
      <w:bookmarkEnd w:id="14"/>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由定标委员会各成员根据评标结果和自己的专业判断对进入定标程序的各投标单位进行打分。</w:t>
      </w:r>
    </w:p>
    <w:p>
      <w:pPr>
        <w:pageBreakBefore w:val="0"/>
        <w:numPr>
          <w:ilvl w:val="0"/>
          <w:numId w:val="10"/>
        </w:numPr>
        <w:kinsoku/>
        <w:wordWrap/>
        <w:overflowPunct/>
        <w:topLinePunct w:val="0"/>
        <w:bidi w:val="0"/>
        <w:spacing w:line="360" w:lineRule="auto"/>
        <w:ind w:leftChars="0" w:right="0" w:rightChars="0" w:firstLine="420" w:firstLineChars="200"/>
        <w:rPr>
          <w:rFonts w:hint="eastAsia" w:ascii="宋体" w:hAnsi="宋体" w:eastAsia="宋体" w:cs="宋体"/>
          <w:color w:val="auto"/>
          <w:szCs w:val="21"/>
        </w:rPr>
      </w:pPr>
      <w:r>
        <w:rPr>
          <w:rFonts w:hint="eastAsia" w:ascii="宋体" w:hAnsi="宋体" w:eastAsia="宋体" w:cs="宋体"/>
          <w:color w:val="auto"/>
          <w:szCs w:val="21"/>
        </w:rPr>
        <w:t>投标报价得分</w:t>
      </w:r>
    </w:p>
    <w:p>
      <w:pPr>
        <w:pageBreakBefore w:val="0"/>
        <w:kinsoku/>
        <w:wordWrap/>
        <w:overflowPunct/>
        <w:topLinePunct w:val="0"/>
        <w:bidi w:val="0"/>
        <w:spacing w:line="360" w:lineRule="auto"/>
        <w:ind w:left="0" w:leftChars="0" w:right="0" w:firstLine="420" w:firstLineChars="200"/>
        <w:rPr>
          <w:rFonts w:hint="default" w:ascii="宋体" w:hAnsi="宋体" w:eastAsia="宋体" w:cs="宋体"/>
          <w:color w:val="auto"/>
          <w:szCs w:val="21"/>
          <w:lang w:val="en-US" w:eastAsia="zh-CN"/>
        </w:rPr>
      </w:pPr>
      <w:r>
        <w:rPr>
          <w:rFonts w:hint="eastAsia" w:ascii="宋体" w:hAnsi="宋体" w:eastAsia="宋体" w:cs="宋体"/>
          <w:color w:val="auto"/>
          <w:szCs w:val="21"/>
        </w:rPr>
        <w:t>报价得分= [1-（Sn-S1）/S1]×</w:t>
      </w:r>
      <w:r>
        <w:rPr>
          <w:rFonts w:hint="eastAsia" w:ascii="宋体" w:hAnsi="宋体" w:cs="宋体"/>
          <w:color w:val="auto"/>
          <w:szCs w:val="21"/>
          <w:lang w:val="en-US" w:eastAsia="zh-CN"/>
        </w:rPr>
        <w:t>60</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Sn为各投标人的投标报价</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S1为进入定标程序的各投标人的投标报价中的最低报价，得</w:t>
      </w:r>
      <w:r>
        <w:rPr>
          <w:rFonts w:hint="eastAsia" w:ascii="宋体" w:hAnsi="宋体" w:cs="宋体"/>
          <w:color w:val="auto"/>
          <w:szCs w:val="21"/>
          <w:lang w:val="en-US" w:eastAsia="zh-CN"/>
        </w:rPr>
        <w:t>60</w:t>
      </w:r>
      <w:r>
        <w:rPr>
          <w:rFonts w:hint="eastAsia" w:ascii="宋体" w:hAnsi="宋体" w:eastAsia="宋体" w:cs="宋体"/>
          <w:color w:val="auto"/>
          <w:szCs w:val="21"/>
        </w:rPr>
        <w:t>分。</w:t>
      </w:r>
    </w:p>
    <w:p>
      <w:pPr>
        <w:pageBreakBefore w:val="0"/>
        <w:kinsoku/>
        <w:wordWrap/>
        <w:overflowPunct/>
        <w:topLinePunct w:val="0"/>
        <w:bidi w:val="0"/>
        <w:spacing w:line="360" w:lineRule="auto"/>
        <w:ind w:right="0" w:firstLine="420" w:firstLineChars="200"/>
        <w:rPr>
          <w:rFonts w:hint="eastAsia" w:ascii="宋体" w:hAnsi="宋体" w:eastAsia="宋体" w:cs="宋体"/>
          <w:color w:val="auto"/>
        </w:rPr>
      </w:pPr>
      <w:r>
        <w:rPr>
          <w:rFonts w:hint="eastAsia" w:ascii="宋体" w:hAnsi="宋体" w:eastAsia="宋体" w:cs="宋体"/>
          <w:color w:val="auto"/>
          <w:szCs w:val="21"/>
        </w:rPr>
        <w:t>此处规定当（Sn-S1）≥S1时，即Sn≥2S1时最低得零分（不取负分）。</w:t>
      </w:r>
    </w:p>
    <w:p>
      <w:pPr>
        <w:pageBreakBefore w:val="0"/>
        <w:kinsoku/>
        <w:wordWrap/>
        <w:overflowPunct/>
        <w:topLinePunct w:val="0"/>
        <w:bidi w:val="0"/>
        <w:spacing w:line="360" w:lineRule="auto"/>
        <w:ind w:right="0"/>
        <w:rPr>
          <w:rFonts w:hint="eastAsia" w:ascii="宋体" w:hAnsi="宋体" w:eastAsia="宋体" w:cs="宋体"/>
          <w:color w:val="auto"/>
        </w:rPr>
      </w:pPr>
      <w:r>
        <w:rPr>
          <w:rFonts w:hint="eastAsia" w:ascii="宋体" w:hAnsi="宋体" w:eastAsia="宋体" w:cs="宋体"/>
          <w:color w:val="auto"/>
        </w:rPr>
        <w:t>具体评分标准如下表所示：</w:t>
      </w:r>
    </w:p>
    <w:tbl>
      <w:tblPr>
        <w:tblStyle w:val="5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200"/>
        <w:gridCol w:w="655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3"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评分因素</w:t>
            </w:r>
          </w:p>
        </w:tc>
        <w:tc>
          <w:tcPr>
            <w:tcW w:w="7759" w:type="dxa"/>
            <w:gridSpan w:val="2"/>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评价内容</w:t>
            </w:r>
          </w:p>
        </w:tc>
        <w:tc>
          <w:tcPr>
            <w:tcW w:w="702" w:type="dxa"/>
            <w:shd w:val="clear" w:color="auto" w:fill="C7DAF1" w:themeFill="text2" w:themeFillTint="32"/>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9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价格标（S）</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rPr>
              <w:t>投标总价</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满足招标文件要求且投标价格最低的投标报价为评标基准价，其价格分为满分。其他投标人的价格分统一按照下列公式计算：</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rPr>
              <w:t>投标报价得分=(评标基准价／投标报价) ×</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w:t>
            </w:r>
            <w:r>
              <w:rPr>
                <w:rFonts w:hint="eastAsia" w:ascii="仿宋_GB2312" w:hAnsi="仿宋_GB2312" w:eastAsia="仿宋_GB2312"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highlight w:val="none"/>
                <w:lang w:val="en-US" w:eastAsia="zh-CN"/>
              </w:rPr>
              <w:t>四舍五入至小数点后2位。（报价为含税价）</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bidi="ar-SA"/>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79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技术标（J）</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w:t>
            </w:r>
            <w:r>
              <w:rPr>
                <w:rFonts w:hint="eastAsia" w:ascii="仿宋_GB2312" w:hAnsi="仿宋_GB2312" w:eastAsia="仿宋_GB2312" w:cs="仿宋_GB2312"/>
                <w:color w:val="000000"/>
                <w:kern w:val="0"/>
                <w:sz w:val="24"/>
                <w:szCs w:val="24"/>
                <w:lang w:val="en-US" w:eastAsia="zh-CN"/>
              </w:rPr>
              <w:t>15</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技术方案响应情况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根据各投标文件中技术方案的合理性、完整性及可实施性等，以及满足或优于项目需求的程度，进行综合评价，横向比较：优得</w:t>
            </w:r>
            <w:r>
              <w:rPr>
                <w:rFonts w:hint="eastAsia" w:ascii="仿宋_GB2312" w:hAnsi="仿宋_GB2312" w:eastAsia="仿宋_GB2312" w:cs="仿宋_GB2312"/>
                <w:color w:val="000000"/>
                <w:kern w:val="0"/>
                <w:sz w:val="24"/>
                <w:szCs w:val="24"/>
                <w:lang w:val="en-US" w:eastAsia="zh-CN"/>
              </w:rPr>
              <w:t>8</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7</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4</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分，差得0-</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10</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应急保障措施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rPr>
              <w:t>根据各投标文件中项目实施应急措施方案完整具体程度，进行综合评价，</w:t>
            </w:r>
            <w:r>
              <w:rPr>
                <w:rFonts w:hint="eastAsia" w:ascii="仿宋_GB2312" w:hAnsi="仿宋_GB2312" w:eastAsia="仿宋_GB2312" w:cs="仿宋_GB2312"/>
                <w:color w:val="000000"/>
                <w:kern w:val="0"/>
                <w:sz w:val="24"/>
                <w:szCs w:val="24"/>
                <w:lang w:val="en-US" w:eastAsia="zh-CN"/>
              </w:rPr>
              <w:t>最高得2分。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安全措施</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根据各投标文件中制定的安全防护方案及措施，进行综合评价，横向比较：优得</w:t>
            </w: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分，良得</w:t>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分，中得</w:t>
            </w: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分，差得0分。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793" w:type="dxa"/>
            <w:vMerge w:val="restart"/>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商务标（X）</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（总分1</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分</w:t>
            </w: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项目业绩</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评审标准：考察投标人（20</w:t>
            </w:r>
            <w:r>
              <w:rPr>
                <w:rFonts w:hint="eastAsia" w:ascii="仿宋_GB2312" w:hAnsi="仿宋_GB2312" w:eastAsia="仿宋_GB2312" w:cs="仿宋_GB2312"/>
                <w:color w:val="000000"/>
                <w:kern w:val="0"/>
                <w:sz w:val="24"/>
                <w:szCs w:val="24"/>
                <w:highlight w:val="none"/>
                <w:lang w:val="en-US" w:eastAsia="zh-CN"/>
              </w:rPr>
              <w:t>21</w:t>
            </w:r>
            <w:r>
              <w:rPr>
                <w:rFonts w:hint="eastAsia" w:ascii="仿宋_GB2312" w:hAnsi="仿宋_GB2312" w:eastAsia="仿宋_GB2312" w:cs="仿宋_GB2312"/>
                <w:color w:val="000000"/>
                <w:kern w:val="0"/>
                <w:sz w:val="24"/>
                <w:szCs w:val="24"/>
                <w:highlight w:val="none"/>
              </w:rPr>
              <w:t>年1月1日至本项目投标截标之日）同类业绩情况：</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1、投标人每提供一个有效的</w:t>
            </w:r>
            <w:r>
              <w:rPr>
                <w:rFonts w:hint="eastAsia" w:ascii="仿宋_GB2312" w:hAnsi="仿宋_GB2312" w:eastAsia="仿宋_GB2312" w:cs="仿宋_GB2312"/>
                <w:b/>
                <w:bCs/>
                <w:color w:val="000000"/>
                <w:kern w:val="0"/>
                <w:sz w:val="24"/>
                <w:szCs w:val="24"/>
                <w:highlight w:val="none"/>
              </w:rPr>
              <w:t>同类业绩</w:t>
            </w:r>
            <w:r>
              <w:rPr>
                <w:rFonts w:hint="eastAsia" w:ascii="仿宋_GB2312" w:hAnsi="仿宋_GB2312" w:eastAsia="仿宋_GB2312" w:cs="仿宋_GB2312"/>
                <w:color w:val="000000"/>
                <w:kern w:val="0"/>
                <w:sz w:val="24"/>
                <w:szCs w:val="24"/>
                <w:highlight w:val="none"/>
              </w:rPr>
              <w:t>即得</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分，以此类推，最多得</w:t>
            </w: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2、同类业绩中合同金额达人民币10万元（含10万元）以上得1分；20万元（含20万元）以上得2分；最多得</w:t>
            </w: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注：有效的同类业绩证明文件：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投标人须提供有效业绩中标通知书或合同关键页（须体现项目名称及合同签订时间）复印件加盖投标人公章；未提供或不能有效证明的，不得分。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14</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jc w:val="center"/>
        </w:trPr>
        <w:tc>
          <w:tcPr>
            <w:tcW w:w="793" w:type="dxa"/>
            <w:vMerge w:val="continue"/>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企业实力</w:t>
            </w:r>
          </w:p>
        </w:tc>
        <w:tc>
          <w:tcPr>
            <w:tcW w:w="6559"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1、近三年财务报表</w:t>
            </w:r>
            <w:r>
              <w:rPr>
                <w:rFonts w:hint="eastAsia" w:ascii="仿宋_GB2312" w:hAnsi="仿宋_GB2312" w:eastAsia="仿宋_GB2312" w:cs="仿宋_GB2312"/>
                <w:color w:val="000000"/>
                <w:kern w:val="0"/>
                <w:sz w:val="24"/>
                <w:szCs w:val="24"/>
                <w:highlight w:val="none"/>
                <w:lang w:eastAsia="zh-CN"/>
              </w:rPr>
              <w:t>，以及上年度第四季度所得税纳税申报表，</w:t>
            </w:r>
            <w:r>
              <w:rPr>
                <w:rFonts w:hint="eastAsia" w:ascii="仿宋_GB2312" w:hAnsi="仿宋_GB2312" w:eastAsia="仿宋_GB2312" w:cs="仿宋_GB2312"/>
                <w:color w:val="000000"/>
                <w:kern w:val="0"/>
                <w:sz w:val="24"/>
                <w:szCs w:val="24"/>
                <w:highlight w:val="none"/>
              </w:rPr>
              <w:t>显示无亏损的投标人，得</w:t>
            </w:r>
            <w:r>
              <w:rPr>
                <w:rFonts w:hint="eastAsia" w:ascii="仿宋_GB2312" w:hAnsi="仿宋_GB2312" w:eastAsia="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分；每有一年亏损的扣</w:t>
            </w:r>
            <w:r>
              <w:rPr>
                <w:rFonts w:hint="eastAsia" w:ascii="仿宋_GB2312" w:hAnsi="仿宋_GB2312" w:eastAsia="仿宋_GB2312" w:cs="仿宋_GB2312"/>
                <w:color w:val="000000"/>
                <w:kern w:val="0"/>
                <w:sz w:val="24"/>
                <w:szCs w:val="24"/>
                <w:highlight w:val="none"/>
                <w:lang w:val="en-US" w:eastAsia="zh-CN"/>
              </w:rPr>
              <w:t>2</w:t>
            </w:r>
            <w:r>
              <w:rPr>
                <w:rFonts w:hint="eastAsia" w:ascii="仿宋_GB2312" w:hAnsi="仿宋_GB2312" w:eastAsia="仿宋_GB2312" w:cs="仿宋_GB2312"/>
                <w:color w:val="000000"/>
                <w:kern w:val="0"/>
                <w:sz w:val="24"/>
                <w:szCs w:val="24"/>
                <w:highlight w:val="none"/>
              </w:rPr>
              <w:t>分。成立不足三年的供应商，可从成立时间开始提供。评定标准以评标委员会意见为准。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证明文件（须同时满足以下要求）：</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1）提供经有资格的会计师事务所审计并附审计报告的财务报表复印件加盖公章。</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2）未提供或不能有效证明的，不得分。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6</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9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p>
        </w:tc>
        <w:tc>
          <w:tcPr>
            <w:tcW w:w="120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规模情况</w:t>
            </w:r>
          </w:p>
        </w:tc>
        <w:tc>
          <w:tcPr>
            <w:tcW w:w="655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评审标准：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1、投标人公司注册资金在人民币500万（含500万）以上，得1分；最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2、投标人公司成立时间在3年（含3年）以上，得1分</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3、投标人每提供一个有效的相关行业资质证书即得1分，最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提供上年度公司社保证明，得1分。</w:t>
            </w:r>
            <w:r>
              <w:rPr>
                <w:rFonts w:hint="eastAsia" w:ascii="仿宋_GB2312" w:hAnsi="仿宋_GB2312" w:eastAsia="仿宋_GB2312" w:cs="仿宋_GB2312"/>
                <w:color w:val="000000"/>
                <w:kern w:val="0"/>
                <w:sz w:val="24"/>
                <w:szCs w:val="24"/>
                <w:highlight w:val="none"/>
              </w:rPr>
              <w:t>最</w:t>
            </w:r>
            <w:r>
              <w:rPr>
                <w:rFonts w:hint="eastAsia" w:ascii="仿宋_GB2312" w:hAnsi="仿宋_GB2312" w:eastAsia="仿宋_GB2312" w:cs="仿宋_GB2312"/>
                <w:color w:val="000000"/>
                <w:kern w:val="0"/>
                <w:sz w:val="24"/>
                <w:szCs w:val="24"/>
                <w:highlight w:val="none"/>
                <w:lang w:val="en-US" w:eastAsia="zh-CN"/>
              </w:rPr>
              <w:t>高</w:t>
            </w:r>
            <w:r>
              <w:rPr>
                <w:rFonts w:hint="eastAsia" w:ascii="仿宋_GB2312" w:hAnsi="仿宋_GB2312" w:eastAsia="仿宋_GB2312" w:cs="仿宋_GB2312"/>
                <w:color w:val="000000"/>
                <w:kern w:val="0"/>
                <w:sz w:val="24"/>
                <w:szCs w:val="24"/>
                <w:highlight w:val="none"/>
              </w:rPr>
              <w:t>得</w:t>
            </w:r>
            <w:r>
              <w:rPr>
                <w:rFonts w:hint="eastAsia" w:ascii="仿宋_GB2312" w:hAnsi="仿宋_GB2312" w:eastAsia="仿宋_GB2312" w:cs="仿宋_GB2312"/>
                <w:color w:val="000000"/>
                <w:kern w:val="0"/>
                <w:sz w:val="24"/>
                <w:szCs w:val="24"/>
                <w:highlight w:val="none"/>
                <w:lang w:val="en-US" w:eastAsia="zh-CN"/>
              </w:rPr>
              <w:t>1</w:t>
            </w:r>
            <w:r>
              <w:rPr>
                <w:rFonts w:hint="eastAsia" w:ascii="仿宋_GB2312" w:hAnsi="仿宋_GB2312" w:eastAsia="仿宋_GB2312" w:cs="仿宋_GB2312"/>
                <w:color w:val="000000"/>
                <w:kern w:val="0"/>
                <w:sz w:val="24"/>
                <w:szCs w:val="24"/>
                <w:highlight w:val="none"/>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、在此网站提供基本信息、许可经营信息。</w:t>
            </w:r>
            <w:r>
              <w:rPr>
                <w:rFonts w:hint="eastAsia" w:ascii="仿宋_GB2312" w:hAnsi="仿宋_GB2312" w:eastAsia="仿宋_GB2312" w:cs="仿宋_GB2312"/>
                <w:color w:val="000000"/>
                <w:kern w:val="0"/>
                <w:sz w:val="24"/>
                <w:szCs w:val="24"/>
                <w:highlight w:val="none"/>
                <w:lang w:val="en-US" w:eastAsia="zh-CN"/>
              </w:rPr>
              <w:t>:</w:t>
            </w:r>
            <w:r>
              <w:rPr>
                <w:rFonts w:hint="eastAsia" w:ascii="仿宋_GB2312" w:hAnsi="仿宋_GB2312" w:eastAsia="仿宋_GB2312" w:cs="仿宋_GB2312"/>
                <w:color w:val="000000"/>
                <w:kern w:val="0"/>
                <w:sz w:val="24"/>
                <w:szCs w:val="24"/>
                <w:highlight w:val="none"/>
              </w:rPr>
              <w:t>https://amr.sz.gov.cn/outer/mobile/gs.html，得1分，最高得1分。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证明文件：</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提供资质证书复印件且证书在有效期内。评定标准以评标委员会意见为准。</w:t>
            </w:r>
          </w:p>
        </w:tc>
        <w:tc>
          <w:tcPr>
            <w:tcW w:w="7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5</w:t>
            </w:r>
            <w:r>
              <w:rPr>
                <w:rFonts w:hint="eastAsia" w:ascii="仿宋_GB2312" w:hAnsi="仿宋_GB2312" w:eastAsia="仿宋_GB2312" w:cs="仿宋_GB2312"/>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552" w:type="dxa"/>
            <w:gridSpan w:val="3"/>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w:t>
            </w:r>
          </w:p>
        </w:tc>
        <w:tc>
          <w:tcPr>
            <w:tcW w:w="702"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100分</w:t>
            </w:r>
          </w:p>
        </w:tc>
      </w:tr>
    </w:tbl>
    <w:p>
      <w:pPr>
        <w:pageBreakBefore w:val="0"/>
        <w:numPr>
          <w:ilvl w:val="0"/>
          <w:numId w:val="0"/>
        </w:numPr>
        <w:kinsoku/>
        <w:wordWrap/>
        <w:overflowPunct/>
        <w:topLinePunct w:val="0"/>
        <w:bidi w:val="0"/>
        <w:spacing w:line="360" w:lineRule="auto"/>
        <w:ind w:right="0" w:rightChars="0" w:firstLine="0" w:firstLineChars="0"/>
        <w:jc w:val="left"/>
        <w:rPr>
          <w:rFonts w:hint="eastAsia" w:ascii="宋体" w:hAnsi="宋体" w:eastAsia="宋体" w:cs="宋体"/>
          <w:color w:val="auto"/>
        </w:rPr>
      </w:pPr>
      <w:r>
        <w:rPr>
          <w:rFonts w:hint="eastAsia" w:ascii="宋体" w:hAnsi="宋体" w:eastAsia="宋体" w:cs="宋体"/>
          <w:color w:val="auto"/>
        </w:rPr>
        <w:t>注：1.本量化表中每一栏的得分采用就高不就低的原则，不累计加分，每项得分最高不得超过该项评审指标的权重；</w:t>
      </w:r>
      <w:r>
        <w:rPr>
          <w:rFonts w:hint="eastAsia" w:ascii="宋体" w:hAnsi="宋体" w:cs="宋体"/>
          <w:color w:val="auto"/>
          <w:lang w:val="en-US" w:eastAsia="zh-CN"/>
        </w:rPr>
        <w:t>2.</w:t>
      </w:r>
      <w:r>
        <w:rPr>
          <w:rFonts w:hint="eastAsia" w:ascii="宋体" w:hAnsi="宋体" w:eastAsia="宋体" w:cs="宋体"/>
          <w:color w:val="auto"/>
        </w:rPr>
        <w:t>表中要求提供相关计分证明文件的内容，投标文件中须明确加以说明，未按要求提供相关文件或说明不清楚的按不符合要求处理</w:t>
      </w:r>
      <w:r>
        <w:rPr>
          <w:rFonts w:hint="eastAsia" w:ascii="宋体" w:hAnsi="宋体" w:cs="宋体"/>
          <w:color w:val="auto"/>
          <w:lang w:eastAsia="zh-CN"/>
        </w:rPr>
        <w:t>；</w:t>
      </w:r>
      <w:r>
        <w:rPr>
          <w:rFonts w:hint="eastAsia" w:ascii="宋体" w:hAnsi="宋体" w:eastAsia="宋体" w:cs="宋体"/>
          <w:color w:val="auto"/>
        </w:rPr>
        <w:t>3.综合以上分析比较，评委会将对各投标文件进行书面的量化评定，得分精确到小数点后两位。</w:t>
      </w:r>
      <w:r>
        <w:rPr>
          <w:rFonts w:hint="eastAsia" w:ascii="宋体" w:hAnsi="宋体" w:eastAsia="宋体" w:cs="宋体"/>
          <w:color w:val="auto"/>
        </w:rPr>
        <w:br w:type="page"/>
      </w:r>
    </w:p>
    <w:p>
      <w:pPr>
        <w:pStyle w:val="4"/>
        <w:bidi w:val="0"/>
        <w:spacing w:line="360" w:lineRule="auto"/>
        <w:jc w:val="center"/>
        <w:outlineLvl w:val="0"/>
        <w:rPr>
          <w:rFonts w:hint="eastAsia" w:ascii="宋体" w:hAnsi="宋体" w:eastAsia="宋体" w:cs="宋体"/>
          <w:b/>
          <w:bCs/>
          <w:color w:val="auto"/>
          <w:szCs w:val="21"/>
          <w:highlight w:val="none"/>
          <w:lang w:val="en-US" w:eastAsia="zh-CN"/>
        </w:rPr>
      </w:pPr>
      <w:bookmarkStart w:id="15" w:name="_Toc2526"/>
      <w:r>
        <w:rPr>
          <w:rFonts w:hint="eastAsia"/>
          <w:highlight w:val="none"/>
        </w:rPr>
        <w:t>第三章　用户需求书</w:t>
      </w:r>
      <w:bookmarkEnd w:id="15"/>
    </w:p>
    <w:p>
      <w:pPr>
        <w:autoSpaceDE w:val="0"/>
        <w:autoSpaceDN w:val="0"/>
        <w:adjustRightInd w:val="0"/>
        <w:spacing w:line="400" w:lineRule="atLeast"/>
        <w:jc w:val="left"/>
        <w:rPr>
          <w:rFonts w:ascii="宋体" w:hAnsi="Arial" w:eastAsia="宋体" w:cs="宋体"/>
          <w:b/>
          <w:bCs/>
          <w:kern w:val="0"/>
          <w:szCs w:val="21"/>
          <w:lang w:val="zh-CN"/>
        </w:rPr>
      </w:pPr>
      <w:r>
        <w:rPr>
          <w:rFonts w:hint="eastAsia" w:ascii="宋体" w:hAnsi="Arial" w:eastAsia="宋体" w:cs="宋体"/>
          <w:b/>
          <w:bCs/>
          <w:kern w:val="0"/>
          <w:sz w:val="28"/>
          <w:szCs w:val="28"/>
          <w:lang w:val="zh-CN"/>
        </w:rPr>
        <w:t>一、技术要求</w:t>
      </w:r>
    </w:p>
    <w:p>
      <w:pPr>
        <w:numPr>
          <w:ilvl w:val="0"/>
          <w:numId w:val="11"/>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活动时间：动漫节期间</w:t>
      </w:r>
    </w:p>
    <w:p>
      <w:pPr>
        <w:numPr>
          <w:ilvl w:val="0"/>
          <w:numId w:val="11"/>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十三届深圳</w:t>
      </w:r>
      <w:r>
        <w:rPr>
          <w:rFonts w:hint="eastAsia" w:asciiTheme="minorEastAsia" w:hAnsiTheme="minorEastAsia" w:eastAsiaTheme="minorEastAsia" w:cstheme="minorEastAsia"/>
          <w:sz w:val="21"/>
          <w:szCs w:val="21"/>
          <w:highlight w:val="none"/>
        </w:rPr>
        <w:t>动漫节</w:t>
      </w:r>
      <w:r>
        <w:rPr>
          <w:rFonts w:hint="eastAsia" w:asciiTheme="minorEastAsia" w:hAnsiTheme="minorEastAsia" w:eastAsiaTheme="minorEastAsia" w:cstheme="minorEastAsia"/>
          <w:sz w:val="21"/>
          <w:szCs w:val="21"/>
          <w:highlight w:val="none"/>
          <w:lang w:eastAsia="zh-CN"/>
        </w:rPr>
        <w:t>格斗电竞</w:t>
      </w:r>
      <w:r>
        <w:rPr>
          <w:rFonts w:hint="eastAsia" w:asciiTheme="minorEastAsia" w:hAnsiTheme="minorEastAsia" w:eastAsiaTheme="minorEastAsia" w:cstheme="minorEastAsia"/>
          <w:sz w:val="21"/>
          <w:szCs w:val="21"/>
          <w:highlight w:val="none"/>
          <w:lang w:val="en-US" w:eastAsia="zh-CN"/>
        </w:rPr>
        <w:t>大</w:t>
      </w:r>
      <w:r>
        <w:rPr>
          <w:rFonts w:hint="eastAsia" w:asciiTheme="minorEastAsia" w:hAnsiTheme="minorEastAsia" w:eastAsiaTheme="minorEastAsia" w:cstheme="minorEastAsia"/>
          <w:sz w:val="21"/>
          <w:szCs w:val="21"/>
          <w:highlight w:val="none"/>
          <w:lang w:eastAsia="zh-CN"/>
        </w:rPr>
        <w:t>赛”格斗电竞锦标赛</w:t>
      </w:r>
      <w:r>
        <w:rPr>
          <w:rFonts w:hint="eastAsia" w:asciiTheme="minorEastAsia" w:hAnsiTheme="minorEastAsia" w:eastAsiaTheme="minorEastAsia" w:cstheme="minorEastAsia"/>
          <w:sz w:val="21"/>
          <w:szCs w:val="21"/>
          <w:highlight w:val="none"/>
        </w:rPr>
        <w:t>活动策划及执行。</w:t>
      </w:r>
    </w:p>
    <w:p>
      <w:pPr>
        <w:numPr>
          <w:ilvl w:val="0"/>
          <w:numId w:val="11"/>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活动规模：3</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天赛事：含海选、复赛、水友赛多种模式。</w:t>
      </w:r>
    </w:p>
    <w:p>
      <w:pPr>
        <w:numPr>
          <w:ilvl w:val="0"/>
          <w:numId w:val="11"/>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活动内容：</w:t>
      </w:r>
    </w:p>
    <w:p>
      <w:pPr>
        <w:numPr>
          <w:ilvl w:val="0"/>
          <w:numId w:val="12"/>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十三届深圳</w:t>
      </w:r>
      <w:r>
        <w:rPr>
          <w:rFonts w:hint="eastAsia" w:asciiTheme="minorEastAsia" w:hAnsiTheme="minorEastAsia" w:eastAsiaTheme="minorEastAsia" w:cstheme="minorEastAsia"/>
          <w:sz w:val="21"/>
          <w:szCs w:val="21"/>
          <w:highlight w:val="none"/>
        </w:rPr>
        <w:t>动漫节</w:t>
      </w:r>
      <w:r>
        <w:rPr>
          <w:rFonts w:hint="eastAsia" w:asciiTheme="minorEastAsia" w:hAnsiTheme="minorEastAsia" w:eastAsiaTheme="minorEastAsia" w:cstheme="minorEastAsia"/>
          <w:sz w:val="21"/>
          <w:szCs w:val="21"/>
          <w:highlight w:val="none"/>
          <w:lang w:eastAsia="zh-CN"/>
        </w:rPr>
        <w:t>格斗电竞</w:t>
      </w:r>
      <w:r>
        <w:rPr>
          <w:rFonts w:hint="eastAsia" w:asciiTheme="minorEastAsia" w:hAnsiTheme="minorEastAsia" w:eastAsiaTheme="minorEastAsia" w:cstheme="minorEastAsia"/>
          <w:sz w:val="21"/>
          <w:szCs w:val="21"/>
          <w:highlight w:val="none"/>
          <w:lang w:val="en-US" w:eastAsia="zh-CN"/>
        </w:rPr>
        <w:t>大</w:t>
      </w:r>
      <w:r>
        <w:rPr>
          <w:rFonts w:hint="eastAsia" w:asciiTheme="minorEastAsia" w:hAnsiTheme="minorEastAsia" w:eastAsiaTheme="minorEastAsia" w:cstheme="minorEastAsia"/>
          <w:sz w:val="21"/>
          <w:szCs w:val="21"/>
          <w:highlight w:val="none"/>
          <w:lang w:eastAsia="zh-CN"/>
        </w:rPr>
        <w:t>赛”格斗电竞锦标赛</w:t>
      </w:r>
      <w:r>
        <w:rPr>
          <w:rFonts w:hint="eastAsia" w:asciiTheme="minorEastAsia" w:hAnsiTheme="minorEastAsia" w:eastAsiaTheme="minorEastAsia" w:cstheme="minorEastAsia"/>
          <w:sz w:val="21"/>
          <w:szCs w:val="21"/>
          <w:highlight w:val="none"/>
        </w:rPr>
        <w:t>组织</w:t>
      </w:r>
    </w:p>
    <w:p>
      <w:pPr>
        <w:numPr>
          <w:ilvl w:val="0"/>
          <w:numId w:val="0"/>
        </w:numPr>
        <w:tabs>
          <w:tab w:val="left" w:pos="945"/>
        </w:tabs>
        <w:autoSpaceDE w:val="0"/>
        <w:autoSpaceDN w:val="0"/>
        <w:adjustRightInd w:val="0"/>
        <w:spacing w:line="240" w:lineRule="auto"/>
        <w:ind w:left="420" w:leftChars="0" w:firstLine="420" w:firstLineChars="200"/>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（2-3款格斗类游戏赛事授权）</w:t>
      </w:r>
    </w:p>
    <w:p>
      <w:pPr>
        <w:numPr>
          <w:ilvl w:val="0"/>
          <w:numId w:val="12"/>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3-4名国际化选手嘉宾现场参与、专业主持人解说、热场表演；</w:t>
      </w:r>
    </w:p>
    <w:p>
      <w:pPr>
        <w:numPr>
          <w:ilvl w:val="0"/>
          <w:numId w:val="12"/>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赛事配套内容规划：如可引进相关电竞产品、设备展商、周边；游戏场景布置，互动体验类活动等；</w:t>
      </w:r>
    </w:p>
    <w:p>
      <w:pPr>
        <w:numPr>
          <w:ilvl w:val="0"/>
          <w:numId w:val="12"/>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现场赛事执行、直播设备、网络的租赁、布置、搭建等；</w:t>
      </w:r>
    </w:p>
    <w:p>
      <w:pPr>
        <w:numPr>
          <w:ilvl w:val="0"/>
          <w:numId w:val="12"/>
        </w:numPr>
        <w:tabs>
          <w:tab w:val="left" w:pos="945"/>
        </w:tabs>
        <w:autoSpaceDE w:val="0"/>
        <w:autoSpaceDN w:val="0"/>
        <w:adjustRightInd w:val="0"/>
        <w:spacing w:line="240" w:lineRule="auto"/>
        <w:jc w:val="left"/>
        <w:textAlignment w:val="baseline"/>
        <w:rPr>
          <w:rFonts w:hint="eastAsia" w:asciiTheme="minorEastAsia" w:hAnsiTheme="minorEastAsia" w:eastAsiaTheme="minorEastAsia" w:cstheme="minorEastAsia"/>
          <w:kern w:val="0"/>
          <w:szCs w:val="21"/>
          <w:highlight w:val="none"/>
          <w:lang w:val="zh-CN"/>
        </w:rPr>
      </w:pPr>
      <w:r>
        <w:rPr>
          <w:rFonts w:hint="eastAsia" w:asciiTheme="minorEastAsia" w:hAnsiTheme="minorEastAsia" w:eastAsiaTheme="minorEastAsia" w:cstheme="minorEastAsia"/>
          <w:sz w:val="21"/>
          <w:szCs w:val="21"/>
          <w:highlight w:val="none"/>
        </w:rPr>
        <w:t>各大媒体平台、垂类平台宣传直播。</w:t>
      </w:r>
    </w:p>
    <w:p>
      <w:pPr>
        <w:tabs>
          <w:tab w:val="left" w:pos="945"/>
        </w:tabs>
        <w:autoSpaceDE w:val="0"/>
        <w:autoSpaceDN w:val="0"/>
        <w:adjustRightInd w:val="0"/>
        <w:spacing w:line="240" w:lineRule="auto"/>
        <w:ind w:left="439"/>
        <w:jc w:val="left"/>
        <w:rPr>
          <w:rFonts w:hint="eastAsia" w:asciiTheme="minorEastAsia" w:hAnsiTheme="minorEastAsia" w:eastAsiaTheme="minorEastAsia" w:cstheme="minorEastAsia"/>
          <w:b/>
          <w:bCs/>
          <w:kern w:val="0"/>
          <w:sz w:val="21"/>
          <w:szCs w:val="21"/>
          <w:lang w:val="zh-CN"/>
        </w:rPr>
      </w:pPr>
    </w:p>
    <w:p>
      <w:pPr>
        <w:autoSpaceDE w:val="0"/>
        <w:autoSpaceDN w:val="0"/>
        <w:adjustRightInd w:val="0"/>
        <w:spacing w:line="240" w:lineRule="auto"/>
        <w:ind w:firstLine="570"/>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zh-CN"/>
        </w:rPr>
        <w:t>如因其他不可抗力因素，致使本项目展会被取消、暂停、缩短展期或举办日期和地点的变更的，招标人有权解除本合同，招标人不承担违约责任，对于中标人已发生的费用据实结算，中标人应向招标人退还多余合同款项。</w:t>
      </w:r>
    </w:p>
    <w:p>
      <w:pPr>
        <w:tabs>
          <w:tab w:val="left" w:pos="945"/>
        </w:tabs>
        <w:autoSpaceDE w:val="0"/>
        <w:autoSpaceDN w:val="0"/>
        <w:adjustRightInd w:val="0"/>
        <w:spacing w:line="240" w:lineRule="auto"/>
        <w:ind w:left="439"/>
        <w:jc w:val="left"/>
        <w:rPr>
          <w:rFonts w:hint="eastAsia" w:asciiTheme="minorEastAsia" w:hAnsiTheme="minorEastAsia" w:eastAsiaTheme="minorEastAsia" w:cstheme="minorEastAsia"/>
          <w:b/>
          <w:bCs/>
          <w:kern w:val="0"/>
          <w:sz w:val="21"/>
          <w:szCs w:val="21"/>
          <w:lang w:val="zh-CN"/>
        </w:rPr>
      </w:pPr>
    </w:p>
    <w:p>
      <w:pPr>
        <w:autoSpaceDE w:val="0"/>
        <w:autoSpaceDN w:val="0"/>
        <w:adjustRightInd w:val="0"/>
        <w:rPr>
          <w:rFonts w:ascii="Times New Roman" w:hAnsi="Times New Roman" w:eastAsia="宋体" w:cs="Times New Roman"/>
          <w:b/>
          <w:bCs/>
          <w:kern w:val="0"/>
          <w:sz w:val="24"/>
          <w:szCs w:val="24"/>
        </w:rPr>
      </w:pPr>
    </w:p>
    <w:p>
      <w:pPr>
        <w:autoSpaceDE w:val="0"/>
        <w:autoSpaceDN w:val="0"/>
        <w:adjustRightInd w:val="0"/>
        <w:rPr>
          <w:rFonts w:ascii="宋体" w:hAnsi="Times New Roman" w:eastAsia="宋体" w:cs="宋体"/>
          <w:b/>
          <w:bCs/>
          <w:kern w:val="0"/>
          <w:sz w:val="24"/>
          <w:szCs w:val="24"/>
          <w:lang w:val="zh-CN"/>
        </w:rPr>
      </w:pPr>
      <w:r>
        <w:rPr>
          <w:rFonts w:hint="eastAsia" w:cs="Times New Roman"/>
          <w:b/>
          <w:bCs/>
          <w:kern w:val="0"/>
          <w:sz w:val="24"/>
          <w:szCs w:val="24"/>
          <w:lang w:val="en-US" w:eastAsia="zh-CN"/>
        </w:rPr>
        <w:t>二</w:t>
      </w:r>
      <w:r>
        <w:rPr>
          <w:rFonts w:hint="eastAsia" w:ascii="宋体" w:hAnsi="Times New Roman" w:eastAsia="宋体" w:cs="宋体"/>
          <w:b/>
          <w:bCs/>
          <w:kern w:val="0"/>
          <w:sz w:val="24"/>
          <w:szCs w:val="24"/>
          <w:lang w:val="zh-CN"/>
        </w:rPr>
        <w:t>、投标人负责工作：</w:t>
      </w:r>
    </w:p>
    <w:p>
      <w:pPr>
        <w:autoSpaceDE w:val="0"/>
        <w:autoSpaceDN w:val="0"/>
        <w:adjustRightInd w:val="0"/>
        <w:rPr>
          <w:rFonts w:hint="eastAsia" w:asciiTheme="minorEastAsia" w:hAnsiTheme="minorEastAsia" w:eastAsiaTheme="minorEastAsia" w:cstheme="minorEastAsia"/>
          <w:b/>
          <w:bCs/>
          <w:kern w:val="0"/>
          <w:sz w:val="21"/>
          <w:szCs w:val="21"/>
          <w:highlight w:val="none"/>
        </w:rPr>
      </w:pPr>
    </w:p>
    <w:p>
      <w:pPr>
        <w:numPr>
          <w:ilvl w:val="0"/>
          <w:numId w:val="13"/>
        </w:numPr>
        <w:tabs>
          <w:tab w:val="left" w:pos="945"/>
        </w:tabs>
        <w:autoSpaceDE w:val="0"/>
        <w:autoSpaceDN w:val="0"/>
        <w:adjustRightInd w:val="0"/>
        <w:spacing w:line="240" w:lineRule="auto"/>
        <w:ind w:left="84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负责</w:t>
      </w:r>
      <w:r>
        <w:rPr>
          <w:rFonts w:hint="eastAsia" w:asciiTheme="minorEastAsia" w:hAnsiTheme="minorEastAsia" w:eastAsiaTheme="minorEastAsia" w:cstheme="minorEastAsia"/>
          <w:sz w:val="21"/>
          <w:szCs w:val="21"/>
          <w:highlight w:val="none"/>
          <w:lang w:val="en-US" w:eastAsia="zh-CN"/>
        </w:rPr>
        <w:t>第十三届深圳</w:t>
      </w:r>
      <w:r>
        <w:rPr>
          <w:rFonts w:hint="eastAsia" w:asciiTheme="minorEastAsia" w:hAnsiTheme="minorEastAsia" w:eastAsiaTheme="minorEastAsia" w:cstheme="minorEastAsia"/>
          <w:sz w:val="21"/>
          <w:szCs w:val="21"/>
          <w:highlight w:val="none"/>
        </w:rPr>
        <w:t>动漫节</w:t>
      </w:r>
      <w:r>
        <w:rPr>
          <w:rFonts w:hint="eastAsia" w:asciiTheme="minorEastAsia" w:hAnsiTheme="minorEastAsia" w:eastAsiaTheme="minorEastAsia" w:cstheme="minorEastAsia"/>
          <w:sz w:val="21"/>
          <w:szCs w:val="21"/>
          <w:highlight w:val="none"/>
          <w:lang w:eastAsia="zh-CN"/>
        </w:rPr>
        <w:t>格斗电竞</w:t>
      </w:r>
      <w:r>
        <w:rPr>
          <w:rFonts w:hint="eastAsia" w:asciiTheme="minorEastAsia" w:hAnsiTheme="minorEastAsia" w:eastAsiaTheme="minorEastAsia" w:cstheme="minorEastAsia"/>
          <w:sz w:val="21"/>
          <w:szCs w:val="21"/>
          <w:highlight w:val="none"/>
          <w:lang w:val="en-US" w:eastAsia="zh-CN"/>
        </w:rPr>
        <w:t>大</w:t>
      </w:r>
      <w:r>
        <w:rPr>
          <w:rFonts w:hint="eastAsia" w:asciiTheme="minorEastAsia" w:hAnsiTheme="minorEastAsia" w:eastAsiaTheme="minorEastAsia" w:cstheme="minorEastAsia"/>
          <w:sz w:val="21"/>
          <w:szCs w:val="21"/>
          <w:highlight w:val="none"/>
          <w:lang w:eastAsia="zh-CN"/>
        </w:rPr>
        <w:t>赛</w:t>
      </w:r>
      <w:r>
        <w:rPr>
          <w:rFonts w:hint="eastAsia" w:asciiTheme="minorEastAsia" w:hAnsiTheme="minorEastAsia" w:eastAsiaTheme="minorEastAsia" w:cstheme="minorEastAsia"/>
          <w:sz w:val="21"/>
          <w:szCs w:val="21"/>
          <w:highlight w:val="none"/>
        </w:rPr>
        <w:t>”活动策划、全程执行；</w:t>
      </w:r>
    </w:p>
    <w:p>
      <w:pPr>
        <w:numPr>
          <w:ilvl w:val="0"/>
          <w:numId w:val="13"/>
        </w:numPr>
        <w:tabs>
          <w:tab w:val="left" w:pos="945"/>
        </w:tabs>
        <w:autoSpaceDE w:val="0"/>
        <w:autoSpaceDN w:val="0"/>
        <w:adjustRightInd w:val="0"/>
        <w:spacing w:line="240" w:lineRule="auto"/>
        <w:ind w:left="84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负责主持人、解说员邀请，选手征集、队伍组织等所有执行工作；</w:t>
      </w:r>
    </w:p>
    <w:p>
      <w:pPr>
        <w:numPr>
          <w:ilvl w:val="0"/>
          <w:numId w:val="13"/>
        </w:numPr>
        <w:tabs>
          <w:tab w:val="left" w:pos="945"/>
        </w:tabs>
        <w:autoSpaceDE w:val="0"/>
        <w:autoSpaceDN w:val="0"/>
        <w:adjustRightInd w:val="0"/>
        <w:spacing w:line="240" w:lineRule="auto"/>
        <w:ind w:left="84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负责项目推广、预热宣传；</w:t>
      </w:r>
    </w:p>
    <w:p>
      <w:pPr>
        <w:numPr>
          <w:ilvl w:val="0"/>
          <w:numId w:val="13"/>
        </w:numPr>
        <w:tabs>
          <w:tab w:val="left" w:pos="945"/>
        </w:tabs>
        <w:autoSpaceDE w:val="0"/>
        <w:autoSpaceDN w:val="0"/>
        <w:adjustRightInd w:val="0"/>
        <w:spacing w:line="240" w:lineRule="auto"/>
        <w:ind w:left="84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负责赛事奖金</w:t>
      </w:r>
      <w:r>
        <w:rPr>
          <w:rFonts w:hint="eastAsia" w:asciiTheme="minorEastAsia" w:hAnsiTheme="minorEastAsia" w:eastAsiaTheme="minorEastAsia" w:cstheme="minorEastAsia"/>
          <w:sz w:val="21"/>
          <w:szCs w:val="21"/>
          <w:highlight w:val="none"/>
          <w:lang w:val="en-US" w:eastAsia="zh-CN"/>
        </w:rPr>
        <w:t>方案（方案需经主办方确认后，由乙方配合提供获奖选手身份信息等资料，甲方财务发放）</w:t>
      </w:r>
      <w:r>
        <w:rPr>
          <w:rFonts w:hint="eastAsia" w:asciiTheme="minorEastAsia" w:hAnsiTheme="minorEastAsia" w:eastAsiaTheme="minorEastAsia" w:cstheme="minorEastAsia"/>
          <w:sz w:val="21"/>
          <w:szCs w:val="21"/>
          <w:highlight w:val="none"/>
        </w:rPr>
        <w:t>；</w:t>
      </w:r>
    </w:p>
    <w:p>
      <w:pPr>
        <w:numPr>
          <w:ilvl w:val="0"/>
          <w:numId w:val="13"/>
        </w:numPr>
        <w:tabs>
          <w:tab w:val="left" w:pos="945"/>
        </w:tabs>
        <w:autoSpaceDE w:val="0"/>
        <w:autoSpaceDN w:val="0"/>
        <w:adjustRightInd w:val="0"/>
        <w:spacing w:line="240" w:lineRule="auto"/>
        <w:ind w:left="84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直播的各项准备工作，相关设备租赁、布置、专线网络的搭建申请等；</w:t>
      </w:r>
    </w:p>
    <w:p>
      <w:pPr>
        <w:numPr>
          <w:ilvl w:val="0"/>
          <w:numId w:val="13"/>
        </w:numPr>
        <w:tabs>
          <w:tab w:val="left" w:pos="945"/>
        </w:tabs>
        <w:autoSpaceDE w:val="0"/>
        <w:autoSpaceDN w:val="0"/>
        <w:adjustRightInd w:val="0"/>
        <w:spacing w:line="240" w:lineRule="auto"/>
        <w:ind w:left="845"/>
        <w:jc w:val="left"/>
        <w:textAlignment w:val="baseline"/>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协助</w:t>
      </w:r>
      <w:r>
        <w:rPr>
          <w:rFonts w:hint="eastAsia" w:asciiTheme="minorEastAsia" w:hAnsiTheme="minorEastAsia" w:eastAsiaTheme="minorEastAsia" w:cstheme="minorEastAsia"/>
          <w:sz w:val="21"/>
          <w:szCs w:val="21"/>
          <w:highlight w:val="none"/>
          <w:lang w:val="en-US" w:eastAsia="zh-CN"/>
        </w:rPr>
        <w:t>第十三届深圳</w:t>
      </w:r>
      <w:r>
        <w:rPr>
          <w:rFonts w:hint="eastAsia" w:asciiTheme="minorEastAsia" w:hAnsiTheme="minorEastAsia" w:eastAsiaTheme="minorEastAsia" w:cstheme="minorEastAsia"/>
          <w:sz w:val="21"/>
          <w:szCs w:val="21"/>
          <w:highlight w:val="none"/>
        </w:rPr>
        <w:t>动漫节招商工作，配合提供相关活动方案；</w:t>
      </w:r>
    </w:p>
    <w:p>
      <w:pPr>
        <w:numPr>
          <w:ilvl w:val="-1"/>
          <w:numId w:val="0"/>
        </w:numPr>
        <w:tabs>
          <w:tab w:val="left" w:pos="945"/>
        </w:tabs>
        <w:autoSpaceDE w:val="0"/>
        <w:autoSpaceDN w:val="0"/>
        <w:adjustRightInd w:val="0"/>
        <w:spacing w:line="240" w:lineRule="auto"/>
        <w:ind w:left="0" w:firstLine="420" w:firstLineChars="200"/>
        <w:jc w:val="left"/>
        <w:textAlignment w:val="baseline"/>
        <w:rPr>
          <w:rFonts w:hint="eastAsia" w:asciiTheme="minorEastAsia" w:hAnsiTheme="minorEastAsia" w:eastAsiaTheme="minorEastAsia" w:cstheme="minorEastAsia"/>
          <w:b/>
          <w:color w:val="FF0000"/>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所邀请的展商需提前与动漫节组委会报备展示内容，面积，证件、用电需求等，并签订展商责任书、展位合同等书面材料。</w:t>
      </w:r>
    </w:p>
    <w:p>
      <w:pPr>
        <w:tabs>
          <w:tab w:val="left" w:pos="945"/>
        </w:tabs>
        <w:autoSpaceDE w:val="0"/>
        <w:autoSpaceDN w:val="0"/>
        <w:adjustRightInd w:val="0"/>
        <w:spacing w:line="240" w:lineRule="auto"/>
        <w:jc w:val="left"/>
        <w:rPr>
          <w:rFonts w:hint="eastAsia" w:asciiTheme="minorEastAsia" w:hAnsiTheme="minorEastAsia" w:eastAsiaTheme="minorEastAsia" w:cstheme="minorEastAsia"/>
          <w:b/>
          <w:bCs/>
          <w:color w:val="FF0000"/>
          <w:kern w:val="0"/>
          <w:sz w:val="21"/>
          <w:szCs w:val="21"/>
          <w:highlight w:val="none"/>
          <w:lang w:val="zh-CN"/>
        </w:rPr>
      </w:pPr>
    </w:p>
    <w:p>
      <w:pPr>
        <w:pageBreakBefore w:val="0"/>
        <w:numPr>
          <w:ilvl w:val="-1"/>
          <w:numId w:val="0"/>
        </w:numPr>
        <w:kinsoku/>
        <w:wordWrap/>
        <w:overflowPunct/>
        <w:topLinePunct w:val="0"/>
        <w:bidi w:val="0"/>
        <w:spacing w:line="360" w:lineRule="auto"/>
        <w:ind w:left="0" w:leftChars="0" w:right="0" w:rightChars="0" w:firstLine="0" w:firstLineChars="0"/>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zh-CN"/>
        </w:rPr>
        <w:t>★需提供的方案：</w:t>
      </w:r>
    </w:p>
    <w:tbl>
      <w:tblPr>
        <w:tblStyle w:val="56"/>
        <w:tblW w:w="9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2600"/>
        <w:gridCol w:w="1782"/>
        <w:gridCol w:w="1452"/>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00"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178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45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费用</w:t>
            </w:r>
          </w:p>
        </w:tc>
        <w:tc>
          <w:tcPr>
            <w:tcW w:w="2581"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4"/>
              </w:numPr>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2600"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项目整体策划、执行方案</w:t>
            </w:r>
          </w:p>
        </w:tc>
        <w:tc>
          <w:tcPr>
            <w:tcW w:w="178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1452"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c>
          <w:tcPr>
            <w:tcW w:w="2581"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4"/>
              </w:numPr>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2600"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活动细项预算</w:t>
            </w:r>
          </w:p>
        </w:tc>
        <w:tc>
          <w:tcPr>
            <w:tcW w:w="178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1452"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c>
          <w:tcPr>
            <w:tcW w:w="2581"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4"/>
              </w:numPr>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2600"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奖金方案</w:t>
            </w:r>
          </w:p>
        </w:tc>
        <w:tc>
          <w:tcPr>
            <w:tcW w:w="178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1452"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c>
          <w:tcPr>
            <w:tcW w:w="2581"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4"/>
              </w:numPr>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2600"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项目宣传推广方案</w:t>
            </w:r>
          </w:p>
        </w:tc>
        <w:tc>
          <w:tcPr>
            <w:tcW w:w="178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1452"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c>
          <w:tcPr>
            <w:tcW w:w="2581"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5" w:type="dxa"/>
          </w:tcPr>
          <w:p>
            <w:pPr>
              <w:pageBreakBefore w:val="0"/>
              <w:numPr>
                <w:ilvl w:val="0"/>
                <w:numId w:val="14"/>
              </w:numPr>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2600"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项目人员组成</w:t>
            </w:r>
          </w:p>
        </w:tc>
        <w:tc>
          <w:tcPr>
            <w:tcW w:w="1782" w:type="dxa"/>
          </w:tcPr>
          <w:p>
            <w:pPr>
              <w:pageBreakBefore w:val="0"/>
              <w:kinsoku/>
              <w:wordWrap/>
              <w:overflowPunct/>
              <w:topLinePunct w:val="0"/>
              <w:bidi w:val="0"/>
              <w:spacing w:line="240" w:lineRule="auto"/>
              <w:ind w:left="0" w:leftChars="0" w:right="0" w:firstLine="0" w:firstLineChars="0"/>
              <w:jc w:val="center"/>
              <w:rPr>
                <w:rFonts w:hint="eastAsia" w:ascii="宋体" w:hAnsi="宋体" w:eastAsia="宋体" w:cs="宋体"/>
                <w:color w:val="auto"/>
                <w:sz w:val="21"/>
                <w:szCs w:val="21"/>
                <w:highlight w:val="none"/>
              </w:rPr>
            </w:pPr>
          </w:p>
        </w:tc>
        <w:tc>
          <w:tcPr>
            <w:tcW w:w="1452"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c>
          <w:tcPr>
            <w:tcW w:w="2581" w:type="dxa"/>
          </w:tcPr>
          <w:p>
            <w:pPr>
              <w:pageBreakBefore w:val="0"/>
              <w:kinsoku/>
              <w:wordWrap/>
              <w:overflowPunct/>
              <w:topLinePunct w:val="0"/>
              <w:bidi w:val="0"/>
              <w:spacing w:line="240" w:lineRule="auto"/>
              <w:ind w:left="0" w:leftChars="0" w:right="0" w:firstLine="0" w:firstLineChars="0"/>
              <w:rPr>
                <w:rFonts w:hint="eastAsia" w:ascii="宋体" w:hAnsi="宋体" w:eastAsia="宋体" w:cs="宋体"/>
                <w:color w:val="auto"/>
                <w:sz w:val="21"/>
                <w:szCs w:val="21"/>
                <w:highlight w:val="none"/>
              </w:rPr>
            </w:pPr>
          </w:p>
        </w:tc>
      </w:tr>
    </w:tbl>
    <w:p>
      <w:pPr>
        <w:pageBreakBefore w:val="0"/>
        <w:kinsoku/>
        <w:wordWrap/>
        <w:overflowPunct/>
        <w:topLinePunct w:val="0"/>
        <w:autoSpaceDE w:val="0"/>
        <w:autoSpaceDN w:val="0"/>
        <w:bidi w:val="0"/>
        <w:adjustRightInd w:val="0"/>
        <w:spacing w:line="360" w:lineRule="auto"/>
        <w:ind w:left="0" w:leftChars="0" w:right="0" w:firstLine="0" w:firstLineChars="0"/>
        <w:rPr>
          <w:rFonts w:hint="eastAsia" w:ascii="宋体" w:hAnsi="宋体" w:eastAsia="宋体" w:cs="宋体"/>
          <w:color w:val="auto"/>
          <w:kern w:val="0"/>
          <w:szCs w:val="21"/>
          <w:lang w:val="zh-CN"/>
        </w:rPr>
      </w:pPr>
    </w:p>
    <w:p>
      <w:pPr>
        <w:pageBreakBefore w:val="0"/>
        <w:numPr>
          <w:ilvl w:val="0"/>
          <w:numId w:val="15"/>
        </w:numPr>
        <w:kinsoku/>
        <w:wordWrap/>
        <w:overflowPunct/>
        <w:topLinePunct w:val="0"/>
        <w:bidi w:val="0"/>
        <w:spacing w:line="360" w:lineRule="auto"/>
        <w:ind w:left="0" w:leftChars="0" w:right="0" w:firstLine="420" w:firstLineChars="0"/>
        <w:jc w:val="left"/>
        <w:rPr>
          <w:rFonts w:hint="eastAsia" w:ascii="黑体" w:hAnsi="黑体" w:eastAsia="黑体" w:cs="黑体"/>
          <w:b/>
          <w:bCs/>
          <w:color w:val="auto"/>
          <w:sz w:val="28"/>
          <w:szCs w:val="28"/>
        </w:rPr>
      </w:pPr>
      <w:r>
        <w:rPr>
          <w:rFonts w:hint="eastAsia" w:ascii="黑体" w:hAnsi="黑体" w:eastAsia="黑体" w:cs="黑体"/>
          <w:b/>
          <w:bCs/>
          <w:color w:val="auto"/>
          <w:sz w:val="28"/>
          <w:szCs w:val="28"/>
        </w:rPr>
        <w:t>商务要求</w:t>
      </w:r>
    </w:p>
    <w:p>
      <w:pPr>
        <w:pageBreakBefore w:val="0"/>
        <w:numPr>
          <w:ilvl w:val="0"/>
          <w:numId w:val="16"/>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★服务地点及承包方式</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项目地点：</w:t>
      </w:r>
      <w:r>
        <w:rPr>
          <w:rFonts w:hint="eastAsia" w:ascii="宋体" w:hAnsi="宋体" w:eastAsia="宋体" w:cs="宋体"/>
          <w:color w:val="auto"/>
          <w:szCs w:val="21"/>
          <w:highlight w:val="none"/>
        </w:rPr>
        <w:t>招标人指定地点。</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承包方式：固定总价承包，投标货币为人民币，投标报价应包括：完成本项目所需的一切费用。总服务价格（含税），另根据各投标人清单明细服务价格（含税）。</w:t>
      </w:r>
    </w:p>
    <w:p>
      <w:pPr>
        <w:pageBreakBefore w:val="0"/>
        <w:numPr>
          <w:ilvl w:val="0"/>
          <w:numId w:val="16"/>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★结算方式：</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 xml:space="preserve">合同签署后十个工作日内支付 </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lang w:val="zh-CN"/>
        </w:rPr>
        <w:t>0%，项目开始前五个工作日内支付 50%，项目完成后，经甲方验收及履约评价考核后（具体履约评价要求见附件）书面签字确认，</w:t>
      </w:r>
      <w:r>
        <w:rPr>
          <w:rFonts w:hint="eastAsia" w:ascii="宋体" w:hAnsi="宋体" w:cs="宋体"/>
          <w:bCs/>
          <w:color w:val="auto"/>
          <w:kern w:val="0"/>
          <w:szCs w:val="21"/>
          <w:highlight w:val="none"/>
          <w:lang w:val="zh-CN"/>
        </w:rPr>
        <w:t>十五</w:t>
      </w:r>
      <w:r>
        <w:rPr>
          <w:rFonts w:hint="eastAsia" w:ascii="宋体" w:hAnsi="宋体" w:eastAsia="宋体" w:cs="宋体"/>
          <w:bCs/>
          <w:color w:val="auto"/>
          <w:kern w:val="0"/>
          <w:szCs w:val="21"/>
          <w:highlight w:val="none"/>
          <w:lang w:val="zh-CN"/>
        </w:rPr>
        <w:t>个工作日内，根据履约考核情况，向乙方支付对应的合同尾款。</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（必需提供增值税专用发票）</w:t>
      </w:r>
    </w:p>
    <w:p>
      <w:pPr>
        <w:pageBreakBefore w:val="0"/>
        <w:kinsoku/>
        <w:wordWrap/>
        <w:overflowPunct/>
        <w:topLinePunct w:val="0"/>
        <w:autoSpaceDE/>
        <w:autoSpaceDN/>
        <w:bidi w:val="0"/>
        <w:adjustRightInd/>
        <w:spacing w:line="360" w:lineRule="auto"/>
        <w:ind w:left="0" w:leftChars="0" w:right="0" w:firstLine="420" w:firstLineChars="200"/>
        <w:jc w:val="left"/>
        <w:textAlignment w:val="auto"/>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注：上述费用为含税价，包括活动相关所有费用。供应商报价时需单列增值税率。</w:t>
      </w:r>
    </w:p>
    <w:p>
      <w:pPr>
        <w:pageBreakBefore w:val="0"/>
        <w:numPr>
          <w:ilvl w:val="0"/>
          <w:numId w:val="16"/>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★履约评价考核：</w:t>
      </w:r>
    </w:p>
    <w:p>
      <w:pPr>
        <w:pStyle w:val="2"/>
        <w:numPr>
          <w:ilvl w:val="0"/>
          <w:numId w:val="17"/>
        </w:numPr>
        <w:spacing w:line="36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履约评价考核方式：</w:t>
      </w:r>
    </w:p>
    <w:p>
      <w:pPr>
        <w:pStyle w:val="2"/>
        <w:numPr>
          <w:ilvl w:val="-1"/>
          <w:numId w:val="0"/>
        </w:numPr>
        <w:spacing w:line="360" w:lineRule="auto"/>
        <w:ind w:firstLine="420" w:firstLineChars="200"/>
        <w:jc w:val="both"/>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乙方完成本合同项下全部服务事项后20个工作日内向甲方提交项目</w:t>
      </w:r>
      <w:r>
        <w:rPr>
          <w:rStyle w:val="61"/>
          <w:rFonts w:hint="eastAsia" w:ascii="宋体" w:hAnsi="宋体" w:eastAsia="宋体" w:cs="宋体"/>
          <w:b w:val="0"/>
          <w:bCs w:val="0"/>
          <w:color w:val="auto"/>
          <w:sz w:val="21"/>
          <w:szCs w:val="21"/>
          <w:highlight w:val="none"/>
          <w:lang w:val="en-US" w:eastAsia="zh-CN"/>
        </w:rPr>
        <w:t>结算</w:t>
      </w:r>
      <w:r>
        <w:rPr>
          <w:rStyle w:val="61"/>
          <w:rFonts w:hint="eastAsia" w:ascii="宋体" w:hAnsi="宋体" w:eastAsia="宋体" w:cs="宋体"/>
          <w:b w:val="0"/>
          <w:bCs w:val="0"/>
          <w:color w:val="auto"/>
          <w:sz w:val="21"/>
          <w:szCs w:val="21"/>
          <w:highlight w:val="none"/>
          <w:lang w:eastAsia="zh-CN"/>
        </w:rPr>
        <w:t>报告，经甲方对照本合同约定的考核内容考核合格后，甲方向乙方支付尾款。项目成果应取得甲方认可，否则应进行相应的履约扣减，乙方不得因此主张任何违约或赔偿等权利，乙方服务考核评价按下表执行。</w:t>
      </w:r>
    </w:p>
    <w:p>
      <w:pPr>
        <w:pStyle w:val="2"/>
        <w:spacing w:line="36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乙方履约评价考核按下表执行，其中履约评价考核得分在60分以下（不含本数）者为不合格：</w:t>
      </w:r>
    </w:p>
    <w:tbl>
      <w:tblPr>
        <w:tblStyle w:val="55"/>
        <w:tblW w:w="8526" w:type="dxa"/>
        <w:jc w:val="center"/>
        <w:tblLayout w:type="autofit"/>
        <w:tblCellMar>
          <w:top w:w="0" w:type="dxa"/>
          <w:left w:w="108" w:type="dxa"/>
          <w:bottom w:w="0" w:type="dxa"/>
          <w:right w:w="108" w:type="dxa"/>
        </w:tblCellMar>
      </w:tblPr>
      <w:tblGrid>
        <w:gridCol w:w="2301"/>
        <w:gridCol w:w="4283"/>
        <w:gridCol w:w="1942"/>
      </w:tblGrid>
      <w:tr>
        <w:tblPrEx>
          <w:tblCellMar>
            <w:top w:w="0" w:type="dxa"/>
            <w:left w:w="108" w:type="dxa"/>
            <w:bottom w:w="0" w:type="dxa"/>
            <w:right w:w="108" w:type="dxa"/>
          </w:tblCellMar>
        </w:tblPrEx>
        <w:trPr>
          <w:trHeight w:val="477" w:hRule="atLeast"/>
          <w:jc w:val="center"/>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履约评价得分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对应支付的合同尾款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备注</w:t>
            </w:r>
          </w:p>
        </w:tc>
      </w:tr>
      <w:tr>
        <w:tblPrEx>
          <w:tblCellMar>
            <w:top w:w="0" w:type="dxa"/>
            <w:left w:w="108" w:type="dxa"/>
            <w:bottom w:w="0" w:type="dxa"/>
            <w:right w:w="108" w:type="dxa"/>
          </w:tblCellMar>
        </w:tblPrEx>
        <w:trPr>
          <w:trHeight w:val="167" w:hRule="atLeast"/>
          <w:jc w:val="center"/>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80分以上（含80分）</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default" w:ascii="宋体" w:hAnsi="宋体" w:cs="宋体"/>
                <w:szCs w:val="21"/>
                <w:highlight w:val="none"/>
              </w:rPr>
            </w:pPr>
            <w:r>
              <w:rPr>
                <w:rFonts w:hint="eastAsia" w:ascii="宋体" w:hAnsi="宋体" w:cs="宋体"/>
                <w:szCs w:val="21"/>
                <w:highlight w:val="none"/>
                <w:lang w:val="en-US" w:eastAsia="zh-CN"/>
              </w:rPr>
              <w:t>剩余尾款全额支付</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w:t>
            </w:r>
          </w:p>
        </w:tc>
      </w:tr>
      <w:tr>
        <w:tblPrEx>
          <w:tblCellMar>
            <w:top w:w="0" w:type="dxa"/>
            <w:left w:w="108" w:type="dxa"/>
            <w:bottom w:w="0" w:type="dxa"/>
            <w:right w:w="108" w:type="dxa"/>
          </w:tblCellMar>
        </w:tblPrEx>
        <w:trPr>
          <w:trHeight w:val="831" w:hRule="atLeast"/>
          <w:jc w:val="center"/>
        </w:trPr>
        <w:tc>
          <w:tcPr>
            <w:tcW w:w="1349" w:type="pct"/>
            <w:tcBorders>
              <w:top w:val="single" w:color="000000" w:sz="4" w:space="0"/>
              <w:left w:val="single" w:color="000000" w:sz="4" w:space="0"/>
              <w:right w:val="single" w:color="000000" w:sz="4" w:space="0"/>
            </w:tcBorders>
            <w:noWrap w:val="0"/>
            <w:vAlign w:val="center"/>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lang w:eastAsia="zh-CN"/>
              </w:rPr>
              <w:t>6</w:t>
            </w:r>
            <w:r>
              <w:rPr>
                <w:rFonts w:hint="eastAsia" w:ascii="宋体" w:hAnsi="宋体" w:cs="宋体"/>
                <w:szCs w:val="21"/>
                <w:highlight w:val="none"/>
              </w:rPr>
              <w:t>0分以上，80分以下</w:t>
            </w:r>
          </w:p>
        </w:tc>
        <w:tc>
          <w:tcPr>
            <w:tcW w:w="2511" w:type="pct"/>
            <w:tcBorders>
              <w:top w:val="single" w:color="000000" w:sz="4" w:space="0"/>
              <w:left w:val="nil"/>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以80分为基准，履约评价实际得分每少1分，对应扣减合同总价款的1%，扣除后结算余款</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rPr>
              <w:t>/</w:t>
            </w:r>
          </w:p>
          <w:p>
            <w:pPr>
              <w:widowControl w:val="0"/>
              <w:adjustRightInd w:val="0"/>
              <w:spacing w:line="360" w:lineRule="auto"/>
              <w:jc w:val="both"/>
              <w:rPr>
                <w:rFonts w:ascii="宋体" w:hAnsi="宋体" w:cs="宋体"/>
                <w:szCs w:val="21"/>
                <w:highlight w:val="none"/>
              </w:rPr>
            </w:pPr>
          </w:p>
        </w:tc>
      </w:tr>
      <w:tr>
        <w:tblPrEx>
          <w:tblCellMar>
            <w:top w:w="0" w:type="dxa"/>
            <w:left w:w="108" w:type="dxa"/>
            <w:bottom w:w="0" w:type="dxa"/>
            <w:right w:w="108" w:type="dxa"/>
          </w:tblCellMar>
        </w:tblPrEx>
        <w:trPr>
          <w:trHeight w:val="477" w:hRule="atLeast"/>
          <w:jc w:val="center"/>
        </w:trPr>
        <w:tc>
          <w:tcPr>
            <w:tcW w:w="1349" w:type="pct"/>
            <w:tcBorders>
              <w:top w:val="single" w:color="000000" w:sz="4" w:space="0"/>
              <w:left w:val="single" w:color="000000" w:sz="4" w:space="0"/>
              <w:bottom w:val="single" w:color="000000" w:sz="4" w:space="0"/>
              <w:right w:val="single" w:color="000000" w:sz="4" w:space="0"/>
            </w:tcBorders>
            <w:noWrap w:val="0"/>
            <w:vAlign w:val="bottom"/>
          </w:tcPr>
          <w:p>
            <w:pPr>
              <w:widowControl w:val="0"/>
              <w:adjustRightInd w:val="0"/>
              <w:spacing w:line="360" w:lineRule="auto"/>
              <w:jc w:val="center"/>
              <w:rPr>
                <w:rFonts w:ascii="宋体" w:hAnsi="宋体" w:cs="宋体"/>
                <w:szCs w:val="21"/>
                <w:highlight w:val="none"/>
              </w:rPr>
            </w:pPr>
            <w:r>
              <w:rPr>
                <w:rFonts w:hint="eastAsia" w:ascii="宋体" w:hAnsi="宋体" w:cs="宋体"/>
                <w:szCs w:val="21"/>
                <w:highlight w:val="none"/>
              </w:rPr>
              <w:t>60分以下</w:t>
            </w:r>
          </w:p>
        </w:tc>
        <w:tc>
          <w:tcPr>
            <w:tcW w:w="2511"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Fonts w:hint="eastAsia" w:ascii="宋体" w:hAnsi="宋体" w:cs="宋体"/>
                <w:szCs w:val="21"/>
                <w:highlight w:val="none"/>
                <w:lang w:val="en-US" w:eastAsia="zh-CN"/>
              </w:rPr>
              <w:t>不付尾款</w:t>
            </w:r>
            <w:r>
              <w:rPr>
                <w:rFonts w:hint="eastAsia" w:ascii="宋体" w:hAnsi="宋体" w:cs="宋体"/>
                <w:szCs w:val="21"/>
                <w:highlight w:val="none"/>
              </w:rPr>
              <w:t>（不合格）</w:t>
            </w:r>
          </w:p>
        </w:tc>
        <w:tc>
          <w:tcPr>
            <w:tcW w:w="1138" w:type="pct"/>
            <w:tcBorders>
              <w:top w:val="single" w:color="000000" w:sz="4" w:space="0"/>
              <w:left w:val="nil"/>
              <w:bottom w:val="single" w:color="000000" w:sz="4" w:space="0"/>
              <w:right w:val="single" w:color="000000" w:sz="4" w:space="0"/>
            </w:tcBorders>
            <w:noWrap w:val="0"/>
            <w:vAlign w:val="bottom"/>
          </w:tcPr>
          <w:p>
            <w:pPr>
              <w:widowControl w:val="0"/>
              <w:adjustRightInd w:val="0"/>
              <w:spacing w:line="360" w:lineRule="auto"/>
              <w:jc w:val="center"/>
              <w:rPr>
                <w:rFonts w:hint="eastAsia" w:ascii="宋体" w:hAnsi="宋体" w:cs="宋体"/>
                <w:szCs w:val="21"/>
                <w:highlight w:val="none"/>
              </w:rPr>
            </w:pPr>
            <w:r>
              <w:rPr>
                <w:rStyle w:val="61"/>
                <w:rFonts w:hint="eastAsia" w:ascii="宋体" w:hAnsi="宋体" w:eastAsia="宋体" w:cs="宋体"/>
                <w:b w:val="0"/>
                <w:bCs w:val="0"/>
                <w:color w:val="auto"/>
                <w:sz w:val="21"/>
                <w:szCs w:val="21"/>
                <w:highlight w:val="none"/>
                <w:lang w:val="en-US" w:eastAsia="zh-CN"/>
              </w:rPr>
              <w:t>并被剔除供应商库</w:t>
            </w:r>
          </w:p>
        </w:tc>
      </w:tr>
    </w:tbl>
    <w:p>
      <w:pPr>
        <w:pStyle w:val="2"/>
        <w:numPr>
          <w:ilvl w:val="-1"/>
          <w:numId w:val="0"/>
        </w:numPr>
        <w:spacing w:line="360" w:lineRule="auto"/>
        <w:ind w:firstLine="0" w:firstLineChars="0"/>
        <w:jc w:val="both"/>
        <w:rPr>
          <w:rStyle w:val="61"/>
          <w:rFonts w:hint="eastAsia" w:ascii="宋体" w:hAnsi="宋体" w:eastAsia="宋体" w:cs="宋体"/>
          <w:b/>
          <w:bCs/>
          <w:color w:val="auto"/>
          <w:sz w:val="21"/>
          <w:szCs w:val="21"/>
          <w:highlight w:val="none"/>
          <w:lang w:eastAsia="zh-CN"/>
        </w:rPr>
      </w:pPr>
    </w:p>
    <w:p>
      <w:pPr>
        <w:pStyle w:val="2"/>
        <w:numPr>
          <w:ilvl w:val="0"/>
          <w:numId w:val="17"/>
        </w:numPr>
        <w:spacing w:line="360" w:lineRule="auto"/>
        <w:ind w:firstLine="422" w:firstLineChars="200"/>
        <w:jc w:val="both"/>
        <w:rPr>
          <w:rStyle w:val="61"/>
          <w:rFonts w:hint="eastAsia" w:ascii="宋体" w:hAnsi="宋体" w:eastAsia="宋体" w:cs="宋体"/>
          <w:b/>
          <w:bCs/>
          <w:color w:val="auto"/>
          <w:sz w:val="21"/>
          <w:szCs w:val="21"/>
          <w:highlight w:val="none"/>
          <w:lang w:eastAsia="zh-CN"/>
        </w:rPr>
      </w:pPr>
      <w:r>
        <w:rPr>
          <w:rStyle w:val="61"/>
          <w:rFonts w:hint="eastAsia" w:ascii="宋体" w:hAnsi="宋体" w:eastAsia="宋体" w:cs="宋体"/>
          <w:b/>
          <w:bCs/>
          <w:color w:val="auto"/>
          <w:sz w:val="21"/>
          <w:szCs w:val="21"/>
          <w:highlight w:val="none"/>
          <w:lang w:eastAsia="zh-CN"/>
        </w:rPr>
        <w:t>履约评价</w:t>
      </w:r>
      <w:r>
        <w:rPr>
          <w:rStyle w:val="61"/>
          <w:rFonts w:hint="eastAsia" w:ascii="宋体" w:hAnsi="宋体" w:eastAsia="宋体" w:cs="宋体"/>
          <w:b/>
          <w:bCs/>
          <w:color w:val="auto"/>
          <w:sz w:val="21"/>
          <w:szCs w:val="21"/>
          <w:highlight w:val="none"/>
          <w:lang w:val="en-US" w:eastAsia="zh-CN"/>
        </w:rPr>
        <w:t>管理办法</w:t>
      </w:r>
      <w:r>
        <w:rPr>
          <w:rStyle w:val="61"/>
          <w:rFonts w:hint="eastAsia" w:ascii="宋体" w:hAnsi="宋体" w:eastAsia="宋体" w:cs="宋体"/>
          <w:b/>
          <w:bCs/>
          <w:color w:val="auto"/>
          <w:sz w:val="21"/>
          <w:szCs w:val="21"/>
          <w:highlight w:val="none"/>
          <w:lang w:eastAsia="zh-CN"/>
        </w:rPr>
        <w:t>：</w:t>
      </w:r>
    </w:p>
    <w:p>
      <w:pPr>
        <w:pStyle w:val="2"/>
        <w:spacing w:line="360" w:lineRule="auto"/>
        <w:ind w:firstLine="420" w:firstLineChars="20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val="en-US" w:eastAsia="zh-CN"/>
        </w:rPr>
        <w:t xml:space="preserve">第一条 </w:t>
      </w:r>
      <w:r>
        <w:rPr>
          <w:rStyle w:val="61"/>
          <w:rFonts w:hint="eastAsia" w:ascii="宋体" w:hAnsi="宋体" w:eastAsia="宋体" w:cs="宋体"/>
          <w:b w:val="0"/>
          <w:bCs w:val="0"/>
          <w:color w:val="auto"/>
          <w:sz w:val="21"/>
          <w:szCs w:val="21"/>
          <w:highlight w:val="none"/>
          <w:lang w:eastAsia="zh-CN"/>
        </w:rPr>
        <w:t>根据得分（用字母“N”表示）情况，履约评价结果分为以下五个等级：</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当N≥90分时，评价结果为优秀；</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当80≤N＜90分时，评价结果为良好；</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当70≤N＜80分时，评价结果为中等；</w:t>
      </w:r>
    </w:p>
    <w:p>
      <w:pPr>
        <w:pStyle w:val="2"/>
        <w:numPr>
          <w:ilvl w:val="0"/>
          <w:numId w:val="18"/>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当60≤N＜70分时，评价结果为合格；</w:t>
      </w:r>
    </w:p>
    <w:p>
      <w:pPr>
        <w:pStyle w:val="2"/>
        <w:numPr>
          <w:ilvl w:val="0"/>
          <w:numId w:val="18"/>
        </w:numPr>
        <w:spacing w:line="360" w:lineRule="auto"/>
        <w:ind w:firstLine="420"/>
        <w:rPr>
          <w:rFonts w:hint="eastAsia"/>
          <w:highlight w:val="none"/>
          <w:lang w:eastAsia="zh-CN"/>
        </w:rPr>
      </w:pPr>
      <w:r>
        <w:rPr>
          <w:rStyle w:val="61"/>
          <w:rFonts w:hint="eastAsia" w:ascii="宋体" w:hAnsi="宋体" w:eastAsia="宋体" w:cs="宋体"/>
          <w:b w:val="0"/>
          <w:bCs w:val="0"/>
          <w:color w:val="auto"/>
          <w:sz w:val="21"/>
          <w:szCs w:val="21"/>
          <w:highlight w:val="none"/>
          <w:lang w:eastAsia="zh-CN"/>
        </w:rPr>
        <w:t>当N＜60分时，评价结果为不合格。</w:t>
      </w:r>
    </w:p>
    <w:p>
      <w:pPr>
        <w:pStyle w:val="2"/>
        <w:spacing w:line="36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二</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w:t>
      </w:r>
      <w:r>
        <w:rPr>
          <w:rStyle w:val="61"/>
          <w:rFonts w:hint="eastAsia" w:ascii="宋体" w:hAnsi="宋体" w:eastAsia="宋体" w:cs="宋体"/>
          <w:b w:val="0"/>
          <w:bCs w:val="0"/>
          <w:color w:val="auto"/>
          <w:sz w:val="21"/>
          <w:szCs w:val="21"/>
          <w:highlight w:val="none"/>
          <w:lang w:eastAsia="zh-CN"/>
        </w:rPr>
        <w:t>商</w:t>
      </w:r>
      <w:r>
        <w:rPr>
          <w:rStyle w:val="61"/>
          <w:rFonts w:hint="eastAsia" w:ascii="宋体" w:hAnsi="宋体" w:eastAsia="宋体" w:cs="宋体"/>
          <w:b w:val="0"/>
          <w:bCs w:val="0"/>
          <w:color w:val="auto"/>
          <w:sz w:val="21"/>
          <w:szCs w:val="21"/>
          <w:highlight w:val="none"/>
          <w:lang w:val="en-US" w:eastAsia="zh-CN"/>
        </w:rPr>
        <w:t>/承包商</w:t>
      </w:r>
      <w:r>
        <w:rPr>
          <w:rStyle w:val="61"/>
          <w:rFonts w:hint="eastAsia" w:ascii="宋体" w:hAnsi="宋体" w:eastAsia="宋体" w:cs="宋体"/>
          <w:b w:val="0"/>
          <w:bCs w:val="0"/>
          <w:color w:val="auto"/>
          <w:sz w:val="21"/>
          <w:szCs w:val="21"/>
          <w:highlight w:val="none"/>
          <w:lang w:eastAsia="zh-CN"/>
        </w:rPr>
        <w:t>履约评价不得被评为优秀、良好等级，履约评价得分不得高于79分：</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因自身原因拖延合同工期6个月以上的；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项目管理班子未按投标承诺配备或者不到位的；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因自身原因造成工程发生一般质量安全事故的；</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因设计原因导致工程变更超过施工合同价5%的（仅限设计合同）;</w:t>
      </w:r>
    </w:p>
    <w:p>
      <w:pPr>
        <w:pStyle w:val="2"/>
        <w:numPr>
          <w:ilvl w:val="0"/>
          <w:numId w:val="19"/>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p>
      <w:pPr>
        <w:pStyle w:val="2"/>
        <w:spacing w:line="360" w:lineRule="auto"/>
        <w:ind w:firstLine="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　　第</w:t>
      </w:r>
      <w:r>
        <w:rPr>
          <w:rStyle w:val="61"/>
          <w:rFonts w:hint="eastAsia" w:ascii="宋体" w:hAnsi="宋体" w:eastAsia="宋体" w:cs="宋体"/>
          <w:b w:val="0"/>
          <w:bCs w:val="0"/>
          <w:color w:val="auto"/>
          <w:sz w:val="21"/>
          <w:szCs w:val="21"/>
          <w:highlight w:val="none"/>
          <w:lang w:val="en-US" w:eastAsia="zh-CN"/>
        </w:rPr>
        <w:t>三</w:t>
      </w:r>
      <w:r>
        <w:rPr>
          <w:rStyle w:val="61"/>
          <w:rFonts w:hint="eastAsia" w:ascii="宋体" w:hAnsi="宋体" w:eastAsia="宋体" w:cs="宋体"/>
          <w:b w:val="0"/>
          <w:bCs w:val="0"/>
          <w:color w:val="auto"/>
          <w:sz w:val="21"/>
          <w:szCs w:val="21"/>
          <w:highlight w:val="none"/>
          <w:lang w:eastAsia="zh-CN"/>
        </w:rPr>
        <w:t>条 有下列情形之一的，</w:t>
      </w:r>
      <w:r>
        <w:rPr>
          <w:rStyle w:val="61"/>
          <w:rFonts w:hint="eastAsia" w:ascii="宋体" w:hAnsi="宋体" w:eastAsia="宋体" w:cs="宋体"/>
          <w:b w:val="0"/>
          <w:bCs w:val="0"/>
          <w:color w:val="auto"/>
          <w:sz w:val="21"/>
          <w:szCs w:val="21"/>
          <w:highlight w:val="none"/>
          <w:lang w:val="en-US" w:eastAsia="zh-CN"/>
        </w:rPr>
        <w:t>供应商/</w:t>
      </w:r>
      <w:r>
        <w:rPr>
          <w:rStyle w:val="61"/>
          <w:rFonts w:hint="eastAsia" w:ascii="宋体" w:hAnsi="宋体" w:eastAsia="宋体" w:cs="宋体"/>
          <w:b w:val="0"/>
          <w:bCs w:val="0"/>
          <w:color w:val="auto"/>
          <w:sz w:val="21"/>
          <w:szCs w:val="21"/>
          <w:highlight w:val="none"/>
          <w:lang w:eastAsia="zh-CN"/>
        </w:rPr>
        <w:t>承包商履约评价直接被评为“不合格”，得分不得高于59分，</w:t>
      </w:r>
      <w:r>
        <w:rPr>
          <w:rStyle w:val="61"/>
          <w:rFonts w:hint="eastAsia" w:ascii="宋体" w:hAnsi="宋体" w:eastAsia="宋体" w:cs="宋体"/>
          <w:b w:val="0"/>
          <w:bCs w:val="0"/>
          <w:color w:val="auto"/>
          <w:sz w:val="21"/>
          <w:szCs w:val="21"/>
          <w:highlight w:val="none"/>
          <w:lang w:val="en-US" w:eastAsia="zh-CN"/>
        </w:rPr>
        <w:t>并被剔除供应商库</w:t>
      </w:r>
      <w:r>
        <w:rPr>
          <w:rStyle w:val="61"/>
          <w:rFonts w:hint="eastAsia" w:ascii="宋体" w:hAnsi="宋体" w:eastAsia="宋体" w:cs="宋体"/>
          <w:b w:val="0"/>
          <w:bCs w:val="0"/>
          <w:color w:val="auto"/>
          <w:sz w:val="21"/>
          <w:szCs w:val="21"/>
          <w:highlight w:val="none"/>
          <w:lang w:eastAsia="zh-CN"/>
        </w:rPr>
        <w:t>：</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因自身原因拖延合同工期12个月以上的；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因拖欠工人工资或分包商工程款，引发群体性上访事件的；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因自身原因未按合同约定提交</w:t>
      </w:r>
      <w:r>
        <w:rPr>
          <w:rStyle w:val="61"/>
          <w:rFonts w:hint="eastAsia" w:ascii="宋体" w:hAnsi="宋体" w:eastAsia="宋体" w:cs="宋体"/>
          <w:b w:val="0"/>
          <w:bCs w:val="0"/>
          <w:color w:val="auto"/>
          <w:sz w:val="21"/>
          <w:szCs w:val="21"/>
          <w:highlight w:val="none"/>
          <w:lang w:val="en-US" w:eastAsia="zh-CN"/>
        </w:rPr>
        <w:t>项目结算</w:t>
      </w:r>
      <w:r>
        <w:rPr>
          <w:rStyle w:val="61"/>
          <w:rFonts w:hint="eastAsia" w:ascii="宋体" w:hAnsi="宋体" w:eastAsia="宋体" w:cs="宋体"/>
          <w:b w:val="0"/>
          <w:bCs w:val="0"/>
          <w:color w:val="auto"/>
          <w:sz w:val="21"/>
          <w:szCs w:val="21"/>
          <w:highlight w:val="none"/>
          <w:lang w:eastAsia="zh-CN"/>
        </w:rPr>
        <w:t>报告的；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经认定使用假冒伪劣材料或偷工减料，情节恶劣或者情形严重的；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因自身原因造成工程发生较大及以上质量安全事故的；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因该工程存在串通投标、转包、以他人名义投标、违法分包或者弄虚作假等违法行为，被行政监督部门行政处罚的；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经纪检监察机关或者有关部门认定，存在贿赂政府部门公职人员的行为的；</w:t>
      </w:r>
    </w:p>
    <w:p>
      <w:pPr>
        <w:pStyle w:val="2"/>
        <w:numPr>
          <w:ilvl w:val="0"/>
          <w:numId w:val="20"/>
        </w:numPr>
        <w:spacing w:line="360" w:lineRule="auto"/>
        <w:ind w:firstLine="420" w:firstLineChars="0"/>
        <w:rPr>
          <w:rStyle w:val="61"/>
          <w:rFonts w:hint="eastAsia" w:ascii="宋体" w:hAnsi="宋体" w:eastAsia="宋体" w:cs="宋体"/>
          <w:b w:val="0"/>
          <w:bCs w:val="0"/>
          <w:color w:val="auto"/>
          <w:sz w:val="21"/>
          <w:szCs w:val="21"/>
          <w:highlight w:val="none"/>
          <w:lang w:eastAsia="zh-CN"/>
        </w:rPr>
      </w:pPr>
      <w:r>
        <w:rPr>
          <w:rStyle w:val="61"/>
          <w:rFonts w:hint="eastAsia" w:ascii="宋体" w:hAnsi="宋体" w:eastAsia="宋体" w:cs="宋体"/>
          <w:b w:val="0"/>
          <w:bCs w:val="0"/>
          <w:color w:val="auto"/>
          <w:sz w:val="21"/>
          <w:szCs w:val="21"/>
          <w:highlight w:val="none"/>
          <w:lang w:eastAsia="zh-CN"/>
        </w:rPr>
        <w:t>招标文件或者合同文件中列明的其他情形。</w:t>
      </w:r>
    </w:p>
    <w:p>
      <w:pPr>
        <w:pageBreakBefore w:val="0"/>
        <w:numPr>
          <w:ilvl w:val="0"/>
          <w:numId w:val="16"/>
        </w:numPr>
        <w:kinsoku/>
        <w:wordWrap/>
        <w:overflowPunct/>
        <w:topLinePunct w:val="0"/>
        <w:bidi w:val="0"/>
        <w:spacing w:line="360" w:lineRule="auto"/>
        <w:ind w:left="0" w:leftChars="0" w:right="0" w:rightChars="0" w:firstLine="420" w:firstLineChars="0"/>
        <w:rPr>
          <w:rFonts w:hint="eastAsia" w:ascii="宋体" w:hAnsi="宋体" w:eastAsia="宋体" w:cs="宋体"/>
          <w:b/>
          <w:bCs/>
          <w:color w:val="auto"/>
          <w:sz w:val="24"/>
          <w:szCs w:val="24"/>
          <w:lang w:val="zh-CN"/>
        </w:rPr>
      </w:pPr>
      <w:r>
        <w:rPr>
          <w:rFonts w:hint="eastAsia" w:ascii="宋体" w:hAnsi="宋体" w:eastAsia="宋体" w:cs="宋体"/>
          <w:b/>
          <w:bCs/>
          <w:color w:val="auto"/>
          <w:sz w:val="24"/>
          <w:szCs w:val="24"/>
          <w:lang w:val="zh-CN"/>
        </w:rPr>
        <w:t>报价要求</w:t>
      </w:r>
    </w:p>
    <w:p>
      <w:pPr>
        <w:pageBreakBefore w:val="0"/>
        <w:kinsoku/>
        <w:wordWrap/>
        <w:overflowPunct/>
        <w:topLinePunct w:val="0"/>
        <w:autoSpaceDE w:val="0"/>
        <w:autoSpaceDN w:val="0"/>
        <w:bidi w:val="0"/>
        <w:adjustRightInd w:val="0"/>
        <w:snapToGrid w:val="0"/>
        <w:spacing w:line="360" w:lineRule="auto"/>
        <w:ind w:left="0" w:leftChars="0" w:right="0" w:firstLine="422" w:firstLineChars="200"/>
        <w:rPr>
          <w:rFonts w:hint="eastAsia" w:ascii="宋体" w:hAnsi="宋体" w:eastAsia="宋体" w:cs="宋体"/>
          <w:b/>
          <w:color w:val="auto"/>
          <w:sz w:val="21"/>
          <w:szCs w:val="21"/>
          <w:u w:val="single"/>
        </w:rPr>
      </w:pPr>
      <w:r>
        <w:rPr>
          <w:rFonts w:hint="eastAsia" w:ascii="宋体" w:hAnsi="宋体" w:eastAsia="宋体" w:cs="宋体"/>
          <w:b/>
          <w:bCs/>
          <w:color w:val="auto"/>
          <w:sz w:val="21"/>
          <w:szCs w:val="21"/>
        </w:rPr>
        <w:t>★</w:t>
      </w:r>
      <w:r>
        <w:rPr>
          <w:rFonts w:hint="eastAsia" w:ascii="宋体" w:hAnsi="宋体" w:eastAsia="宋体" w:cs="宋体"/>
          <w:b/>
          <w:color w:val="auto"/>
          <w:sz w:val="21"/>
          <w:szCs w:val="21"/>
          <w:u w:val="single"/>
        </w:rPr>
        <w:t xml:space="preserve">本项目最高限价： </w:t>
      </w:r>
    </w:p>
    <w:p>
      <w:pPr>
        <w:autoSpaceDE w:val="0"/>
        <w:autoSpaceDN w:val="0"/>
        <w:adjustRightInd w:val="0"/>
        <w:ind w:firstLine="420" w:firstLineChars="200"/>
        <w:rPr>
          <w:rFonts w:ascii="宋体" w:hAnsi="Times New Roman" w:eastAsia="宋体" w:cs="宋体"/>
          <w:kern w:val="0"/>
          <w:szCs w:val="21"/>
          <w:lang w:val="zh-CN"/>
        </w:rPr>
      </w:pPr>
      <w:r>
        <w:rPr>
          <w:rFonts w:hint="eastAsia" w:ascii="宋体" w:hAnsi="Times New Roman" w:eastAsia="宋体" w:cs="宋体"/>
          <w:kern w:val="0"/>
          <w:szCs w:val="21"/>
          <w:lang w:val="zh-CN"/>
        </w:rPr>
        <w:t>小写：</w:t>
      </w:r>
      <w:r>
        <w:rPr>
          <w:rFonts w:ascii="宋体" w:hAnsi="Times New Roman" w:eastAsia="宋体" w:cs="宋体"/>
          <w:kern w:val="0"/>
          <w:szCs w:val="21"/>
          <w:lang w:val="zh-CN"/>
        </w:rPr>
        <w:t>RMB</w:t>
      </w:r>
      <w:r>
        <w:rPr>
          <w:rFonts w:ascii="宋体" w:hAnsi="Times New Roman" w:eastAsia="宋体" w:cs="宋体"/>
          <w:b/>
          <w:bCs/>
          <w:kern w:val="0"/>
          <w:szCs w:val="21"/>
          <w:u w:val="single"/>
          <w:lang w:val="zh-CN"/>
        </w:rPr>
        <w:t xml:space="preserve"> </w:t>
      </w:r>
      <w:r>
        <w:rPr>
          <w:rFonts w:hint="eastAsia" w:ascii="宋体" w:hAnsi="Times New Roman" w:eastAsia="宋体" w:cs="宋体"/>
          <w:b/>
          <w:bCs/>
          <w:color w:val="FF0000"/>
          <w:kern w:val="0"/>
          <w:szCs w:val="21"/>
          <w:u w:val="single"/>
          <w:lang w:val="en-US" w:eastAsia="zh-CN"/>
        </w:rPr>
        <w:t>1</w:t>
      </w:r>
      <w:r>
        <w:rPr>
          <w:rFonts w:hint="eastAsia" w:ascii="宋体" w:cs="宋体"/>
          <w:b/>
          <w:bCs/>
          <w:color w:val="FF0000"/>
          <w:kern w:val="0"/>
          <w:szCs w:val="21"/>
          <w:u w:val="single"/>
          <w:lang w:val="en-US" w:eastAsia="zh-CN"/>
        </w:rPr>
        <w:t>6</w:t>
      </w:r>
      <w:r>
        <w:rPr>
          <w:rFonts w:hint="eastAsia" w:ascii="宋体" w:hAnsi="Times New Roman" w:eastAsia="宋体" w:cs="宋体"/>
          <w:b/>
          <w:bCs/>
          <w:color w:val="FF0000"/>
          <w:kern w:val="0"/>
          <w:szCs w:val="21"/>
          <w:u w:val="single"/>
          <w:lang w:val="en-US" w:eastAsia="zh-CN"/>
        </w:rPr>
        <w:t>0000.00</w:t>
      </w:r>
      <w:r>
        <w:rPr>
          <w:rFonts w:hint="eastAsia" w:ascii="宋体" w:hAnsi="Times New Roman" w:eastAsia="宋体" w:cs="宋体"/>
          <w:kern w:val="0"/>
          <w:sz w:val="20"/>
          <w:szCs w:val="20"/>
          <w:u w:val="single"/>
          <w:lang w:val="zh-CN"/>
        </w:rPr>
        <w:t>元</w:t>
      </w:r>
      <w:r>
        <w:rPr>
          <w:rFonts w:hint="eastAsia" w:ascii="宋体" w:hAnsi="Times New Roman" w:eastAsia="宋体" w:cs="宋体"/>
          <w:kern w:val="0"/>
          <w:szCs w:val="21"/>
          <w:lang w:val="zh-CN"/>
        </w:rPr>
        <w:t xml:space="preserve">    大写：人民币</w:t>
      </w:r>
      <w:r>
        <w:rPr>
          <w:rFonts w:hint="eastAsia" w:ascii="宋体" w:hAnsi="Times New Roman" w:eastAsia="宋体" w:cs="宋体"/>
          <w:b/>
          <w:color w:val="FF0000"/>
          <w:kern w:val="0"/>
          <w:szCs w:val="21"/>
          <w:u w:val="single"/>
          <w:lang w:val="en-US" w:eastAsia="zh-CN"/>
        </w:rPr>
        <w:t>壹拾</w:t>
      </w:r>
      <w:r>
        <w:rPr>
          <w:rFonts w:hint="eastAsia" w:ascii="宋体" w:cs="宋体"/>
          <w:b/>
          <w:color w:val="FF0000"/>
          <w:kern w:val="0"/>
          <w:szCs w:val="21"/>
          <w:u w:val="single"/>
          <w:lang w:val="en-US" w:eastAsia="zh-CN"/>
        </w:rPr>
        <w:t>陆</w:t>
      </w:r>
      <w:r>
        <w:rPr>
          <w:rFonts w:hint="eastAsia" w:ascii="宋体" w:hAnsi="Times New Roman" w:eastAsia="宋体" w:cs="宋体"/>
          <w:b/>
          <w:color w:val="FF0000"/>
          <w:kern w:val="0"/>
          <w:szCs w:val="21"/>
          <w:u w:val="single"/>
          <w:lang w:val="en-US" w:eastAsia="zh-CN"/>
        </w:rPr>
        <w:t>万</w:t>
      </w:r>
      <w:r>
        <w:rPr>
          <w:rFonts w:hint="eastAsia" w:ascii="宋体" w:hAnsi="Times New Roman" w:eastAsia="宋体" w:cs="宋体"/>
          <w:b/>
          <w:color w:val="FF0000"/>
          <w:kern w:val="0"/>
          <w:szCs w:val="21"/>
          <w:u w:val="single"/>
          <w:lang w:val="zh-CN"/>
        </w:rPr>
        <w:t>元整</w:t>
      </w:r>
    </w:p>
    <w:p>
      <w:pPr>
        <w:pageBreakBefore w:val="0"/>
        <w:kinsoku/>
        <w:wordWrap/>
        <w:overflowPunct/>
        <w:topLinePunct w:val="0"/>
        <w:autoSpaceDE w:val="0"/>
        <w:autoSpaceDN w:val="0"/>
        <w:bidi w:val="0"/>
        <w:adjustRightInd w:val="0"/>
        <w:spacing w:line="360" w:lineRule="auto"/>
        <w:ind w:left="0" w:leftChars="0" w:right="0" w:firstLine="420" w:firstLineChars="200"/>
        <w:rPr>
          <w:rFonts w:hint="eastAsia" w:ascii="宋体" w:hAnsi="宋体" w:eastAsia="宋体" w:cs="宋体"/>
          <w:b/>
          <w:color w:val="auto"/>
          <w:sz w:val="21"/>
          <w:szCs w:val="21"/>
        </w:rPr>
      </w:pPr>
      <w:r>
        <w:rPr>
          <w:rFonts w:hint="eastAsia" w:ascii="宋体" w:hAnsi="宋体" w:eastAsia="宋体" w:cs="宋体"/>
          <w:bCs/>
          <w:color w:val="auto"/>
          <w:kern w:val="0"/>
          <w:sz w:val="21"/>
          <w:szCs w:val="21"/>
          <w:lang w:val="zh-CN"/>
        </w:rPr>
        <w:t>投标人</w:t>
      </w:r>
      <w:r>
        <w:rPr>
          <w:rFonts w:hint="eastAsia" w:ascii="宋体" w:hAnsi="宋体" w:eastAsia="宋体" w:cs="宋体"/>
          <w:color w:val="auto"/>
          <w:kern w:val="0"/>
          <w:sz w:val="21"/>
          <w:szCs w:val="21"/>
          <w:lang w:val="zh-CN"/>
        </w:rPr>
        <w:t>报价应包括</w:t>
      </w:r>
      <w:r>
        <w:rPr>
          <w:rFonts w:hint="eastAsia" w:ascii="宋体" w:hAnsi="宋体" w:eastAsia="宋体" w:cs="宋体"/>
          <w:bCs/>
          <w:color w:val="auto"/>
          <w:kern w:val="0"/>
          <w:sz w:val="21"/>
          <w:szCs w:val="21"/>
          <w:lang w:val="zh-CN"/>
        </w:rPr>
        <w:t>完成本项目所需的一切费用，超出此预算控制金额的投标报价将导致其投标无效。投标人开具的发票为增值税专用发票。</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注：</w:t>
      </w:r>
      <w:r>
        <w:rPr>
          <w:rFonts w:hint="eastAsia" w:ascii="宋体" w:hAnsi="宋体" w:cs="宋体"/>
          <w:bCs/>
          <w:color w:val="auto"/>
          <w:sz w:val="21"/>
          <w:szCs w:val="21"/>
          <w:lang w:val="en-US" w:eastAsia="zh-CN"/>
        </w:rPr>
        <w:t>1.</w:t>
      </w:r>
      <w:r>
        <w:rPr>
          <w:rFonts w:hint="eastAsia" w:ascii="宋体" w:hAnsi="宋体" w:eastAsia="宋体" w:cs="宋体"/>
          <w:bCs/>
          <w:color w:val="auto"/>
          <w:sz w:val="21"/>
          <w:szCs w:val="21"/>
        </w:rPr>
        <w:t>本招标项目要求中凡标有“★”号条款均为重要的要求，不可偏离。</w:t>
      </w:r>
    </w:p>
    <w:p>
      <w:pPr>
        <w:pageBreakBefore w:val="0"/>
        <w:kinsoku/>
        <w:wordWrap/>
        <w:overflowPunct/>
        <w:topLinePunct w:val="0"/>
        <w:bidi w:val="0"/>
        <w:spacing w:line="360" w:lineRule="auto"/>
        <w:ind w:left="0" w:leftChars="0" w:right="0" w:firstLine="840" w:firstLineChars="400"/>
        <w:rPr>
          <w:rFonts w:hint="eastAsia" w:ascii="宋体" w:hAnsi="宋体" w:eastAsia="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eastAsia="宋体" w:cs="宋体"/>
          <w:bCs/>
          <w:color w:val="auto"/>
          <w:sz w:val="21"/>
          <w:szCs w:val="21"/>
        </w:rPr>
        <w:t>招标方在本招标文件中所列举的各类需求应视为保证本项目开展所需的最低要求，如有遗漏，投标方应予以补充，否则一旦中标将认为投标方认同遗漏部分并免费提供。</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outlineLvl w:val="9"/>
        <w:rPr>
          <w:rFonts w:hint="eastAsia"/>
        </w:rPr>
      </w:pPr>
    </w:p>
    <w:p>
      <w:pPr>
        <w:pStyle w:val="3"/>
        <w:bidi w:val="0"/>
        <w:spacing w:line="360" w:lineRule="auto"/>
        <w:jc w:val="center"/>
        <w:rPr>
          <w:rFonts w:hint="eastAsia"/>
        </w:rPr>
      </w:pPr>
      <w:bookmarkStart w:id="16" w:name="_Toc11205"/>
      <w:r>
        <w:rPr>
          <w:rFonts w:hint="eastAsia"/>
        </w:rPr>
        <w:t>招标文件第二册</w:t>
      </w:r>
      <w:bookmarkEnd w:id="16"/>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
        <w:bidi w:val="0"/>
        <w:spacing w:line="360" w:lineRule="auto"/>
        <w:jc w:val="center"/>
        <w:outlineLvl w:val="0"/>
        <w:rPr>
          <w:rFonts w:hint="eastAsia"/>
        </w:rPr>
      </w:pPr>
      <w:bookmarkStart w:id="17" w:name="_Toc31562"/>
      <w:r>
        <w:rPr>
          <w:rFonts w:hint="eastAsia"/>
        </w:rPr>
        <w:t>第四章　投标人须知</w:t>
      </w:r>
      <w:bookmarkEnd w:id="17"/>
    </w:p>
    <w:p>
      <w:pPr>
        <w:pStyle w:val="5"/>
        <w:numPr>
          <w:ilvl w:val="0"/>
          <w:numId w:val="21"/>
        </w:numPr>
        <w:bidi w:val="0"/>
        <w:spacing w:line="360" w:lineRule="auto"/>
        <w:jc w:val="center"/>
        <w:rPr>
          <w:rFonts w:hint="eastAsia" w:ascii="宋体" w:hAnsi="宋体" w:eastAsia="宋体" w:cs="宋体"/>
          <w:color w:val="auto"/>
        </w:rPr>
      </w:pPr>
      <w:r>
        <w:rPr>
          <w:rFonts w:hint="eastAsia"/>
        </w:rPr>
        <w:t>说明</w:t>
      </w: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color w:val="auto"/>
          <w:sz w:val="21"/>
          <w:szCs w:val="21"/>
        </w:rPr>
      </w:pPr>
      <w:r>
        <w:rPr>
          <w:rFonts w:hint="eastAsia" w:ascii="宋体" w:hAnsi="宋体" w:eastAsia="宋体" w:cs="宋体"/>
          <w:b/>
          <w:color w:val="auto"/>
          <w:sz w:val="21"/>
          <w:szCs w:val="21"/>
        </w:rPr>
        <w:t>招标人及资金来源</w:t>
      </w:r>
      <w:bookmarkStart w:id="18" w:name="_Ref179620493"/>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u w:val="single"/>
        </w:rPr>
      </w:pPr>
      <w:r>
        <w:rPr>
          <w:rFonts w:hint="eastAsia" w:ascii="宋体" w:hAnsi="宋体" w:eastAsia="宋体" w:cs="宋体"/>
          <w:color w:val="auto"/>
          <w:sz w:val="21"/>
          <w:szCs w:val="21"/>
        </w:rPr>
        <w:t>招标人名称</w:t>
      </w:r>
      <w:bookmarkEnd w:id="18"/>
      <w:r>
        <w:rPr>
          <w:rFonts w:hint="eastAsia" w:ascii="宋体" w:hAnsi="宋体" w:eastAsia="宋体" w:cs="宋体"/>
          <w:color w:val="auto"/>
          <w:sz w:val="21"/>
          <w:szCs w:val="21"/>
        </w:rPr>
        <w:t xml:space="preserve">: </w:t>
      </w:r>
      <w:r>
        <w:rPr>
          <w:rFonts w:hint="eastAsia" w:ascii="宋体" w:hAnsi="宋体" w:eastAsia="宋体" w:cs="宋体"/>
          <w:color w:val="auto"/>
          <w:sz w:val="21"/>
          <w:szCs w:val="21"/>
          <w:u w:val="single"/>
        </w:rPr>
        <w:t>深圳市设计之都运营发展有限公司</w:t>
      </w:r>
      <w:bookmarkStart w:id="19" w:name="_Ref179620507"/>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招标人已拥有一笔资金/贷款。招标人计划将一部分资金/贷款用于支付本次招标后所签订合同项下的款项，资金来源为自有资金。</w:t>
      </w:r>
      <w:bookmarkEnd w:id="19"/>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sz w:val="21"/>
          <w:szCs w:val="21"/>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20" w:name="_Ref179620057"/>
      <w:r>
        <w:rPr>
          <w:rFonts w:hint="eastAsia" w:ascii="宋体" w:hAnsi="宋体" w:eastAsia="宋体" w:cs="宋体"/>
          <w:b/>
          <w:color w:val="auto"/>
          <w:sz w:val="21"/>
          <w:szCs w:val="21"/>
        </w:rPr>
        <w:t>合格的投标人</w:t>
      </w:r>
      <w:bookmarkEnd w:id="20"/>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除非下文另有规定，凡是在中华人民共和国境内注册且为人民币流通区域内的供货人均可投标。</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近两年来无深圳地区任何招投标中心的不良记录，不得有任何违反《深圳经济特区政府采购条例》；</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21"/>
          <w:szCs w:val="21"/>
        </w:rPr>
      </w:pPr>
      <w:r>
        <w:rPr>
          <w:rFonts w:hint="eastAsia" w:ascii="宋体" w:hAnsi="宋体" w:eastAsia="宋体" w:cs="宋体"/>
          <w:color w:val="auto"/>
          <w:sz w:val="21"/>
          <w:szCs w:val="21"/>
        </w:rPr>
        <w:t>只有在法律上和财务上独立、合法运作并独立于招标人和招标机构的供货人才能参加投标。</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sz w:val="21"/>
          <w:szCs w:val="21"/>
        </w:rPr>
        <w:t>本项目不接受联合体投标。</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sz w:val="21"/>
          <w:szCs w:val="21"/>
        </w:rPr>
        <w:t>投标资料表要求的其他条件。</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Style w:val="5"/>
        <w:numPr>
          <w:ilvl w:val="0"/>
          <w:numId w:val="21"/>
        </w:numPr>
        <w:bidi w:val="0"/>
        <w:spacing w:line="360" w:lineRule="auto"/>
        <w:jc w:val="center"/>
        <w:rPr>
          <w:rFonts w:hint="eastAsia" w:ascii="宋体" w:hAnsi="宋体" w:eastAsia="宋体" w:cs="宋体"/>
          <w:color w:val="auto"/>
        </w:rPr>
      </w:pPr>
      <w:r>
        <w:rPr>
          <w:rFonts w:hint="eastAsia"/>
        </w:rPr>
        <w:t>招标文件</w:t>
      </w:r>
    </w:p>
    <w:p>
      <w:pPr>
        <w:spacing w:line="360" w:lineRule="auto"/>
        <w:rPr>
          <w:rFonts w:hint="eastAsia"/>
          <w:sz w:val="21"/>
          <w:szCs w:val="21"/>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招标文件的构成</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要求提供的项目、招标过程和合同条件在招标文件中均有说明。</w:t>
      </w:r>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eastAsia="宋体" w:cs="宋体"/>
          <w:color w:val="auto"/>
        </w:rPr>
      </w:pPr>
      <w:r>
        <w:rPr>
          <w:rFonts w:hint="eastAsia" w:ascii="宋体" w:hAnsi="宋体" w:eastAsia="宋体" w:cs="宋体"/>
          <w:color w:val="auto"/>
        </w:rPr>
        <w:t>招标文件共六章，分两册。第一册的内容是对具体招标项目的说明、补充、完善和对第二册的修改等，第二册是招标文件的通用条款，第一册与第二册内容如有差异，以第一册内容为准。</w:t>
      </w:r>
    </w:p>
    <w:p>
      <w:pPr>
        <w:pageBreakBefore w:val="0"/>
        <w:numPr>
          <w:ilvl w:val="0"/>
          <w:numId w:val="0"/>
        </w:numPr>
        <w:kinsoku/>
        <w:wordWrap/>
        <w:overflowPunct/>
        <w:topLinePunct w:val="0"/>
        <w:bidi w:val="0"/>
        <w:spacing w:line="360" w:lineRule="auto"/>
        <w:ind w:right="0" w:rightChars="0" w:firstLine="420" w:firstLineChars="200"/>
        <w:rPr>
          <w:rFonts w:hint="eastAsia" w:ascii="宋体" w:hAnsi="宋体" w:eastAsia="宋体" w:cs="宋体"/>
          <w:color w:val="auto"/>
        </w:rPr>
      </w:pPr>
      <w:r>
        <w:rPr>
          <w:rFonts w:hint="eastAsia" w:ascii="宋体" w:hAnsi="宋体" w:eastAsia="宋体" w:cs="宋体"/>
          <w:color w:val="auto"/>
        </w:rPr>
        <w:t>各册的内容如下：</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r>
        <w:rPr>
          <w:rFonts w:hint="eastAsia" w:ascii="宋体" w:hAnsi="宋体" w:eastAsia="宋体" w:cs="宋体"/>
          <w:b/>
          <w:color w:val="auto"/>
        </w:rPr>
        <w:t>第一册</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第一章投标邀请</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第二章投标资料表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第三章用户需求书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r>
        <w:rPr>
          <w:rFonts w:hint="eastAsia" w:ascii="宋体" w:hAnsi="宋体" w:eastAsia="宋体" w:cs="宋体"/>
          <w:b/>
          <w:color w:val="auto"/>
        </w:rPr>
        <w:t>第二册</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第四章投标人须知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第五章合同条款</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第六章附件</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招标文件的询问、质疑或澄清</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投标人如对本项目招标文件的所有内容（包括澄清，以及所有已提供的参考资料和有关附件）存在疑问，请在递交投标文件时间截止前向招标人提出询问或质疑。逾期将不再受理。</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询问或质疑应于递交投标文件截止时间前以书面形式（须加盖投标人公章）向招标人提出并送至招标人，逾期则视为接受招标文件所有内容。</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对在递交投标文件截止时间前收到的对招标文件的询问或质疑均以书面形式予以答复，同时将书面答复以投标人须知5.2所述方式发给每个报名参与的投标人（答复中不包括问题的来源)；如有需要，招标人可专门组织招标文件答疑会议。</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21" w:name="_Ref179619612"/>
      <w:r>
        <w:rPr>
          <w:rFonts w:hint="eastAsia" w:ascii="宋体" w:hAnsi="宋体" w:eastAsia="宋体" w:cs="宋体"/>
          <w:b/>
          <w:color w:val="auto"/>
          <w:sz w:val="21"/>
          <w:szCs w:val="21"/>
        </w:rPr>
        <w:t>招标文件的修改</w:t>
      </w:r>
      <w:bookmarkEnd w:id="21"/>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Cs w:val="21"/>
          <w:lang w:val="zh-CN"/>
        </w:rPr>
      </w:pPr>
      <w:r>
        <w:rPr>
          <w:rFonts w:hint="eastAsia" w:ascii="宋体" w:hAnsi="宋体" w:eastAsia="宋体" w:cs="宋体"/>
          <w:color w:val="auto"/>
          <w:szCs w:val="21"/>
          <w:lang w:val="zh-CN"/>
        </w:rPr>
        <w:t>在递交投标文件截止日期前的任何时候，无论何故，招标人可主动地或在答复投标人提出澄清的问题时对招标文件进行修改。</w:t>
      </w:r>
      <w:bookmarkStart w:id="22" w:name="_Ref179619147"/>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招标文件的修改是招标文件的组成部分，招标文件的修改均在</w:t>
      </w:r>
      <w:r>
        <w:rPr>
          <w:rFonts w:hint="eastAsia" w:ascii="宋体" w:hAnsi="宋体" w:eastAsia="宋体" w:cs="宋体"/>
          <w:color w:val="auto"/>
          <w:highlight w:val="none"/>
        </w:rPr>
        <w:t>深广电采购网</w:t>
      </w:r>
      <w:r>
        <w:rPr>
          <w:highlight w:val="none"/>
        </w:rPr>
        <w:fldChar w:fldCharType="begin"/>
      </w:r>
      <w:r>
        <w:rPr>
          <w:highlight w:val="none"/>
        </w:rPr>
        <w:instrText xml:space="preserve"> HYPERLINK "http://cg.szmg.com.cn/" </w:instrText>
      </w:r>
      <w:r>
        <w:rPr>
          <w:highlight w:val="none"/>
        </w:rPr>
        <w:fldChar w:fldCharType="separate"/>
      </w:r>
      <w:r>
        <w:rPr>
          <w:rStyle w:val="59"/>
          <w:highlight w:val="none"/>
        </w:rPr>
        <w:t>http://cg.szmg.com.cn/</w:t>
      </w:r>
      <w:r>
        <w:rPr>
          <w:rStyle w:val="60"/>
          <w:highlight w:val="none"/>
        </w:rPr>
        <w:fldChar w:fldCharType="end"/>
      </w:r>
      <w:r>
        <w:rPr>
          <w:rStyle w:val="60"/>
          <w:rFonts w:hint="eastAsia"/>
          <w:highlight w:val="none"/>
          <w:lang w:val="en-US" w:eastAsia="zh-CN"/>
        </w:rPr>
        <w:t>与设计之都公司官网https://www.designcities.cn/</w:t>
      </w:r>
      <w:r>
        <w:rPr>
          <w:rFonts w:hint="eastAsia" w:ascii="宋体" w:hAnsi="宋体" w:eastAsia="宋体" w:cs="宋体"/>
          <w:color w:val="auto"/>
        </w:rPr>
        <w:t>以网上公告形式发布，并对投标人具有约束力，招标期间，投标人有义务上网查看，公告一经上网发布，即视为送达。</w:t>
      </w:r>
      <w:bookmarkEnd w:id="22"/>
    </w:p>
    <w:p>
      <w:pPr>
        <w:pageBreakBefore w:val="0"/>
        <w:numPr>
          <w:ilvl w:val="1"/>
          <w:numId w:val="22"/>
        </w:numPr>
        <w:kinsoku/>
        <w:wordWrap/>
        <w:overflowPunct/>
        <w:topLinePunct w:val="0"/>
        <w:bidi w:val="0"/>
        <w:spacing w:line="360" w:lineRule="auto"/>
        <w:ind w:left="567" w:leftChars="0" w:right="0" w:rightChars="0" w:hanging="567" w:firstLineChars="0"/>
        <w:rPr>
          <w:rFonts w:hint="eastAsia"/>
        </w:rPr>
      </w:pPr>
      <w:r>
        <w:rPr>
          <w:rFonts w:hint="eastAsia" w:ascii="宋体" w:hAnsi="宋体" w:eastAsia="宋体" w:cs="宋体"/>
          <w:color w:val="auto"/>
        </w:rPr>
        <w:t>为使投标人准备投标时有充分时间对招标文件的修改部分进行研究，招标人可适当推迟投标截止期。</w:t>
      </w:r>
    </w:p>
    <w:p>
      <w:pPr>
        <w:pageBreakBefore w:val="0"/>
        <w:numPr>
          <w:ilvl w:val="0"/>
          <w:numId w:val="0"/>
        </w:numPr>
        <w:kinsoku/>
        <w:wordWrap/>
        <w:overflowPunct/>
        <w:topLinePunct w:val="0"/>
        <w:bidi w:val="0"/>
        <w:spacing w:line="360" w:lineRule="auto"/>
        <w:ind w:leftChars="0" w:right="0" w:rightChars="0"/>
        <w:rPr>
          <w:rFonts w:hint="eastAsia"/>
        </w:rPr>
      </w:pPr>
    </w:p>
    <w:p>
      <w:pPr>
        <w:pStyle w:val="5"/>
        <w:numPr>
          <w:ilvl w:val="0"/>
          <w:numId w:val="21"/>
        </w:numPr>
        <w:bidi w:val="0"/>
        <w:spacing w:line="360" w:lineRule="auto"/>
        <w:jc w:val="center"/>
        <w:rPr>
          <w:rFonts w:hint="eastAsia"/>
        </w:rPr>
      </w:pPr>
      <w:r>
        <w:rPr>
          <w:rFonts w:hint="eastAsia"/>
        </w:rPr>
        <w:t>投标文件的编制</w:t>
      </w:r>
    </w:p>
    <w:p>
      <w:pPr>
        <w:spacing w:line="360" w:lineRule="auto"/>
        <w:rPr>
          <w:rFonts w:hint="eastAsia"/>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投标的语言</w:t>
      </w:r>
    </w:p>
    <w:p>
      <w:pPr>
        <w:pageBreakBefore w:val="0"/>
        <w:numPr>
          <w:ilvl w:val="1"/>
          <w:numId w:val="22"/>
        </w:numPr>
        <w:kinsoku/>
        <w:wordWrap/>
        <w:overflowPunct/>
        <w:topLinePunct w:val="0"/>
        <w:bidi w:val="0"/>
        <w:spacing w:line="360" w:lineRule="auto"/>
        <w:ind w:left="567" w:leftChars="0" w:right="0" w:rightChars="0" w:hanging="567"/>
        <w:rPr>
          <w:rFonts w:hint="eastAsia" w:ascii="宋体" w:hAnsi="宋体" w:eastAsia="宋体" w:cs="宋体"/>
          <w:color w:val="auto"/>
        </w:rPr>
      </w:pPr>
      <w:r>
        <w:rPr>
          <w:rFonts w:hint="eastAsia" w:ascii="宋体" w:hAnsi="宋体" w:eastAsia="宋体" w:cs="宋体"/>
          <w:color w:val="auto"/>
        </w:rPr>
        <w:t>投标人提交的投标文件以及投标人与招标人就有关投标的所有来往函件均应使用简体中文书写。对于任何非中文的资料，都应提供简体中文翻译本，在解释时以简体中文翻译本为准。</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投标范围及投标文件中计量单位的使用</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投标人可对招标文件中“用户需求书”中所述的所有项目进行投标，不得将内容拆开投标。</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投标文件中所使用的计量单位，除招标文件中有特殊要求外，应采用中华人民共和国法定计量单位。</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除非另有说明，本招标文件中所称“日”均指日历日，投标文件中需以日历日对招标文件作出响应。评审时，对投标中出现的“工作日”按五个工作日折合七个日历日计算，且评标委员会可能会就有关日期作出对该投标人不利的折算或量化，投标人不得对此提出异议，否则其投标将被拒绝。</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投标文件的构成</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highlight w:val="none"/>
        </w:rPr>
      </w:pPr>
      <w:r>
        <w:rPr>
          <w:rFonts w:hint="eastAsia" w:ascii="宋体" w:hAnsi="宋体" w:cs="宋体"/>
          <w:color w:val="auto"/>
          <w:highlight w:val="none"/>
          <w:lang w:val="en-US" w:eastAsia="zh-CN"/>
        </w:rPr>
        <w:t>8.1.</w:t>
      </w:r>
      <w:r>
        <w:rPr>
          <w:rFonts w:hint="eastAsia" w:ascii="宋体" w:hAnsi="宋体" w:eastAsia="宋体" w:cs="宋体"/>
          <w:color w:val="auto"/>
          <w:highlight w:val="none"/>
        </w:rPr>
        <w:t>投标人应完整地按招标文件提供的投标文件格式制作投标文件。投标文件应包括下列部分：</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投标书；</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投标一览表；</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投标报价函；</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诚信投标承诺书；</w:t>
      </w:r>
    </w:p>
    <w:p>
      <w:pPr>
        <w:numPr>
          <w:ilvl w:val="0"/>
          <w:numId w:val="23"/>
        </w:numPr>
        <w:spacing w:line="360" w:lineRule="auto"/>
        <w:ind w:left="425" w:hanging="425"/>
        <w:rPr>
          <w:rFonts w:hint="default" w:asciiTheme="minorHAnsi" w:hAnsiTheme="minorHAnsi" w:eastAsiaTheme="minorEastAsia" w:cstheme="minorBidi"/>
        </w:rPr>
      </w:pPr>
      <w:r>
        <w:rPr>
          <w:rFonts w:hint="eastAsia" w:ascii="宋体" w:hAnsi="宋体" w:eastAsia="宋体" w:cs="宋体"/>
          <w:color w:val="auto"/>
          <w:highlight w:val="none"/>
        </w:rPr>
        <w:t>投标报价清单；</w:t>
      </w:r>
    </w:p>
    <w:p>
      <w:pPr>
        <w:numPr>
          <w:ilvl w:val="0"/>
          <w:numId w:val="23"/>
        </w:numPr>
        <w:spacing w:line="360" w:lineRule="auto"/>
        <w:ind w:left="425" w:hanging="425"/>
        <w:rPr>
          <w:rFonts w:hint="default" w:asciiTheme="minorHAnsi" w:hAnsiTheme="minorHAnsi" w:eastAsiaTheme="minorEastAsia" w:cstheme="minorBidi"/>
        </w:rPr>
      </w:pPr>
      <w:r>
        <w:rPr>
          <w:rFonts w:hint="default" w:asciiTheme="minorHAnsi" w:hAnsiTheme="minorHAnsi" w:eastAsiaTheme="minorEastAsia" w:cstheme="minorBidi"/>
        </w:rPr>
        <w:t>营业执照 (加盖公章的复印件)</w:t>
      </w:r>
      <w:r>
        <w:rPr>
          <w:rFonts w:hint="eastAsia" w:asciiTheme="minorHAnsi" w:hAnsiTheme="minorHAnsi" w:eastAsiaTheme="minorEastAsia" w:cstheme="minorBidi"/>
          <w:lang w:eastAsia="zh-CN"/>
        </w:rPr>
        <w:t>；</w:t>
      </w:r>
    </w:p>
    <w:p>
      <w:pPr>
        <w:numPr>
          <w:ilvl w:val="0"/>
          <w:numId w:val="23"/>
        </w:numPr>
        <w:spacing w:line="360" w:lineRule="auto"/>
        <w:ind w:left="425" w:hanging="425"/>
        <w:rPr>
          <w:rFonts w:hint="default" w:asciiTheme="minorHAnsi" w:hAnsiTheme="minorHAnsi" w:eastAsiaTheme="minorEastAsia" w:cstheme="minorBidi"/>
        </w:rPr>
      </w:pPr>
      <w:r>
        <w:rPr>
          <w:rFonts w:hint="default" w:asciiTheme="minorHAnsi" w:hAnsiTheme="minorHAnsi" w:eastAsiaTheme="minorEastAsia" w:cstheme="minorBidi"/>
        </w:rPr>
        <w:t>投标人简介（加盖公章）</w:t>
      </w:r>
      <w:r>
        <w:rPr>
          <w:rFonts w:hint="eastAsia" w:asciiTheme="minorHAnsi" w:hAnsiTheme="minorHAnsi" w:eastAsiaTheme="minorEastAsia" w:cstheme="minorBidi"/>
          <w:lang w:eastAsia="zh-CN"/>
        </w:rPr>
        <w:t>；</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法定代表人证明书（加盖公章的复印件）；</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法定代表人授权书（加盖公章）；</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近三年经营业绩简介（投标人成立不足三年的可从成立之日起）</w:t>
      </w:r>
      <w:r>
        <w:rPr>
          <w:rFonts w:hint="eastAsia" w:ascii="宋体" w:hAnsi="宋体" w:cs="宋体"/>
          <w:color w:val="auto"/>
          <w:highlight w:val="none"/>
          <w:lang w:eastAsia="zh-CN"/>
        </w:rPr>
        <w:t>；</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近三年财务报表或审计报告，以及上年度第四季度所得税纳税申报表（投标人成立不足三年的可从成立之日起，加盖公章的复印件）</w:t>
      </w:r>
      <w:r>
        <w:rPr>
          <w:rFonts w:hint="eastAsia" w:ascii="宋体" w:hAnsi="宋体" w:cs="宋体"/>
          <w:color w:val="auto"/>
          <w:highlight w:val="none"/>
          <w:lang w:eastAsia="zh-CN"/>
        </w:rPr>
        <w:t>；</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cs="宋体"/>
          <w:color w:val="auto"/>
          <w:highlight w:val="none"/>
          <w:lang w:eastAsia="zh-CN"/>
        </w:rPr>
        <w:t>公司社保参保证明；</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商务条款响应表；</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投标保证金银行回执；</w:t>
      </w:r>
    </w:p>
    <w:p>
      <w:pPr>
        <w:pageBreakBefore w:val="0"/>
        <w:numPr>
          <w:ilvl w:val="0"/>
          <w:numId w:val="23"/>
        </w:numPr>
        <w:kinsoku/>
        <w:wordWrap/>
        <w:overflowPunct/>
        <w:topLinePunct w:val="0"/>
        <w:bidi w:val="0"/>
        <w:spacing w:line="360" w:lineRule="auto"/>
        <w:ind w:left="425" w:leftChars="0" w:right="0" w:hanging="425"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投标文件要求提供的其它资料及说明。</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上述文件须按顺序装订成册，并编制投标文件目录及注明页码。</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除上述文件资料外投标人还须按投标人须知的要求制作“开标文件”。“开标文件”作为投标文件的一部分，但须单独密封。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投标文件电子文档</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投标人在提交书面投标文件的同时，应提交该投标文件的电子文档。</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电子文档的格式要求：投标文件电子文档应统一使用OFFICE2000及以上版本软件制作，单独的图片文件应采用JPG格式，图纸文件应采用DWG格式或JPG格式。</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投标人提交的书面投标文件的实质内容应与提交的电子文档的实质内容完全一致。如果评标委员会发现两者的实质内容不一致，将按不利于投标人的原则予以处置。因此产生的一切责任均由投标人承担。</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投标文件的编写</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投标人应按招标文件的规定，及附件要求的内容和格式完整地填写和提供资料，并保证所提供的全部资料的真实性。</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投标报价</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所有投标均以人民币报价。投标人的投标报价应符合《中华人民共和国价格法》的有关规定。</w:t>
      </w:r>
      <w:bookmarkStart w:id="23" w:name="_Ref179619251"/>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投标人应在投标分项报价表（附件3)上标明投标项目及相关服务的单价（如适用)和总价，并由法定代表人或其授权代表签署。投标总价中不得包含招标文件要求以外的内容，否则，在评标时不予核减。</w:t>
      </w:r>
      <w:bookmarkEnd w:id="23"/>
      <w:bookmarkStart w:id="24" w:name="_Ref179620595"/>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single"/>
        </w:rPr>
      </w:pPr>
      <w:r>
        <w:rPr>
          <w:rFonts w:hint="eastAsia" w:ascii="宋体" w:hAnsi="宋体" w:eastAsia="宋体" w:cs="宋体"/>
          <w:color w:val="auto"/>
        </w:rPr>
        <w:t>投标人的投标报价，应完整的包含所有采购内容，且不得以任何理由重复，每一项目只允许有一个报价，任何有选择的报价将不予接受。</w:t>
      </w:r>
      <w:bookmarkEnd w:id="24"/>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single"/>
        </w:rPr>
      </w:pPr>
      <w:r>
        <w:rPr>
          <w:rFonts w:hint="eastAsia" w:ascii="宋体" w:hAnsi="宋体" w:eastAsia="宋体" w:cs="宋体"/>
          <w:color w:val="auto"/>
          <w:u w:val="single"/>
        </w:rPr>
        <w:t>投标分项报价上的价格应按下列方式填写：</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投标货物包括标准附件、备品备件、专用工具等的出厂价（包括已在中国国内的进口货物完税后的仓库交货价、展室交货价或货架交货价)，投标货物安装、调试、检验、技术服务和培训等费用；</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货物运至最终目的地并安装调试完毕的运输费和保险费用和伴随货物交运的有关费用；</w:t>
      </w:r>
    </w:p>
    <w:p>
      <w:pPr>
        <w:pageBreakBefore w:val="0"/>
        <w:numPr>
          <w:ilvl w:val="0"/>
          <w:numId w:val="0"/>
        </w:numPr>
        <w:kinsoku/>
        <w:wordWrap/>
        <w:overflowPunct/>
        <w:topLinePunct w:val="0"/>
        <w:bidi w:val="0"/>
        <w:spacing w:line="360" w:lineRule="auto"/>
        <w:ind w:leftChars="0" w:right="0" w:rightChars="0" w:firstLine="420" w:firstLineChars="200"/>
        <w:rPr>
          <w:rFonts w:hint="eastAsia" w:ascii="宋体" w:hAnsi="宋体" w:eastAsia="宋体" w:cs="宋体"/>
          <w:color w:val="auto"/>
          <w:u w:val="single"/>
        </w:rPr>
      </w:pPr>
      <w:r>
        <w:rPr>
          <w:rFonts w:hint="eastAsia" w:ascii="宋体" w:hAnsi="宋体" w:eastAsia="宋体" w:cs="宋体"/>
          <w:color w:val="auto"/>
          <w:u w:val="single"/>
        </w:rPr>
        <w:t>（以上货物条款不适用本项目）</w:t>
      </w:r>
      <w:bookmarkStart w:id="25" w:name="_Ref179620755"/>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报投标资料表中列出的其他伴随服务的费用（如果有的话)。</w:t>
      </w:r>
      <w:bookmarkEnd w:id="25"/>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none"/>
        </w:rPr>
      </w:pPr>
      <w:r>
        <w:rPr>
          <w:rFonts w:hint="eastAsia" w:ascii="宋体" w:hAnsi="宋体" w:eastAsia="宋体" w:cs="宋体"/>
          <w:color w:val="auto"/>
          <w:u w:val="none"/>
        </w:rPr>
        <w:t>如果投标人对于采购文件或答疑文件中为满足技术要求中所提供的设备有未报价或漏报、错报、缺报等情况，可以视其为投标人予以采购人的投标优惠报价，中标后不予调整。如果投标人不接受对其错误的更正，其投标将被拒绝。</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证明投标人合格和资格的文件 </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投标人应提交证明其有资格参加投标和中标后有能力履行合同的文件，并作为其投标文件的一部分。</w:t>
      </w:r>
      <w:bookmarkStart w:id="60" w:name="_GoBack"/>
      <w:bookmarkEnd w:id="60"/>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文件允许联合体投标时，投标人始得组建联合体。联合体投标时，应提交各方的资格证明文件、联合体协议并注明主办人；联合体各方签订共同投标协议后，不得再以自己的名义单独在同一项目中投标，也不得组成新的联合体参加同一项目投标。违反上述规定的联合体投标将导致其投标被拒绝。</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投标人提交的证明其中标后能履行合同的资格证明文件应包括下列文件：</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证明投标人已具备履行合同所需的财务、技术和生产能力的文件；</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证明投标人满足招标文件业绩要求的文件；</w:t>
      </w:r>
      <w:bookmarkStart w:id="26" w:name="_Ref179620846"/>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投标资料表要求的其它资格证明文件。</w:t>
      </w:r>
      <w:bookmarkEnd w:id="26"/>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证明货物的合格性和符合招标文件规定的文件</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u w:val="single"/>
        </w:rPr>
      </w:pPr>
      <w:r>
        <w:rPr>
          <w:rFonts w:hint="eastAsia" w:ascii="宋体" w:hAnsi="宋体" w:eastAsia="宋体" w:cs="宋体"/>
          <w:color w:val="auto"/>
          <w:u w:val="single"/>
        </w:rPr>
        <w:t>上述所述的证明文件，可以是文字资料、图纸和数据，它包括：</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货物主要技术指标和性能的详细说明；</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u w:val="single"/>
        </w:rPr>
      </w:pPr>
      <w:r>
        <w:rPr>
          <w:rFonts w:hint="eastAsia" w:ascii="宋体" w:hAnsi="宋体" w:eastAsia="宋体" w:cs="宋体"/>
          <w:color w:val="auto"/>
          <w:u w:val="single"/>
        </w:rPr>
        <w:t>货物从招标人验收后开始使用至招标文件规定的保质期内正常、连续地使用所必须的备件和专用工具清单，包括备件和专用工具的货源及现行价格；</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cs="宋体"/>
          <w:color w:val="auto"/>
          <w:u w:val="single"/>
        </w:rPr>
      </w:pPr>
      <w:r>
        <w:rPr>
          <w:rFonts w:hint="eastAsia" w:ascii="宋体" w:hAnsi="宋体" w:eastAsia="宋体" w:cs="宋体"/>
          <w:color w:val="auto"/>
          <w:u w:val="single"/>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cs="宋体"/>
          <w:color w:val="FF0000"/>
          <w:u w:val="single"/>
        </w:rPr>
      </w:pPr>
      <w:r>
        <w:rPr>
          <w:rFonts w:hint="eastAsia" w:ascii="宋体" w:hAnsi="宋体" w:eastAsia="宋体" w:cs="宋体"/>
          <w:color w:val="auto"/>
          <w:u w:val="single"/>
        </w:rPr>
        <w:t>投标人在投标文件中须主动填报投标之前三年内有无受各级管理部分的处分或处罚（含其授权服务的子公司、分公司等)如果不主动填报而被事后发现的，将可能导致取消其投标资格，并按有关规定从重处理。</w:t>
      </w:r>
    </w:p>
    <w:p>
      <w:pPr>
        <w:pStyle w:val="69"/>
        <w:pageBreakBefore w:val="0"/>
        <w:numPr>
          <w:ilvl w:val="0"/>
          <w:numId w:val="0"/>
        </w:numPr>
        <w:tabs>
          <w:tab w:val="left" w:pos="907"/>
        </w:tabs>
        <w:kinsoku/>
        <w:wordWrap/>
        <w:overflowPunct/>
        <w:topLinePunct w:val="0"/>
        <w:bidi w:val="0"/>
        <w:spacing w:line="360" w:lineRule="auto"/>
        <w:ind w:left="0" w:leftChars="0" w:right="0" w:firstLine="420" w:firstLineChars="200"/>
        <w:rPr>
          <w:rFonts w:hint="eastAsia" w:ascii="宋体" w:hAnsi="宋体" w:eastAsia="宋体" w:cs="宋体"/>
          <w:color w:val="auto"/>
          <w:u w:val="single"/>
        </w:rPr>
      </w:pPr>
      <w:r>
        <w:rPr>
          <w:rFonts w:hint="eastAsia" w:ascii="宋体" w:hAnsi="宋体" w:eastAsia="宋体" w:cs="宋体"/>
          <w:color w:val="auto"/>
          <w:u w:val="single"/>
        </w:rPr>
        <w:t>（以上货物条款不适用本项目）</w:t>
      </w:r>
    </w:p>
    <w:p>
      <w:pPr>
        <w:pStyle w:val="69"/>
        <w:pageBreakBefore w:val="0"/>
        <w:numPr>
          <w:ilvl w:val="0"/>
          <w:numId w:val="0"/>
        </w:numPr>
        <w:tabs>
          <w:tab w:val="left" w:pos="907"/>
        </w:tabs>
        <w:kinsoku/>
        <w:wordWrap/>
        <w:overflowPunct/>
        <w:topLinePunct w:val="0"/>
        <w:bidi w:val="0"/>
        <w:spacing w:line="360" w:lineRule="auto"/>
        <w:ind w:left="0" w:leftChars="0" w:right="0" w:firstLine="420" w:firstLineChars="200"/>
        <w:rPr>
          <w:rFonts w:hint="eastAsia" w:ascii="宋体" w:hAnsi="宋体" w:eastAsia="宋体" w:cs="宋体"/>
          <w:color w:val="auto"/>
          <w:u w:val="single"/>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投标保证金</w:t>
      </w:r>
      <w:r>
        <w:rPr>
          <w:rFonts w:hint="eastAsia" w:ascii="宋体" w:hAnsi="宋体" w:eastAsia="宋体" w:cs="宋体"/>
          <w:b/>
          <w:color w:val="auto"/>
          <w:sz w:val="21"/>
          <w:szCs w:val="21"/>
          <w:highlight w:val="yellow"/>
        </w:rPr>
        <w:t>（本项目无需投标保证金）</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27" w:name="_Ref179619405"/>
      <w:r>
        <w:rPr>
          <w:rFonts w:hint="eastAsia" w:ascii="宋体" w:hAnsi="宋体" w:eastAsia="宋体" w:cs="宋体"/>
          <w:color w:val="auto"/>
        </w:rPr>
        <w:t>投标人应按投标资料表中规定数额及时间提交投标保证金，并作为其投标的一部分。</w:t>
      </w:r>
      <w:bookmarkEnd w:id="27"/>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投标保证金是为了保护招标人免遭因投标人的行为而蒙受损失。招标人在因投标人的行为受到损害时可根据本须知的规定没收投标人的投标保证金。</w:t>
      </w:r>
      <w:bookmarkStart w:id="28" w:name="_Ref179619432"/>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投标保证金应采用投标货币即人民币，并按下列形式及要求提交：</w:t>
      </w:r>
      <w:bookmarkEnd w:id="28"/>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投标保证金以银行本票、汇票、保付支票、汇款或现金等形式交纳，且须在开标前一天到达以下帐户，</w:t>
      </w:r>
      <w:r>
        <w:rPr>
          <w:rFonts w:hint="eastAsia" w:ascii="宋体" w:hAnsi="宋体" w:eastAsia="宋体" w:cs="宋体"/>
          <w:color w:val="auto"/>
          <w:szCs w:val="21"/>
          <w:shd w:val="clear" w:color="auto" w:fill="FFFFFF"/>
        </w:rPr>
        <w:t>以投标保证金到达招标人指定帐户，并经招标人确认为准</w:t>
      </w:r>
      <w:r>
        <w:rPr>
          <w:rFonts w:hint="eastAsia" w:ascii="宋体" w:hAnsi="宋体" w:eastAsia="宋体" w:cs="宋体"/>
          <w:color w:val="auto"/>
          <w:szCs w:val="21"/>
          <w:highlight w:val="none"/>
          <w:shd w:val="clear" w:color="auto" w:fill="FFFFFF"/>
        </w:rPr>
        <w:t>（联系人：   联系电话： ）</w:t>
      </w:r>
      <w:r>
        <w:rPr>
          <w:rFonts w:hint="eastAsia" w:ascii="宋体" w:hAnsi="宋体" w:eastAsia="宋体" w:cs="宋体"/>
          <w:color w:val="auto"/>
          <w:highlight w:val="none"/>
        </w:rPr>
        <w:t>：</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账户名称：深圳市设计之都运营发展有限公司</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账户号码：338200100100051632</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
          <w:color w:val="auto"/>
        </w:rPr>
      </w:pPr>
      <w:r>
        <w:rPr>
          <w:rFonts w:hint="eastAsia" w:ascii="宋体" w:hAnsi="宋体" w:eastAsia="宋体" w:cs="宋体"/>
          <w:color w:val="auto"/>
        </w:rPr>
        <w:t>开户银行：兴业银行深圳民治支行</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凡没有根据本须知的规定提交有效的投标保证金的投标，应按本须知规定视为非响应性投标予以拒绝。</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未中标的投标人的投标保证金，将于中标结果公告并无质疑投诉后五个工作日内无息退还投标人。</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中标人的投标保证金，在与招标人签订了合同，提交了履约保证金后后5个工作日内予以无息退还(或直接将投标保证金转为履约保证金)。</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投标人因自身因素逾期未向招标人办理退还保证金手续的，招标人不承担任何利率费用。</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如在退还保证金时发生银行费用，则需在保证金金额内扣减银行费用后退回投标人。</w:t>
      </w:r>
      <w:bookmarkStart w:id="29" w:name="_Ref179619371"/>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下列任何情况发生时，投标保证金将被没收：</w:t>
      </w:r>
      <w:bookmarkEnd w:id="29"/>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放弃投标的投标人在开标前三日未书面通知招标人的；</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投标人在招标文件中规定的投标有效期内撤回其投标；</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投标人串通投标或者以其他弄虚作假方式投标，以及在招标期间用不正当手段影响评标结果；</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中标人在规定期限内未能根据本须知规定签订合同；</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中标人在规定期限内未能根据本须知规定提供履约保证金；</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投标人提供虚假情况质疑投诉；</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法律法规规定的其它情况。</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投标有效期</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0" w:name="_Ref179620893"/>
      <w:r>
        <w:rPr>
          <w:rFonts w:hint="eastAsia" w:ascii="宋体" w:hAnsi="宋体" w:eastAsia="宋体" w:cs="宋体"/>
          <w:color w:val="auto"/>
        </w:rPr>
        <w:t>投标应自投标资料表中规定的开标日起，并在投标资料表中所述期限内保持有效。投标有效期不足的投标将被视为非实质性响应，并予以拒绝。</w:t>
      </w:r>
      <w:bookmarkEnd w:id="30"/>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特殊情况下，在原投标有效期截止之前，招标人可要求投标人延长投标有效期。该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且本须知有关投标保证金要求将在延长了的有效期内继续有效。</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投标文件的式样和签署</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1" w:name="_Ref179620912"/>
      <w:r>
        <w:rPr>
          <w:rFonts w:hint="eastAsia" w:ascii="宋体" w:hAnsi="宋体" w:eastAsia="宋体" w:cs="宋体"/>
          <w:color w:val="auto"/>
        </w:rPr>
        <w:t>投标人应准备一份投标文件正本和投标资料表中规定数目的副本，每套投标文件须清楚地标明“正本”或“副本”。若副本与正本不符，以正本为准。</w:t>
      </w:r>
      <w:bookmarkEnd w:id="31"/>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文件的正本需打印或用不褪色墨水书写，并由法定代表人或经其正式授权的代表签字并加盖单位印章。授权代表须持有书面的《法定代表人授权书》，并将其附在投标文件中。投标文件的副本可采用正本的复印件。</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任何行间插字、涂改和增删，必须由投标文件签字人用姓或首字母在旁边签字或加盖投标单位公章才有效。</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Style w:val="5"/>
        <w:numPr>
          <w:ilvl w:val="0"/>
          <w:numId w:val="21"/>
        </w:numPr>
        <w:bidi w:val="0"/>
        <w:spacing w:line="360" w:lineRule="auto"/>
        <w:jc w:val="center"/>
        <w:rPr>
          <w:rFonts w:hint="eastAsia" w:ascii="宋体" w:hAnsi="宋体" w:eastAsia="宋体" w:cs="宋体"/>
          <w:color w:val="auto"/>
        </w:rPr>
      </w:pPr>
      <w:r>
        <w:rPr>
          <w:rFonts w:hint="eastAsia"/>
        </w:rPr>
        <w:t>投标文件的递交</w:t>
      </w:r>
    </w:p>
    <w:p>
      <w:pPr>
        <w:spacing w:line="360" w:lineRule="auto"/>
        <w:rPr>
          <w:rFonts w:hint="eastAsia"/>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投标文件的密封和标记</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投标人应将投标文件正本和所有的副本分开密封装在单独的信封中，且在信封上标明“正本”“副本”字样。然后再将所有信封封装在一个外层信封中。</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为方便开标唱标，投标人应将开标一览表和授权委托书单独密封提交，并在信封上标明“开标文件”字样。</w:t>
      </w:r>
      <w:r>
        <w:rPr>
          <w:rFonts w:hint="eastAsia" w:ascii="宋体" w:hAnsi="宋体" w:eastAsia="宋体" w:cs="宋体"/>
          <w:b/>
          <w:color w:val="auto"/>
        </w:rPr>
        <w:t>开标文件内还须包括并不限于：投标保证金支付凭证底单（复印件加盖公章，原件随身携带，以备查核。）和投标保证金汇入情况说明（加盖公章）</w:t>
      </w:r>
      <w:r>
        <w:rPr>
          <w:rFonts w:hint="eastAsia" w:ascii="宋体" w:hAnsi="宋体" w:eastAsia="宋体" w:cs="宋体"/>
          <w:color w:val="auto"/>
        </w:rPr>
        <w:t>。投标人的法定代表人参加投标时，须开具法定代表人证明书，按上述要求与开标一览表一并密封提交。“开标文件”份数及签章等要求与投标文件正本相同。</w:t>
      </w:r>
      <w:bookmarkStart w:id="32" w:name="_Ref179620969"/>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所有的信封均应：</w:t>
      </w:r>
      <w:bookmarkEnd w:id="32"/>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1) 清楚标明递交至</w:t>
      </w:r>
      <w:r>
        <w:rPr>
          <w:rFonts w:hint="eastAsia" w:ascii="宋体" w:hAnsi="宋体" w:eastAsia="宋体" w:cs="宋体"/>
          <w:b/>
          <w:color w:val="auto"/>
        </w:rPr>
        <w:t>投标资料表</w:t>
      </w:r>
      <w:r>
        <w:rPr>
          <w:rFonts w:hint="eastAsia" w:ascii="宋体" w:hAnsi="宋体" w:eastAsia="宋体" w:cs="宋体"/>
          <w:color w:val="auto"/>
        </w:rPr>
        <w:t>中指明的地址。</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2) 清楚标明</w:t>
      </w:r>
      <w:r>
        <w:rPr>
          <w:rFonts w:hint="eastAsia" w:ascii="宋体" w:hAnsi="宋体" w:eastAsia="宋体" w:cs="宋体"/>
          <w:b/>
          <w:color w:val="auto"/>
        </w:rPr>
        <w:t>投标资料表</w:t>
      </w:r>
      <w:r>
        <w:rPr>
          <w:rFonts w:hint="eastAsia" w:ascii="宋体" w:hAnsi="宋体" w:eastAsia="宋体" w:cs="宋体"/>
          <w:color w:val="auto"/>
        </w:rPr>
        <w:t>中指明的项目名称、包号（如果分包的话）、招标编号和“在</w:t>
      </w:r>
      <w:r>
        <w:rPr>
          <w:rFonts w:hint="eastAsia" w:ascii="宋体" w:hAnsi="宋体" w:eastAsia="宋体" w:cs="宋体"/>
          <w:iCs/>
          <w:color w:val="auto"/>
        </w:rPr>
        <w:t>（开标日期、时间)</w:t>
      </w:r>
      <w:r>
        <w:rPr>
          <w:rFonts w:hint="eastAsia" w:ascii="宋体" w:hAnsi="宋体" w:eastAsia="宋体" w:cs="宋体"/>
          <w:color w:val="auto"/>
        </w:rPr>
        <w:t>之前不得启封”的字样，并填入</w:t>
      </w:r>
      <w:r>
        <w:rPr>
          <w:rFonts w:hint="eastAsia" w:ascii="宋体" w:hAnsi="宋体" w:eastAsia="宋体" w:cs="宋体"/>
          <w:b/>
          <w:color w:val="auto"/>
        </w:rPr>
        <w:t>投标资料表</w:t>
      </w:r>
      <w:r>
        <w:rPr>
          <w:rFonts w:hint="eastAsia" w:ascii="宋体" w:hAnsi="宋体" w:eastAsia="宋体" w:cs="宋体"/>
          <w:color w:val="auto"/>
        </w:rPr>
        <w:t>中规定的开标日期和时间。</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3) 清楚标明投标单位名称并在信封的封装处加盖投标人公章。</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内层信封应写明投标人名称和地址，以便将迟交的投标文件能原封退回。</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如果投标人未按本须知要求加写标记和密封，招标人对投标文件的误投或提前启封概不负责。</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投标人同时参加几个包投标时必须按招标文件要求按包号分别制作投标文件，分别密封递交。</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投标样品（本项目无需提供样品）</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如有必要，招标人可以要求投标人提供能反映货物材质或关键部分的极少部分的尺寸、价值不大的样品，投标人在投标时应提交《样品清单》。</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为方便评标，投标人在提供样品时，应使用透明的外包装或尽量少用外包装，但必须在所提供的样品表面显著位置标注投标人的名称、包号、样品名称、招标文件规定的货物编号。</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样品作为投标文件的一部分，除非另有说明，中标单位的样品不再退还，未中标单位须在中标公告发布后五个工作日内，前往招标人领取投标样品，逾期不领，招标人将不承担样品的保管责任，由此引发的样品丢失、毁损，招标人不予负责。</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33" w:name="_Ref179619638"/>
      <w:r>
        <w:rPr>
          <w:rFonts w:hint="eastAsia" w:ascii="宋体" w:hAnsi="宋体" w:eastAsia="宋体" w:cs="宋体"/>
          <w:b/>
          <w:color w:val="auto"/>
          <w:sz w:val="21"/>
          <w:szCs w:val="21"/>
        </w:rPr>
        <w:t>投标截止期</w:t>
      </w:r>
      <w:bookmarkEnd w:id="33"/>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4" w:name="_Ref179621022"/>
      <w:r>
        <w:rPr>
          <w:rFonts w:hint="eastAsia" w:ascii="宋体" w:hAnsi="宋体" w:eastAsia="宋体" w:cs="宋体"/>
          <w:color w:val="auto"/>
        </w:rPr>
        <w:t>投标人应在不迟于</w:t>
      </w:r>
      <w:r>
        <w:rPr>
          <w:rFonts w:hint="eastAsia" w:ascii="宋体" w:hAnsi="宋体" w:eastAsia="宋体" w:cs="宋体"/>
          <w:b/>
          <w:color w:val="auto"/>
        </w:rPr>
        <w:t>投标资料表</w:t>
      </w:r>
      <w:r>
        <w:rPr>
          <w:rFonts w:hint="eastAsia" w:ascii="宋体" w:hAnsi="宋体" w:eastAsia="宋体" w:cs="宋体"/>
          <w:color w:val="auto"/>
        </w:rPr>
        <w:t>中规定的截止日期和时间将投标文件递交至招标机构，递交地点应是</w:t>
      </w:r>
      <w:r>
        <w:rPr>
          <w:rFonts w:hint="eastAsia" w:ascii="宋体" w:hAnsi="宋体" w:eastAsia="宋体" w:cs="宋体"/>
          <w:b/>
          <w:color w:val="auto"/>
        </w:rPr>
        <w:t>投标资料表</w:t>
      </w:r>
      <w:r>
        <w:rPr>
          <w:rFonts w:hint="eastAsia" w:ascii="宋体" w:hAnsi="宋体" w:eastAsia="宋体" w:cs="宋体"/>
          <w:color w:val="auto"/>
        </w:rPr>
        <w:t>中指明的地址。</w:t>
      </w:r>
      <w:bookmarkEnd w:id="34"/>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招标人可以按本须知第4条规定，通过修改招标文件自行决定酌情推迟投标截止期。在此情况下，招标人和投标人受投标截止期制约的所有权利和义务均应延长至新的截止期。</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35" w:name="_Ref179619679"/>
      <w:r>
        <w:rPr>
          <w:rFonts w:hint="eastAsia" w:ascii="宋体" w:hAnsi="宋体" w:eastAsia="宋体" w:cs="宋体"/>
          <w:b/>
          <w:color w:val="auto"/>
          <w:sz w:val="21"/>
          <w:szCs w:val="21"/>
        </w:rPr>
        <w:t>迟交的投标文件</w:t>
      </w:r>
      <w:bookmarkEnd w:id="35"/>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招标人将拒绝并原封退回在本须知第19条规定的截止期后收到的任何投标文件。</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36" w:name="_Ref179619013"/>
      <w:r>
        <w:rPr>
          <w:rFonts w:hint="eastAsia" w:ascii="宋体" w:hAnsi="宋体" w:eastAsia="宋体" w:cs="宋体"/>
          <w:b/>
          <w:color w:val="auto"/>
          <w:sz w:val="21"/>
          <w:szCs w:val="21"/>
        </w:rPr>
        <w:t>投标文件的修改与撤回</w:t>
      </w:r>
      <w:bookmarkEnd w:id="36"/>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投标人在递交投标文件后，可以修改或撤回其投标，但投标人必须在规定的投标截止期之前将修改或撤回的书面通知递交到招标人。</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投标人的修改或撤回通知应按本须知规定编制、密封、标记和递交。</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在投标截止期之后，投标人不得对其投标做任何修改。</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从投标截止期至投标人在投标书中确定的投标有效期期满的这段时间内，投标人不得撤回其投标，否则其投标保证金将按照本须知的规定被没收。</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投标文件的退还</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32"/>
          <w:szCs w:val="32"/>
        </w:rPr>
      </w:pPr>
      <w:r>
        <w:rPr>
          <w:rFonts w:hint="eastAsia" w:ascii="宋体" w:hAnsi="宋体" w:eastAsia="宋体" w:cs="宋体"/>
          <w:color w:val="auto"/>
        </w:rPr>
        <w:t>除非招标文件另有规定或说明，投标文件一律不予退还。</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sz w:val="32"/>
          <w:szCs w:val="32"/>
        </w:rPr>
      </w:pPr>
    </w:p>
    <w:p>
      <w:pPr>
        <w:pStyle w:val="5"/>
        <w:numPr>
          <w:ilvl w:val="0"/>
          <w:numId w:val="21"/>
        </w:numPr>
        <w:bidi w:val="0"/>
        <w:spacing w:line="360" w:lineRule="auto"/>
        <w:jc w:val="center"/>
        <w:rPr>
          <w:rFonts w:hint="eastAsia" w:ascii="宋体" w:hAnsi="宋体" w:eastAsia="宋体" w:cs="宋体"/>
          <w:color w:val="auto"/>
        </w:rPr>
      </w:pPr>
      <w:r>
        <w:rPr>
          <w:rFonts w:hint="eastAsia"/>
        </w:rPr>
        <w:t>开标与评标</w:t>
      </w:r>
    </w:p>
    <w:p>
      <w:pPr>
        <w:spacing w:line="360" w:lineRule="auto"/>
        <w:rPr>
          <w:rFonts w:hint="eastAsia"/>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开标</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37" w:name="_Ref179621054"/>
      <w:r>
        <w:rPr>
          <w:rFonts w:hint="eastAsia" w:ascii="宋体" w:hAnsi="宋体" w:eastAsia="宋体" w:cs="宋体"/>
          <w:color w:val="auto"/>
        </w:rPr>
        <w:t>招标人在</w:t>
      </w:r>
      <w:r>
        <w:rPr>
          <w:rFonts w:hint="eastAsia" w:ascii="宋体" w:hAnsi="宋体" w:eastAsia="宋体" w:cs="宋体"/>
          <w:b/>
          <w:color w:val="auto"/>
        </w:rPr>
        <w:t>投标资料表</w:t>
      </w:r>
      <w:r>
        <w:rPr>
          <w:rFonts w:hint="eastAsia" w:ascii="宋体" w:hAnsi="宋体" w:eastAsia="宋体" w:cs="宋体"/>
          <w:color w:val="auto"/>
        </w:rPr>
        <w:t>中规定的日期、时间和地点组织公开开标。投标人代表均须按时参加开标会。参加开标的投标人代表应签名报到以证明其出席。</w:t>
      </w:r>
      <w:bookmarkEnd w:id="37"/>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开标时，招标人当众宣读投标人名称、修改和撤回投标的通知、投标价格、是否提交了投标保证金，以及招标人认为合适的其他内容。除了按照本须知第20条的规定原封退回迟到的投标之外，开标时将不得拒绝任何已购买招标文件的投标人的投标。</w:t>
      </w:r>
      <w:r>
        <w:rPr>
          <w:rFonts w:hint="eastAsia" w:ascii="宋体" w:hAnsi="宋体" w:eastAsia="宋体" w:cs="宋体"/>
          <w:color w:val="auto"/>
          <w:szCs w:val="21"/>
          <w:lang w:val="zh-CN"/>
        </w:rPr>
        <w:t>若招标人宣读的结果与开标文件不符时，投标人有权在开标现场提出异议，经有关监督人员或公证人员当场核查确认之后，可重新宣读其开标文件。若投标人现场未提出异议，则视为投标人确认宣读的结果。</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在开标时没有启封和没有读出的投标文件（包括按照本须知第20条递交的修改书)，在评标时将不予考虑。没有启封和读出的投标文件将原封退回给投标人。</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招标人将做开标记录，并要求与会有关人员签字确认。</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评标委员会和评标方法</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评标委员会依法组建，负责评标工作。评标委员会由招标人代表和有关技术、经济等方面的专家组成，成员人数为五人或五人以上单数。</w:t>
      </w:r>
      <w:bookmarkStart w:id="38" w:name="_Ref179621079"/>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依照有关规定，货物或服务招标采购的评标方法分为最低评标价法、综合评分法和性价比法三种基本方法。评标委员会将按照</w:t>
      </w:r>
      <w:r>
        <w:rPr>
          <w:rFonts w:hint="eastAsia" w:ascii="宋体" w:hAnsi="宋体" w:eastAsia="宋体" w:cs="宋体"/>
          <w:b/>
          <w:color w:val="auto"/>
        </w:rPr>
        <w:t>投标资料表</w:t>
      </w:r>
      <w:r>
        <w:rPr>
          <w:rFonts w:hint="eastAsia" w:ascii="宋体" w:hAnsi="宋体" w:eastAsia="宋体" w:cs="宋体"/>
          <w:color w:val="auto"/>
        </w:rPr>
        <w:t>中所确定的评标方法进行评审。</w:t>
      </w:r>
      <w:bookmarkEnd w:id="38"/>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评标委员会对投标文件的评审内容，分为商务评议、技术评议和价格评议/综合评议。评审流程包括资格性检查、符合性检查、澄清问题、比较与评价、推荐中标候选人或确定中标人、编写评标报告等步骤。</w:t>
      </w:r>
      <w:bookmarkStart w:id="39" w:name="_Ref179619857"/>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在评标期间，评标委员会可要求投标人对其投标文件进行澄清，但不得寻求、提供或允许对投标价格等实质性内容做任何更改。有关澄清的要求和答复均应以书面形式提交。</w:t>
      </w:r>
      <w:bookmarkEnd w:id="39"/>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投标文件的初审</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评标委员会将审查投标文件是否完整、总体编排是否有序、文件签署是否合格、投标人是否提交了投标保证金、有无计算上的错误等。</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szCs w:val="21"/>
          <w:lang w:val="zh-CN"/>
        </w:rPr>
        <w:t>投标文件中开标一览表内容与投标文件中明细表内容不一致的，以开标一览表为准。投标文件的投标报价大写金额和小写金额不一致的，以大写金额为准；总价金额与按单价汇总金额不一致的，以单价金额计算结果为准；单价金额小数点有明显错位的，应以总价为准，并修改单价</w:t>
      </w:r>
      <w:r>
        <w:rPr>
          <w:rFonts w:hint="eastAsia" w:ascii="宋体" w:hAnsi="宋体" w:eastAsia="宋体" w:cs="宋体"/>
          <w:color w:val="auto"/>
        </w:rPr>
        <w:t>。如果投标人不接受对其错误的更正，其投标将被拒绝。</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对于投标文件中不构成实质性偏差的不正规、不一致或不规则，评标委员会可以接受，但这种接受不能损害或影响任何投标人的相对排序。</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详细评审之前，评标委员将会审查每份投标文件是否实质上响应了招标文件的要求。实质上响应的投标是与招标文件要求的关键条款、条件和规格相符，没有重大偏离的投标。例如关于投标保证金、投标人资格要求、关键技术指标要求、投标报价要求和评标标准等。评标委员会审查投标的响应性只根据投标文件本身的内容，而不寻求外部的证据。</w:t>
      </w:r>
      <w:bookmarkStart w:id="40" w:name="_Ref179619330"/>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实质上没有响应招标文件要求的投标将被作废标处理。投标人不得通过修正或撤销不合要求的偏离或保留从而使其投标成为实质上响应的投标。评标委员会评审中，发现下列情况之一的，其投标将作废标处理：</w:t>
      </w:r>
      <w:bookmarkEnd w:id="40"/>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资格性检查</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1" w:name="_Toc7130"/>
      <w:bookmarkStart w:id="42" w:name="_Toc10370"/>
      <w:r>
        <w:rPr>
          <w:rFonts w:hint="eastAsia" w:ascii="宋体" w:hAnsi="宋体" w:eastAsia="宋体" w:cs="宋体"/>
          <w:b/>
          <w:color w:val="auto"/>
        </w:rPr>
        <w:t>1) 资格瑕疵</w:t>
      </w:r>
      <w:bookmarkEnd w:id="41"/>
      <w:bookmarkEnd w:id="42"/>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包括但不限于：①资格证明文件未提供或不符合招标文件要求的；②投标人及其制造商与招标人、招标机构有利害关系的。</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3" w:name="_Toc23346"/>
      <w:bookmarkStart w:id="44" w:name="_Toc14104"/>
      <w:r>
        <w:rPr>
          <w:rFonts w:hint="eastAsia" w:ascii="宋体" w:hAnsi="宋体" w:eastAsia="宋体" w:cs="宋体"/>
          <w:b/>
          <w:color w:val="auto"/>
        </w:rPr>
        <w:t>2) 投标保证金瑕疵</w:t>
      </w:r>
      <w:bookmarkEnd w:id="43"/>
      <w:bookmarkEnd w:id="44"/>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包括但不限于：①投标人未提交投标保证金或金额不足；②提交方式、提交时间不符合招标要求；③投标保证金有效期不符合招标要求的。</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bookmarkStart w:id="45" w:name="_Ref179621189"/>
      <w:r>
        <w:rPr>
          <w:rFonts w:hint="eastAsia" w:ascii="宋体" w:hAnsi="宋体" w:eastAsia="宋体" w:cs="宋体"/>
          <w:color w:val="auto"/>
        </w:rPr>
        <w:t>符合性检查</w:t>
      </w:r>
      <w:bookmarkEnd w:id="45"/>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6" w:name="_Toc29694"/>
      <w:bookmarkStart w:id="47" w:name="_Toc11016"/>
      <w:r>
        <w:rPr>
          <w:rFonts w:hint="eastAsia" w:ascii="宋体" w:hAnsi="宋体" w:eastAsia="宋体" w:cs="宋体"/>
          <w:b/>
          <w:color w:val="auto"/>
        </w:rPr>
        <w:t>1) 投标人代表身份审查</w:t>
      </w:r>
      <w:bookmarkEnd w:id="46"/>
      <w:bookmarkEnd w:id="47"/>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包括但不限于：①投标人代表未参加开标会；②投标人代表无有效授权；③核对投标人代表身份时，不能提供相应的身份证明或不相符。</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48" w:name="_Toc21208"/>
      <w:bookmarkStart w:id="49" w:name="_Toc32519"/>
      <w:r>
        <w:rPr>
          <w:rFonts w:hint="eastAsia" w:ascii="宋体" w:hAnsi="宋体" w:eastAsia="宋体" w:cs="宋体"/>
          <w:b/>
          <w:color w:val="auto"/>
        </w:rPr>
        <w:t>2) 投标文件的有效性、完整性瑕疵</w:t>
      </w:r>
      <w:bookmarkEnd w:id="48"/>
      <w:bookmarkEnd w:id="49"/>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文件的数量、制作、密封、标记不符合要求；②投标文件无法定代表人或其授权代表签字，或签字人无法定代表人有效授权的；③签字盖章不符合招标文件要求的；④投标文件内容有严重缺漏项的；⑤投标报价有严重缺漏项的；⑥投标文件的关键内容字迹模糊、无法辨认的。</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50" w:name="_Toc1782"/>
      <w:bookmarkStart w:id="51" w:name="_Toc29016"/>
      <w:r>
        <w:rPr>
          <w:rFonts w:hint="eastAsia" w:ascii="宋体" w:hAnsi="宋体" w:eastAsia="宋体" w:cs="宋体"/>
          <w:b/>
          <w:color w:val="auto"/>
        </w:rPr>
        <w:t>3) 技术响应瑕疵</w:t>
      </w:r>
      <w:bookmarkEnd w:id="50"/>
      <w:bookmarkEnd w:id="51"/>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包括但不限于：①投标文件不满足招标文件中加注星号（</w:t>
      </w:r>
      <w:r>
        <w:rPr>
          <w:rFonts w:hint="eastAsia" w:ascii="宋体" w:hAnsi="宋体" w:eastAsia="宋体" w:cs="宋体"/>
          <w:color w:val="auto"/>
          <w:szCs w:val="21"/>
        </w:rPr>
        <w:t>※）</w:t>
      </w:r>
      <w:r>
        <w:rPr>
          <w:rFonts w:hint="eastAsia" w:ascii="宋体" w:hAnsi="宋体" w:eastAsia="宋体" w:cs="宋体"/>
          <w:color w:val="auto"/>
        </w:rPr>
        <w:t>的主要参数要求或加注星号的主要参数无技术资料支持的；②一般参数超出允许偏离的最大范围或最高项数的；③投标文件技术响应与事实不符或虚假投标的；④投标人复制招标文件的技术规格相关部分内容作为其投标文件的一部分的；⑤《技术规格偏离表》填写不明或不实的；⑥将一个包中的内容拆开投标的；⑦投标人对同一货物或服务投标时，同时提供两套或两套以上的投标方案的；⑧明显不符合技术规格、技术标准要求的；⑨其他未实质性响应招标文件技术要求的。</w:t>
      </w:r>
    </w:p>
    <w:p>
      <w:pPr>
        <w:pageBreakBefore w:val="0"/>
        <w:kinsoku/>
        <w:wordWrap/>
        <w:overflowPunct/>
        <w:topLinePunct w:val="0"/>
        <w:bidi w:val="0"/>
        <w:spacing w:line="360" w:lineRule="auto"/>
        <w:ind w:left="0" w:leftChars="0" w:right="0" w:firstLine="422" w:firstLineChars="200"/>
        <w:outlineLvl w:val="0"/>
        <w:rPr>
          <w:rFonts w:hint="eastAsia" w:ascii="宋体" w:hAnsi="宋体" w:eastAsia="宋体" w:cs="宋体"/>
          <w:b/>
          <w:color w:val="auto"/>
        </w:rPr>
      </w:pPr>
      <w:bookmarkStart w:id="52" w:name="_Toc12700"/>
      <w:bookmarkStart w:id="53" w:name="_Toc14352"/>
      <w:r>
        <w:rPr>
          <w:rFonts w:hint="eastAsia" w:ascii="宋体" w:hAnsi="宋体" w:eastAsia="宋体" w:cs="宋体"/>
          <w:b/>
          <w:color w:val="auto"/>
        </w:rPr>
        <w:t>4) 商务响应瑕疵</w:t>
      </w:r>
      <w:bookmarkEnd w:id="52"/>
      <w:bookmarkEnd w:id="53"/>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包括但不限于：①招标文件加注星号（</w:t>
      </w:r>
      <w:r>
        <w:rPr>
          <w:rFonts w:hint="eastAsia" w:ascii="宋体" w:hAnsi="宋体" w:eastAsia="宋体" w:cs="宋体"/>
          <w:color w:val="auto"/>
          <w:szCs w:val="21"/>
        </w:rPr>
        <w:t>※）</w:t>
      </w:r>
      <w:r>
        <w:rPr>
          <w:rFonts w:hint="eastAsia" w:ascii="宋体" w:hAnsi="宋体" w:eastAsia="宋体" w:cs="宋体"/>
          <w:color w:val="auto"/>
        </w:rPr>
        <w:t>的商务要求负偏离的；②招标项目完成期未满足招标文件要求的；③投标文件载明的货物包装方式、检验标准和方法不符合招标文件要求的；④投标报价超出委托金额上限的。⑤《商务条款偏离表》填写不明或不实的；⑥投标文件附有招标人不能接受的条件的；⑦其他未实质性响应招标文件商务要求的。</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color w:val="auto"/>
        </w:rPr>
      </w:pPr>
      <w:r>
        <w:rPr>
          <w:rFonts w:hint="eastAsia" w:ascii="宋体" w:hAnsi="宋体" w:eastAsia="宋体" w:cs="宋体"/>
          <w:b/>
          <w:color w:val="auto"/>
        </w:rPr>
        <w:t>5)投标报价</w:t>
      </w:r>
      <w:r>
        <w:rPr>
          <w:rFonts w:hint="eastAsia" w:ascii="宋体" w:hAnsi="宋体" w:eastAsia="宋体" w:cs="宋体"/>
          <w:color w:val="auto"/>
        </w:rPr>
        <w:t>：如招标文件中有明确提出项目标底的，投标报价不得高于标底价。</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b/>
          <w:color w:val="auto"/>
        </w:rPr>
      </w:pPr>
      <w:r>
        <w:rPr>
          <w:rFonts w:hint="eastAsia" w:ascii="宋体" w:hAnsi="宋体" w:eastAsia="宋体" w:cs="宋体"/>
          <w:b/>
          <w:color w:val="auto"/>
        </w:rPr>
        <w:t>6)违规行为</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rPr>
      </w:pPr>
      <w:r>
        <w:rPr>
          <w:rFonts w:hint="eastAsia" w:ascii="宋体" w:hAnsi="宋体" w:eastAsia="宋体" w:cs="宋体"/>
          <w:color w:val="auto"/>
        </w:rPr>
        <w:t>包括但不限于：①以他人的名义投标、串通投标、以行贿手段谋取中标或者以其他弄虚作假方式投标的；②拒不按照要求对投标文件进行澄清、说明或者补正的；③扰乱开标、评标秩序，干扰招标工作正常进行的。</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color w:val="auto"/>
        </w:rPr>
      </w:pPr>
      <w:r>
        <w:rPr>
          <w:rFonts w:hint="eastAsia" w:ascii="宋体" w:hAnsi="宋体" w:eastAsia="宋体" w:cs="宋体"/>
          <w:b/>
          <w:color w:val="auto"/>
        </w:rPr>
        <w:t>7)法律法规及招标文件中规定的其它情形</w:t>
      </w:r>
      <w:r>
        <w:rPr>
          <w:rFonts w:hint="eastAsia" w:ascii="宋体" w:hAnsi="宋体" w:eastAsia="宋体" w:cs="宋体"/>
          <w:color w:val="auto"/>
        </w:rPr>
        <w:t>。</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根据项目情况，评标委员会有权决定招标文件中“可能导致废标”或“可能导致其投标被拒绝”等具体条款是否实施“废标”或“投标被拒绝”，但对同一条款的裁决应适用于每个投标人。</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评标方法和定标原则</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32"/>
          <w:szCs w:val="32"/>
        </w:rPr>
      </w:pPr>
      <w:r>
        <w:rPr>
          <w:rFonts w:hint="eastAsia" w:ascii="宋体" w:hAnsi="宋体" w:eastAsia="宋体" w:cs="宋体"/>
          <w:color w:val="auto"/>
        </w:rPr>
        <w:t>综合评估法定标（见第二章投标资料表中附表）</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sz w:val="21"/>
          <w:szCs w:val="21"/>
        </w:rPr>
      </w:pPr>
    </w:p>
    <w:p>
      <w:pPr>
        <w:pStyle w:val="5"/>
        <w:numPr>
          <w:ilvl w:val="0"/>
          <w:numId w:val="21"/>
        </w:numPr>
        <w:bidi w:val="0"/>
        <w:spacing w:line="360" w:lineRule="auto"/>
        <w:jc w:val="center"/>
        <w:rPr>
          <w:rFonts w:hint="eastAsia" w:ascii="宋体" w:hAnsi="宋体" w:eastAsia="宋体" w:cs="宋体"/>
          <w:color w:val="auto"/>
        </w:rPr>
      </w:pPr>
      <w:r>
        <w:rPr>
          <w:rFonts w:hint="eastAsia"/>
        </w:rPr>
        <w:t>授予合同</w:t>
      </w:r>
    </w:p>
    <w:p>
      <w:pPr>
        <w:spacing w:line="360" w:lineRule="auto"/>
        <w:rPr>
          <w:rFonts w:hint="eastAsia"/>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最终审查</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招标人将根据本须知列出的标准审查第一中标候选人是否有能力圆满地履行合同。</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授标决定时还将考虑投标人的财务、技术和生产能力在招标期间是否有实质性变化。其基础是审查投标人按照本须知规定提交的资格证明文件和招标人认为必要的、合适的其它资料。</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如果审查通过，招标人将把合同授予该投标人；如果审查没有通过，招标人将拒绝其投标，并对下一个中标候选人能否令人满意地履行合同作类似的审查。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合同授予标准</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除第31条的规定之外，招标人将把合同授予被确定为实质上响应招标文件的要求并有履行合同能力的投标人。</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授标时更改采购货物数量的权力</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bookmarkStart w:id="54" w:name="_Ref179621665"/>
      <w:r>
        <w:rPr>
          <w:rFonts w:hint="eastAsia" w:ascii="宋体" w:hAnsi="宋体" w:eastAsia="宋体" w:cs="宋体"/>
          <w:color w:val="auto"/>
        </w:rPr>
        <w:t>招标人在授予合同时有权在</w:t>
      </w:r>
      <w:r>
        <w:rPr>
          <w:rFonts w:hint="eastAsia" w:ascii="宋体" w:hAnsi="宋体" w:eastAsia="宋体" w:cs="宋体"/>
          <w:b/>
          <w:color w:val="auto"/>
        </w:rPr>
        <w:t>投标资料表</w:t>
      </w:r>
      <w:r>
        <w:rPr>
          <w:rFonts w:hint="eastAsia" w:ascii="宋体" w:hAnsi="宋体" w:eastAsia="宋体" w:cs="宋体"/>
          <w:color w:val="auto"/>
        </w:rPr>
        <w:t>规定的幅度内对“用户需求书”中规定的货物数量和服务予以增加或减少，但不得对单价或其它的条款和条件做任何改变。</w:t>
      </w:r>
      <w:bookmarkEnd w:id="54"/>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中标结果公示</w:t>
      </w:r>
    </w:p>
    <w:p>
      <w:pPr>
        <w:pageBreakBefore w:val="0"/>
        <w:numPr>
          <w:ilvl w:val="1"/>
          <w:numId w:val="22"/>
        </w:numPr>
        <w:kinsoku/>
        <w:wordWrap/>
        <w:overflowPunct/>
        <w:topLinePunct w:val="0"/>
        <w:bidi w:val="0"/>
        <w:spacing w:line="360" w:lineRule="auto"/>
        <w:ind w:left="567" w:leftChars="0" w:right="0" w:rightChars="0" w:hanging="567" w:firstLineChars="0"/>
        <w:jc w:val="both"/>
        <w:rPr>
          <w:rFonts w:hint="eastAsia" w:ascii="宋体" w:hAnsi="宋体" w:eastAsia="宋体" w:cs="宋体"/>
          <w:color w:val="auto"/>
        </w:rPr>
      </w:pPr>
      <w:r>
        <w:rPr>
          <w:rFonts w:hint="eastAsia" w:ascii="宋体" w:hAnsi="宋体" w:eastAsia="宋体" w:cs="宋体"/>
          <w:color w:val="auto"/>
        </w:rPr>
        <w:t>为体现“公开、公平、公正”的原则，评标结束后，将在</w:t>
      </w:r>
      <w:r>
        <w:rPr>
          <w:rFonts w:hint="eastAsia" w:ascii="宋体" w:hAnsi="宋体" w:eastAsia="宋体" w:cs="宋体"/>
          <w:color w:val="auto"/>
          <w:highlight w:val="none"/>
        </w:rPr>
        <w:t>“深广电采购网</w:t>
      </w:r>
      <w:r>
        <w:rPr>
          <w:highlight w:val="none"/>
        </w:rPr>
        <w:fldChar w:fldCharType="begin"/>
      </w:r>
      <w:r>
        <w:rPr>
          <w:highlight w:val="none"/>
        </w:rPr>
        <w:instrText xml:space="preserve"> HYPERLINK "http://cg.szmg.com.cn/" </w:instrText>
      </w:r>
      <w:r>
        <w:rPr>
          <w:highlight w:val="none"/>
        </w:rPr>
        <w:fldChar w:fldCharType="separate"/>
      </w:r>
      <w:r>
        <w:rPr>
          <w:rStyle w:val="60"/>
          <w:highlight w:val="none"/>
        </w:rPr>
        <w:t>http://cg.szmg.com.cn/</w:t>
      </w:r>
      <w:r>
        <w:rPr>
          <w:rStyle w:val="60"/>
          <w:highlight w:val="none"/>
        </w:rPr>
        <w:fldChar w:fldCharType="end"/>
      </w:r>
      <w:r>
        <w:rPr>
          <w:rStyle w:val="60"/>
          <w:rFonts w:hint="eastAsia"/>
          <w:highlight w:val="none"/>
        </w:rPr>
        <w:t>与设计之都公司官网https://www.designcities.cn/</w:t>
      </w:r>
      <w:r>
        <w:rPr>
          <w:rFonts w:hint="eastAsia" w:ascii="宋体" w:hAnsi="宋体" w:eastAsia="宋体" w:cs="宋体"/>
          <w:color w:val="auto"/>
        </w:rPr>
        <w:t>”进行中标结果公示。投标人如对评标结果有异议，应于中标公示之日起3日内以书面形式提出。若未提出异议，则视为无异议或放弃异议权。</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提出质疑的投标人应保证提出质疑内容及相应证明材料的真实性及来源的合法性，并承担相应的法律责任。提供虚假情况恶意质疑投诉，情节严重的，将可能导致暂停或取消其投标资格或者投标保证金被罚没。</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55" w:name="_Ref179619923"/>
      <w:r>
        <w:rPr>
          <w:rFonts w:hint="eastAsia" w:ascii="宋体" w:hAnsi="宋体" w:eastAsia="宋体" w:cs="宋体"/>
          <w:b/>
          <w:color w:val="auto"/>
          <w:sz w:val="21"/>
          <w:szCs w:val="21"/>
        </w:rPr>
        <w:t>接受和拒绝任何或所有投标的权力</w:t>
      </w:r>
      <w:bookmarkEnd w:id="55"/>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在法律法规允许的特殊情况下，招标人保留在授标之前拒绝任何投标以及宣布招标程序无效或拒绝所有投标的权力，且对受影响的投标人不承担任何责任，也无义务向受影响的投标人解释采取这一行动的理由。</w:t>
      </w:r>
    </w:p>
    <w:p>
      <w:pPr>
        <w:pageBreakBefore w:val="0"/>
        <w:numPr>
          <w:ilvl w:val="0"/>
          <w:numId w:val="0"/>
        </w:numPr>
        <w:kinsoku/>
        <w:wordWrap/>
        <w:overflowPunct/>
        <w:topLinePunct w:val="0"/>
        <w:bidi w:val="0"/>
        <w:spacing w:line="360" w:lineRule="auto"/>
        <w:ind w:leftChars="0" w:right="0" w:right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中标通知书</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结果公示后三个工作日内，中标供应商须提供营业执照以及在投标文件中提供的资质证明文件、合同等主要证明文件的原件进行核对，经核对无误后才能向中标供应商发出中标通知书。如授权其分支机构进行项目实施或提供售后服务的，亦应提供其与分支机构关系的法律证明材料。</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《中标通知书》是合同的一个组成部分。中标人如在中标结果公示后15日内不按规定提交相关资料及领取中标通知书的，则视为自动放弃中标资格进行处理。</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bookmarkStart w:id="56" w:name="_Ref179619520"/>
      <w:r>
        <w:rPr>
          <w:rFonts w:hint="eastAsia" w:ascii="宋体" w:hAnsi="宋体" w:eastAsia="宋体" w:cs="宋体"/>
          <w:b/>
          <w:color w:val="auto"/>
          <w:sz w:val="21"/>
          <w:szCs w:val="21"/>
        </w:rPr>
        <w:t>签订合同</w:t>
      </w:r>
      <w:bookmarkEnd w:id="56"/>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《中标通知书》发出后30 日内，中标人应按照招标文件和中标人的投标文件订立书面合同。中标人不得与招标人再订立背离合同实质性内容的其他协议。</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招标文件、中标人的投标文件及其澄清文件等，均为签订合同的依据。</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合同签订后5个工作日内，中标人须将合同副本（合同复印件加盖中标人公章，原件核验)送招标机构存档备案。</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履约保证金 </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中标人投标前递交的投标保证金直接转为合同履约金。如中标人未按合同履约，招标人有权终止合同，并没收其合同履约金。给招标人造成的损失超过合同履约金数额的，还应当由其对超过部分予以赔偿，并依法追究其责任。</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下列任何情况发生时，履约保证金将被没收：</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中标人将本项目转让给他人，或者在投标文件中未说明，且未经招采购人同意，将中标项目分包给他人的，采购人可依法没收其履约保证金。</w:t>
      </w:r>
    </w:p>
    <w:p>
      <w:pPr>
        <w:pageBreakBefore w:val="0"/>
        <w:numPr>
          <w:ilvl w:val="2"/>
          <w:numId w:val="22"/>
        </w:numPr>
        <w:kinsoku/>
        <w:wordWrap/>
        <w:overflowPunct/>
        <w:topLinePunct w:val="0"/>
        <w:bidi w:val="0"/>
        <w:spacing w:line="360" w:lineRule="auto"/>
        <w:ind w:left="709" w:leftChars="0" w:right="0" w:rightChars="0" w:hanging="709" w:firstLineChars="0"/>
        <w:rPr>
          <w:rFonts w:hint="eastAsia" w:ascii="宋体" w:hAnsi="宋体" w:eastAsia="宋体" w:cs="宋体"/>
          <w:color w:val="auto"/>
        </w:rPr>
      </w:pPr>
      <w:r>
        <w:rPr>
          <w:rFonts w:hint="eastAsia" w:ascii="宋体" w:hAnsi="宋体" w:eastAsia="宋体" w:cs="宋体"/>
          <w:color w:val="auto"/>
        </w:rPr>
        <w:t>中标人将本项目转让给他人，或者在投标文件中未说明，且未经招采购人同意，将中标项目分包给他人的，采购人可依法没收其履约保证金。</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rPr>
      </w:pPr>
      <w:r>
        <w:rPr>
          <w:rFonts w:hint="eastAsia" w:ascii="宋体" w:hAnsi="宋体" w:eastAsia="宋体" w:cs="宋体"/>
          <w:color w:val="auto"/>
        </w:rPr>
        <w:t>如果中标人没有按照上述规定执行，招标人将取消该中标决定，并没收其投标保证金。在此情况下，招标机构和招标人可将合同授予下一个中标候选人，或重新招标。</w:t>
      </w: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p>
    <w:p>
      <w:pPr>
        <w:pageBreakBefore w:val="0"/>
        <w:numPr>
          <w:ilvl w:val="0"/>
          <w:numId w:val="22"/>
        </w:numPr>
        <w:kinsoku/>
        <w:wordWrap/>
        <w:overflowPunct/>
        <w:topLinePunct w:val="0"/>
        <w:bidi w:val="0"/>
        <w:spacing w:line="360" w:lineRule="auto"/>
        <w:ind w:left="425" w:leftChars="0" w:right="0" w:rightChars="0" w:hanging="425" w:firstLineChars="0"/>
        <w:rPr>
          <w:rFonts w:hint="eastAsia" w:ascii="宋体" w:hAnsi="宋体" w:eastAsia="宋体" w:cs="宋体"/>
          <w:b/>
          <w:color w:val="auto"/>
          <w:sz w:val="21"/>
          <w:szCs w:val="21"/>
        </w:rPr>
      </w:pPr>
      <w:r>
        <w:rPr>
          <w:rFonts w:hint="eastAsia" w:ascii="宋体" w:hAnsi="宋体" w:eastAsia="宋体" w:cs="宋体"/>
          <w:b/>
          <w:color w:val="auto"/>
          <w:sz w:val="21"/>
          <w:szCs w:val="21"/>
        </w:rPr>
        <w:t>解释权</w:t>
      </w:r>
    </w:p>
    <w:p>
      <w:pPr>
        <w:pageBreakBefore w:val="0"/>
        <w:numPr>
          <w:ilvl w:val="1"/>
          <w:numId w:val="22"/>
        </w:numPr>
        <w:kinsoku/>
        <w:wordWrap/>
        <w:overflowPunct/>
        <w:topLinePunct w:val="0"/>
        <w:bidi w:val="0"/>
        <w:spacing w:line="360" w:lineRule="auto"/>
        <w:ind w:left="567" w:leftChars="0" w:right="0" w:rightChars="0" w:hanging="567" w:firstLineChars="0"/>
        <w:rPr>
          <w:rFonts w:hint="eastAsia" w:ascii="宋体" w:hAnsi="宋体" w:eastAsia="宋体" w:cs="宋体"/>
          <w:color w:val="auto"/>
          <w:sz w:val="44"/>
          <w:szCs w:val="44"/>
        </w:rPr>
      </w:pPr>
      <w:r>
        <w:rPr>
          <w:rFonts w:hint="eastAsia" w:ascii="宋体" w:hAnsi="宋体" w:eastAsia="宋体" w:cs="宋体"/>
          <w:color w:val="auto"/>
        </w:rPr>
        <w:t>本采购文件是根据国家有关法律、法规以及政府采购管理有关规定和参照国际惯例编制，解释权属本采购招标人。</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
        <w:bidi w:val="0"/>
        <w:spacing w:line="360" w:lineRule="auto"/>
        <w:jc w:val="center"/>
        <w:outlineLvl w:val="0"/>
        <w:rPr>
          <w:rFonts w:hint="eastAsia"/>
        </w:rPr>
      </w:pPr>
      <w:bookmarkStart w:id="57" w:name="_Toc3067"/>
      <w:r>
        <w:rPr>
          <w:rFonts w:hint="eastAsia"/>
        </w:rPr>
        <w:t>第五章　合同条款</w:t>
      </w:r>
      <w:bookmarkEnd w:id="57"/>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44"/>
          <w:szCs w:val="44"/>
        </w:rPr>
      </w:pPr>
      <w:r>
        <w:rPr>
          <w:rFonts w:hint="eastAsia" w:ascii="宋体" w:hAnsi="宋体" w:eastAsia="宋体" w:cs="宋体"/>
          <w:color w:val="auto"/>
          <w:sz w:val="32"/>
          <w:szCs w:val="32"/>
        </w:rPr>
        <w:t xml:space="preserve"> (另行订立)</w:t>
      </w:r>
    </w:p>
    <w:p>
      <w:pPr>
        <w:spacing w:line="360" w:lineRule="auto"/>
        <w:rPr>
          <w:rFonts w:hint="eastAsia" w:ascii="宋体" w:hAnsi="宋体" w:eastAsia="宋体" w:cs="宋体"/>
          <w:color w:val="auto"/>
        </w:rPr>
      </w:pPr>
      <w:r>
        <w:rPr>
          <w:rFonts w:hint="eastAsia" w:ascii="宋体" w:hAnsi="宋体" w:eastAsia="宋体" w:cs="宋体"/>
          <w:color w:val="auto"/>
        </w:rPr>
        <w:br w:type="page"/>
      </w:r>
    </w:p>
    <w:p>
      <w:pPr>
        <w:pStyle w:val="4"/>
        <w:bidi w:val="0"/>
        <w:spacing w:line="360" w:lineRule="auto"/>
        <w:jc w:val="center"/>
        <w:outlineLvl w:val="0"/>
        <w:rPr>
          <w:rFonts w:hint="eastAsia" w:ascii="宋体" w:hAnsi="宋体" w:eastAsia="宋体" w:cs="宋体"/>
          <w:color w:val="auto"/>
          <w:sz w:val="24"/>
        </w:rPr>
      </w:pPr>
      <w:bookmarkStart w:id="58" w:name="_Toc21696"/>
      <w:r>
        <w:rPr>
          <w:rFonts w:hint="eastAsia"/>
        </w:rPr>
        <w:t>第六章　附件－投标文件格式</w:t>
      </w:r>
      <w:bookmarkEnd w:id="58"/>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附件1. 投标书格式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p>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b/>
          <w:color w:val="auto"/>
          <w:sz w:val="32"/>
          <w:szCs w:val="32"/>
        </w:rPr>
        <w:t>投标书</w:t>
      </w:r>
    </w:p>
    <w:p>
      <w:pPr>
        <w:pageBreakBefore w:val="0"/>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致：</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根据贵方为项目的招标公告（招标编号：</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），本人代表投标人（投标人名称），提交投标文件。</w:t>
      </w:r>
    </w:p>
    <w:p>
      <w:pPr>
        <w:pageBreakBefore w:val="0"/>
        <w:tabs>
          <w:tab w:val="center" w:pos="4396"/>
        </w:tabs>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据此函，本人宣布如下承诺：</w:t>
      </w:r>
      <w:r>
        <w:rPr>
          <w:rFonts w:hint="eastAsia" w:ascii="宋体" w:hAnsi="宋体" w:eastAsia="宋体" w:cs="宋体"/>
          <w:color w:val="auto"/>
          <w:sz w:val="21"/>
          <w:szCs w:val="21"/>
        </w:rPr>
        <w:tab/>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所附“开标一览表”规定的应提供和交付的项目投标总价为：人民币（大写）</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我方将按招标文件的规定履行合同责任和义务。</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我方已详细审查全部招标文件，包括修改文件（如有的话）以及全部参考资料和有关附件。</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我方的投标自投标截止之日起有效期为90天，如在此之前撤回投标，我方的投标保证金将被贵方没收。</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我方同意提供按照贵方要求的与我方投标有关的一切数据或资料，理解贵方不一定要接受最低报价的投标。</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我方提供的服务参数优于或等于为招标人基本技术要求，无负偏离。否则，可能导致的严重影响投标人投标优势的后果，我方自行负责。</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我方理解招标人关于数量、单价及报价要求的具体规定，我方将严格按照招标文件的有关要求进行投标，如中标，同标准签订合同。</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为了保证项目的顺利进行，我方理解在本次项目合同执行期间因临时紧急采购、或者取消中标人部分或全部服务资格等原因，招标人可能与本次评标结果中排名第二的备选中标人签订相应服务合同。</w:t>
      </w:r>
    </w:p>
    <w:p>
      <w:pPr>
        <w:pageBreakBefore w:val="0"/>
        <w:numPr>
          <w:ilvl w:val="0"/>
          <w:numId w:val="24"/>
        </w:numPr>
        <w:kinsoku/>
        <w:wordWrap/>
        <w:overflowPunct/>
        <w:topLinePunct w:val="0"/>
        <w:bidi w:val="0"/>
        <w:adjustRightInd w:val="0"/>
        <w:snapToGrid w:val="0"/>
        <w:spacing w:line="360" w:lineRule="auto"/>
        <w:ind w:left="425" w:leftChars="0" w:right="0" w:hanging="425" w:firstLineChars="0"/>
        <w:rPr>
          <w:rFonts w:hint="eastAsia" w:ascii="宋体" w:hAnsi="宋体" w:eastAsia="宋体" w:cs="宋体"/>
          <w:color w:val="auto"/>
          <w:sz w:val="21"/>
          <w:szCs w:val="21"/>
        </w:rPr>
      </w:pPr>
      <w:r>
        <w:rPr>
          <w:rFonts w:hint="eastAsia" w:ascii="宋体" w:hAnsi="宋体" w:eastAsia="宋体" w:cs="宋体"/>
          <w:color w:val="auto"/>
          <w:sz w:val="21"/>
          <w:szCs w:val="21"/>
        </w:rPr>
        <w:t>与本投标有关的一切正式往来通讯请寄：</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地址：</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邮编：</w:t>
      </w:r>
    </w:p>
    <w:p>
      <w:pPr>
        <w:pageBreakBefore w:val="0"/>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投标人法定代表人姓名、职务（印刷体）：</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投标人名称：</w:t>
      </w:r>
      <w:r>
        <w:rPr>
          <w:rFonts w:hint="eastAsia" w:ascii="宋体" w:hAnsi="宋体" w:eastAsia="宋体" w:cs="宋体"/>
          <w:color w:val="auto"/>
          <w:sz w:val="21"/>
          <w:szCs w:val="21"/>
        </w:rPr>
        <w:t>（加盖公章）</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法定代表人签字（或其委托的全权代表人）：</w:t>
      </w:r>
    </w:p>
    <w:p>
      <w:pPr>
        <w:pageBreakBefore w:val="0"/>
        <w:kinsoku/>
        <w:wordWrap/>
        <w:overflowPunct/>
        <w:topLinePunct w:val="0"/>
        <w:bidi w:val="0"/>
        <w:adjustRightInd w:val="0"/>
        <w:snapToGrid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pPr>
        <w:pageBreakBefore w:val="0"/>
        <w:kinsoku/>
        <w:wordWrap/>
        <w:overflowPunct/>
        <w:topLinePunct w:val="0"/>
        <w:bidi w:val="0"/>
        <w:adjustRightInd w:val="0"/>
        <w:snapToGrid w:val="0"/>
        <w:spacing w:line="360" w:lineRule="auto"/>
        <w:ind w:left="0" w:leftChars="0" w:right="0"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注：全权代表须有法定代表人签署的授权委托书。</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附件2. 开标一览表格式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开标一览表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投标人名称：</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招标编号：</w:t>
      </w:r>
      <w:r>
        <w:rPr>
          <w:rFonts w:hint="eastAsia" w:ascii="宋体" w:hAnsi="宋体" w:eastAsia="宋体" w:cs="宋体"/>
          <w:color w:val="auto"/>
          <w:u w:val="single"/>
        </w:rPr>
        <w:t xml:space="preserve">XXXXXXXXXXXXXXXX     </w:t>
      </w:r>
    </w:p>
    <w:p>
      <w:pPr>
        <w:pStyle w:val="28"/>
        <w:pageBreakBefore w:val="0"/>
        <w:kinsoku/>
        <w:wordWrap/>
        <w:overflowPunct/>
        <w:topLinePunct w:val="0"/>
        <w:bidi w:val="0"/>
        <w:spacing w:line="360" w:lineRule="auto"/>
        <w:ind w:left="0" w:leftChars="0" w:right="0" w:firstLine="0" w:firstLineChars="0"/>
        <w:rPr>
          <w:rFonts w:hint="eastAsia" w:ascii="宋体" w:hAnsi="宋体" w:eastAsia="宋体" w:cs="宋体"/>
          <w:color w:val="auto"/>
          <w:u w:val="single"/>
        </w:rPr>
      </w:pPr>
      <w:r>
        <w:rPr>
          <w:rFonts w:hint="eastAsia" w:ascii="宋体" w:hAnsi="宋体" w:eastAsia="宋体" w:cs="宋体"/>
          <w:color w:val="auto"/>
        </w:rPr>
        <w:t>项目名称：</w:t>
      </w:r>
      <w:r>
        <w:rPr>
          <w:rFonts w:hint="eastAsia" w:ascii="宋体" w:hAnsi="宋体" w:eastAsia="宋体" w:cs="宋体"/>
          <w:color w:val="auto"/>
          <w:u w:val="single"/>
        </w:rPr>
        <w:t>XXXXXXXXXXXXXXXXXXXXXXXXXXXXX</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tbl>
      <w:tblPr>
        <w:tblStyle w:val="55"/>
        <w:tblW w:w="88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170"/>
        <w:gridCol w:w="283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jc w:val="center"/>
        </w:trPr>
        <w:tc>
          <w:tcPr>
            <w:tcW w:w="1907"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项目</w:t>
            </w:r>
          </w:p>
        </w:tc>
        <w:tc>
          <w:tcPr>
            <w:tcW w:w="2170"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投标人</w:t>
            </w:r>
          </w:p>
        </w:tc>
        <w:tc>
          <w:tcPr>
            <w:tcW w:w="2835"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投标总价（含税、注明发票类型）</w:t>
            </w:r>
          </w:p>
        </w:tc>
        <w:tc>
          <w:tcPr>
            <w:tcW w:w="1984"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4" w:hRule="atLeast"/>
          <w:jc w:val="center"/>
        </w:trPr>
        <w:tc>
          <w:tcPr>
            <w:tcW w:w="1907"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2170"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rPr>
              <w:t>总服务价格（含增值税价（服务类专用））</w:t>
            </w:r>
          </w:p>
        </w:tc>
        <w:tc>
          <w:tcPr>
            <w:tcW w:w="2835"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984" w:type="dxa"/>
            <w:vAlign w:val="center"/>
          </w:tcPr>
          <w:p>
            <w:pPr>
              <w:pageBreakBefore w:val="0"/>
              <w:tabs>
                <w:tab w:val="left" w:pos="654"/>
                <w:tab w:val="left" w:pos="1734"/>
                <w:tab w:val="left" w:pos="2814"/>
                <w:tab w:val="left" w:pos="3894"/>
                <w:tab w:val="left" w:pos="5334"/>
                <w:tab w:val="left" w:pos="6414"/>
                <w:tab w:val="left" w:pos="7254"/>
                <w:tab w:val="left" w:pos="8574"/>
                <w:tab w:val="left" w:pos="9654"/>
              </w:tabs>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bl>
    <w:p>
      <w:pPr>
        <w:pStyle w:val="28"/>
        <w:pageBreakBefore w:val="0"/>
        <w:kinsoku/>
        <w:wordWrap/>
        <w:overflowPunct/>
        <w:topLinePunct w:val="0"/>
        <w:bidi w:val="0"/>
        <w:spacing w:line="360" w:lineRule="auto"/>
        <w:ind w:left="0" w:leftChars="0" w:right="0" w:firstLine="0" w:firstLineChars="0"/>
        <w:rPr>
          <w:rFonts w:hint="eastAsia" w:ascii="宋体" w:hAnsi="宋体" w:eastAsia="宋体" w:cs="宋体"/>
          <w:b/>
          <w:bCs/>
          <w:color w:val="auto"/>
          <w:sz w:val="21"/>
          <w:szCs w:val="21"/>
        </w:rPr>
      </w:pP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r>
        <w:rPr>
          <w:rFonts w:hint="eastAsia" w:ascii="宋体" w:hAnsi="宋体" w:eastAsia="宋体" w:cs="宋体"/>
          <w:color w:val="auto"/>
          <w:sz w:val="21"/>
          <w:szCs w:val="21"/>
        </w:rPr>
        <w:tab/>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630" w:leftChars="0" w:right="0" w:hanging="630" w:hangingChars="30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此表应按投标人须知的规定密封标记并与授权委托书、投标保证金汇入情况说明及投标保证金汇款底单复印件一同密封装入开标文件，开标文件单独提交。</w:t>
      </w:r>
    </w:p>
    <w:p>
      <w:pPr>
        <w:pageBreakBefore w:val="0"/>
        <w:numPr>
          <w:ilvl w:val="0"/>
          <w:numId w:val="0"/>
        </w:numPr>
        <w:kinsoku/>
        <w:wordWrap/>
        <w:overflowPunct/>
        <w:topLinePunct w:val="0"/>
        <w:bidi w:val="0"/>
        <w:spacing w:line="360" w:lineRule="auto"/>
        <w:ind w:leftChars="200" w:right="0" w:rightChars="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依据招标文件第二章《合同条款》条款规定，如无特殊说明，本招标文件中所称“交货期”指所有货物运抵现场安装调试完毕后交付用户验收的日期。</w:t>
      </w:r>
    </w:p>
    <w:p>
      <w:pPr>
        <w:pageBreakBefore w:val="0"/>
        <w:numPr>
          <w:ilvl w:val="0"/>
          <w:numId w:val="0"/>
        </w:numPr>
        <w:kinsoku/>
        <w:wordWrap/>
        <w:overflowPunct/>
        <w:topLinePunct w:val="0"/>
        <w:bidi w:val="0"/>
        <w:spacing w:line="360" w:lineRule="auto"/>
        <w:ind w:leftChars="200" w:right="0" w:rightChars="0"/>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温馨提示：未按招标文件要求报价、填写开标一览表是导致投标人废标的常见问题，请投标人仔细填写，认真核对。</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附件3.投标分项报价表格式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投标分项报价表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投标人名称：</w:t>
      </w:r>
      <w:r>
        <w:rPr>
          <w:rFonts w:hint="eastAsia" w:ascii="宋体" w:hAnsi="宋体" w:eastAsia="宋体" w:cs="宋体"/>
          <w:color w:val="auto"/>
          <w:u w:val="single"/>
        </w:rPr>
        <w:t>　　　　　　　　　　</w:t>
      </w:r>
      <w:r>
        <w:rPr>
          <w:rFonts w:hint="eastAsia" w:ascii="宋体" w:hAnsi="宋体" w:eastAsia="宋体" w:cs="宋体"/>
          <w:color w:val="auto"/>
        </w:rPr>
        <w:t>　　招标编号：</w:t>
      </w:r>
      <w:r>
        <w:rPr>
          <w:rFonts w:hint="eastAsia" w:ascii="宋体" w:hAnsi="宋体" w:eastAsia="宋体" w:cs="宋体"/>
          <w:color w:val="auto"/>
          <w:u w:val="single"/>
        </w:rPr>
        <w:t>　　　　　　　　　　　</w:t>
      </w:r>
    </w:p>
    <w:p>
      <w:pPr>
        <w:pageBreakBefore w:val="0"/>
        <w:kinsoku/>
        <w:wordWrap/>
        <w:overflowPunct/>
        <w:topLinePunct w:val="0"/>
        <w:bidi w:val="0"/>
        <w:snapToGrid w:val="0"/>
        <w:spacing w:line="360" w:lineRule="auto"/>
        <w:ind w:left="0" w:leftChars="0" w:right="0" w:firstLine="0" w:firstLineChars="0"/>
        <w:rPr>
          <w:rFonts w:hint="eastAsia" w:ascii="宋体" w:hAnsi="宋体" w:eastAsia="宋体" w:cs="宋体"/>
          <w:b/>
          <w:bCs/>
          <w:color w:val="auto"/>
          <w:szCs w:val="21"/>
        </w:rPr>
      </w:pPr>
    </w:p>
    <w:tbl>
      <w:tblPr>
        <w:tblStyle w:val="55"/>
        <w:tblW w:w="8640" w:type="dxa"/>
        <w:jc w:val="center"/>
        <w:tblLayout w:type="fixed"/>
        <w:tblCellMar>
          <w:top w:w="0" w:type="dxa"/>
          <w:left w:w="108" w:type="dxa"/>
          <w:bottom w:w="0" w:type="dxa"/>
          <w:right w:w="108" w:type="dxa"/>
        </w:tblCellMar>
      </w:tblPr>
      <w:tblGrid>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285"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序号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项目名称</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材质</w:t>
            </w:r>
          </w:p>
        </w:tc>
        <w:tc>
          <w:tcPr>
            <w:tcW w:w="108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面积</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单价</w:t>
            </w:r>
          </w:p>
        </w:tc>
        <w:tc>
          <w:tcPr>
            <w:tcW w:w="1080" w:type="dxa"/>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总价</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备注</w:t>
            </w:r>
          </w:p>
        </w:tc>
      </w:tr>
      <w:tr>
        <w:tblPrEx>
          <w:tblCellMar>
            <w:top w:w="0" w:type="dxa"/>
            <w:left w:w="108" w:type="dxa"/>
            <w:bottom w:w="0" w:type="dxa"/>
            <w:right w:w="108" w:type="dxa"/>
          </w:tblCellMar>
        </w:tblPrEx>
        <w:trPr>
          <w:trHeight w:val="285"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单位</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（万元）</w:t>
            </w: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1</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2</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3</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1080" w:type="dxa"/>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4</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85" w:hRule="atLeast"/>
          <w:jc w:val="center"/>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w:t>
            </w:r>
          </w:p>
        </w:tc>
      </w:tr>
      <w:tr>
        <w:tblPrEx>
          <w:tblCellMar>
            <w:top w:w="0" w:type="dxa"/>
            <w:left w:w="108" w:type="dxa"/>
            <w:bottom w:w="0" w:type="dxa"/>
            <w:right w:w="108" w:type="dxa"/>
          </w:tblCellMar>
        </w:tblPrEx>
        <w:trPr>
          <w:trHeight w:val="285" w:hRule="atLeast"/>
          <w:jc w:val="center"/>
        </w:trPr>
        <w:tc>
          <w:tcPr>
            <w:tcW w:w="864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投标总报价：                 （万元）</w:t>
            </w:r>
          </w:p>
        </w:tc>
      </w:tr>
    </w:tbl>
    <w:p>
      <w:pPr>
        <w:pageBreakBefore w:val="0"/>
        <w:kinsoku/>
        <w:wordWrap/>
        <w:overflowPunct/>
        <w:topLinePunct w:val="0"/>
        <w:bidi w:val="0"/>
        <w:snapToGrid w:val="0"/>
        <w:spacing w:line="360" w:lineRule="auto"/>
        <w:ind w:left="0" w:leftChars="0" w:right="0" w:firstLine="0" w:firstLineChars="0"/>
        <w:rPr>
          <w:rFonts w:hint="eastAsia" w:ascii="宋体" w:hAnsi="宋体" w:eastAsia="宋体" w:cs="宋体"/>
          <w:b/>
          <w:bCs/>
          <w:color w:val="auto"/>
          <w:szCs w:val="21"/>
        </w:rPr>
      </w:pPr>
    </w:p>
    <w:p>
      <w:pPr>
        <w:pageBreakBefore w:val="0"/>
        <w:kinsoku/>
        <w:wordWrap/>
        <w:overflowPunct/>
        <w:topLinePunct w:val="0"/>
        <w:bidi w:val="0"/>
        <w:snapToGrid w:val="0"/>
        <w:spacing w:line="360" w:lineRule="auto"/>
        <w:ind w:left="0" w:leftChars="0" w:right="0" w:firstLine="0" w:firstLineChars="0"/>
        <w:rPr>
          <w:rFonts w:hint="eastAsia" w:ascii="宋体" w:hAnsi="宋体" w:eastAsia="宋体" w:cs="宋体"/>
          <w:b/>
          <w:bCs/>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注：</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上述各项的详细分项报价，应另页描述。</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rPr>
        <w:t>详细分项报价必须提供相应的品牌、规格型号、产地、维保服务单价、数量、小计、合计等详细信息。</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1"/>
          <w:szCs w:val="21"/>
        </w:rPr>
      </w:pP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 w:val="24"/>
        </w:rPr>
      </w:pPr>
      <w:r>
        <w:rPr>
          <w:rFonts w:hint="eastAsia" w:ascii="宋体" w:hAnsi="宋体" w:eastAsia="宋体" w:cs="宋体"/>
          <w:color w:val="auto"/>
          <w:sz w:val="24"/>
        </w:rPr>
        <w:t>附件4.投标报价函</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Cs/>
          <w:color w:val="auto"/>
          <w:sz w:val="30"/>
          <w:szCs w:val="30"/>
        </w:rPr>
      </w:pPr>
      <w:r>
        <w:rPr>
          <w:rFonts w:hint="eastAsia" w:ascii="宋体" w:hAnsi="宋体" w:eastAsia="宋体" w:cs="宋体"/>
          <w:bCs/>
          <w:color w:val="auto"/>
          <w:sz w:val="30"/>
          <w:szCs w:val="30"/>
        </w:rPr>
        <w:t>投标报价函</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b/>
          <w:color w:val="auto"/>
          <w:szCs w:val="21"/>
        </w:rPr>
        <w:t>深圳市设计之都运营发展有限公司：</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__________________________(投标人全称)授权___________(代理人姓名)_________(职务、职称)为全权代表，参加贵方组织的_________________________(招标项目名称)招标的有关活动，并对__________________________进行投标。为此：</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提供投标须知规定的全部投标文件；</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项目总价为_______________万元人民币（大写：），服务日期为展会结束日止。</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保证遵守招标文件中的有关规定和收费标准。</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保证忠实地执行买卖双方所签订的合同，并承担合同规定的责任义务。</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愿意向贵方提供任何与该项投标有关的数据、情况和技术资料。</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我方已详细审查全部招标文件，包括修改意见（如有），以及全部参考资料和有关附件，完全理解并同意放弃对这方面有不明产生误解而要求招标人解释和承担责任的权利。</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我们理解，招标人不负担我们的任何投标费用。</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在投标文件有效期间被你方接受的上述文件对我方一直具有约束力。我方保证在投标文件有效期内不撤回投标文件，除招标文件另有规定外，不修改投标文件。</w:t>
      </w:r>
    </w:p>
    <w:p>
      <w:pPr>
        <w:pStyle w:val="85"/>
        <w:pageBreakBefore w:val="0"/>
        <w:numPr>
          <w:ilvl w:val="0"/>
          <w:numId w:val="25"/>
        </w:numPr>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highlight w:val="none"/>
        </w:rPr>
        <w:t>随同本投标书，我们附上投标保证书一份，作为我方投标的担保</w:t>
      </w:r>
      <w:r>
        <w:rPr>
          <w:rFonts w:hint="eastAsia" w:ascii="宋体" w:hAnsi="宋体" w:eastAsia="宋体" w:cs="宋体"/>
          <w:color w:val="auto"/>
          <w:szCs w:val="21"/>
        </w:rPr>
        <w:t>。如果我们在投标书有效期内撤回投标书；或在接到中标通知书后未能或拒绝签订合同协议书，你单位有权另选中标单位。</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投标人（盖单位公章）：____________________</w:t>
      </w:r>
    </w:p>
    <w:p>
      <w:pPr>
        <w:pStyle w:val="85"/>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法定代表人或委托代理人（签字）：___________</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附件5.诚信投标承诺书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lang w:eastAsia="zh-CN"/>
        </w:rPr>
      </w:pPr>
      <w:r>
        <w:rPr>
          <w:rFonts w:hint="eastAsia" w:ascii="宋体" w:hAnsi="宋体" w:eastAsia="宋体" w:cs="宋体"/>
          <w:bCs/>
          <w:color w:val="auto"/>
          <w:sz w:val="32"/>
          <w:szCs w:val="32"/>
        </w:rPr>
        <w:t>诚信投标承诺书</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（同投标文件提交）</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本企业郑重承诺：</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遵循公开、公平、公正和诚实信用的原则参加</w:t>
      </w:r>
      <w:r>
        <w:rPr>
          <w:rFonts w:hint="eastAsia" w:ascii="宋体" w:hAnsi="宋体" w:eastAsia="宋体" w:cs="宋体"/>
          <w:color w:val="auto"/>
          <w:szCs w:val="21"/>
          <w:u w:val="none"/>
        </w:rPr>
        <w:t>深圳市设计之都运营发展有限公司</w:t>
      </w:r>
      <w:r>
        <w:rPr>
          <w:rFonts w:hint="eastAsia" w:ascii="宋体" w:hAnsi="宋体" w:cs="宋体"/>
          <w:color w:val="auto"/>
          <w:szCs w:val="21"/>
          <w:u w:val="none"/>
          <w:lang w:val="en-US" w:eastAsia="zh-CN"/>
        </w:rPr>
        <w:t xml:space="preserve"> XXXXXXXX </w:t>
      </w:r>
      <w:r>
        <w:rPr>
          <w:rFonts w:hint="eastAsia" w:ascii="宋体" w:hAnsi="宋体" w:cs="宋体"/>
          <w:color w:val="auto"/>
          <w:lang w:val="en-US" w:eastAsia="zh-CN"/>
        </w:rPr>
        <w:t>项目企业</w:t>
      </w:r>
      <w:r>
        <w:rPr>
          <w:rFonts w:hint="eastAsia" w:ascii="宋体" w:hAnsi="宋体" w:eastAsia="宋体" w:cs="宋体"/>
          <w:color w:val="auto"/>
        </w:rPr>
        <w:t>投标；</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所提供的一切材料都是真实、有效、合法的；</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不与其他投标人相互串通投标报价，不排挤其他投标人的公平竞争，损害招标人 或其他投标人的合法权益；</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不与招标人串通投标，损害国家利益、社会公共利益或者他人的合法权益；</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不向招标人或者评标委员会成员行贿以牟取中标；</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不以他人名义投标或者以其他方式弄虚作假，骗取中标；</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不出卖资质，让他人挂靠投标；</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不恶意压低或抬高投标报价；</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不扰乱</w:t>
      </w:r>
      <w:r>
        <w:rPr>
          <w:rFonts w:hint="eastAsia" w:ascii="宋体" w:hAnsi="宋体" w:eastAsia="宋体" w:cs="宋体"/>
          <w:color w:val="auto"/>
          <w:szCs w:val="21"/>
          <w:u w:val="none"/>
        </w:rPr>
        <w:t>深圳市设计之都运营发展有限公司</w:t>
      </w:r>
      <w:r>
        <w:rPr>
          <w:rFonts w:hint="eastAsia" w:ascii="宋体" w:hAnsi="宋体" w:cs="宋体"/>
          <w:color w:val="auto"/>
          <w:szCs w:val="21"/>
          <w:lang w:eastAsia="zh-CN"/>
        </w:rPr>
        <w:t>2024年第十三届深圳动漫节格斗电竞大赛</w:t>
      </w:r>
      <w:r>
        <w:rPr>
          <w:rFonts w:hint="eastAsia" w:ascii="宋体" w:hAnsi="宋体" w:eastAsia="宋体" w:cs="宋体"/>
          <w:color w:val="auto"/>
        </w:rPr>
        <w:t>企业投标市场秩序；</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不在开标后进行虚假恶意投诉。</w:t>
      </w:r>
    </w:p>
    <w:p>
      <w:pPr>
        <w:pageBreakBefore w:val="0"/>
        <w:numPr>
          <w:ilvl w:val="0"/>
          <w:numId w:val="26"/>
        </w:numPr>
        <w:kinsoku/>
        <w:wordWrap/>
        <w:overflowPunct/>
        <w:topLinePunct w:val="0"/>
        <w:bidi w:val="0"/>
        <w:spacing w:line="360" w:lineRule="auto"/>
        <w:ind w:left="0" w:leftChars="0" w:right="0" w:firstLine="0" w:firstLineChars="0"/>
        <w:rPr>
          <w:rFonts w:hint="eastAsia"/>
        </w:rPr>
      </w:pPr>
      <w:r>
        <w:rPr>
          <w:rFonts w:hint="eastAsia" w:ascii="宋体" w:hAnsi="宋体" w:eastAsia="宋体" w:cs="宋体"/>
          <w:color w:val="auto"/>
        </w:rPr>
        <w:t>无故不按时领取招标文件、不按时参加标前答疑、不按时递交投标文件，愿意接受取消本投标人在</w:t>
      </w:r>
      <w:r>
        <w:rPr>
          <w:rFonts w:hint="eastAsia" w:ascii="宋体" w:hAnsi="宋体" w:eastAsia="宋体" w:cs="宋体"/>
          <w:color w:val="auto"/>
          <w:szCs w:val="21"/>
        </w:rPr>
        <w:t>深圳市设计之都运营发展有限公司</w:t>
      </w:r>
      <w:r>
        <w:rPr>
          <w:rFonts w:hint="eastAsia" w:ascii="宋体" w:hAnsi="宋体" w:cs="宋体"/>
          <w:color w:val="auto"/>
          <w:szCs w:val="21"/>
          <w:lang w:eastAsia="zh-CN"/>
        </w:rPr>
        <w:t>2024年第十三届深圳动漫节格斗电竞大赛</w:t>
      </w:r>
      <w:r>
        <w:rPr>
          <w:rFonts w:hint="eastAsia" w:ascii="宋体" w:hAnsi="宋体" w:eastAsia="宋体" w:cs="宋体"/>
          <w:color w:val="auto"/>
        </w:rPr>
        <w:t>企业投标报名资格。</w:t>
      </w:r>
    </w:p>
    <w:p>
      <w:pPr>
        <w:pageBreakBefore w:val="0"/>
        <w:numPr>
          <w:ilvl w:val="0"/>
          <w:numId w:val="26"/>
        </w:numPr>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本公司若有违反本承诺内容的行为，愿意承担法律责任。</w:t>
      </w:r>
    </w:p>
    <w:p>
      <w:pPr>
        <w:pageBreakBefore w:val="0"/>
        <w:numPr>
          <w:ilvl w:val="-1"/>
          <w:numId w:val="0"/>
        </w:numPr>
        <w:kinsoku/>
        <w:wordWrap/>
        <w:overflowPunct/>
        <w:topLinePunct w:val="0"/>
        <w:bidi w:val="0"/>
        <w:spacing w:line="360" w:lineRule="auto"/>
        <w:ind w:left="0" w:leftChars="0" w:right="0" w:firstLine="0" w:firstLineChars="0"/>
        <w:rPr>
          <w:rFonts w:hint="eastAsia" w:ascii="宋体" w:hAnsi="宋体" w:eastAsia="宋体" w:cs="宋体"/>
          <w:color w:val="auto"/>
        </w:rPr>
      </w:pPr>
    </w:p>
    <w:p>
      <w:pPr>
        <w:spacing w:line="360" w:lineRule="auto"/>
        <w:jc w:val="both"/>
        <w:rPr>
          <w:rFonts w:hint="eastAsia" w:ascii="宋体" w:hAnsi="宋体" w:cs="宋体"/>
          <w:color w:val="auto"/>
          <w:highlight w:val="none"/>
        </w:rPr>
      </w:pPr>
      <w:r>
        <w:rPr>
          <w:rFonts w:hint="eastAsia" w:ascii="宋体" w:hAnsi="宋体" w:cs="宋体"/>
          <w:color w:val="auto"/>
          <w:highlight w:val="none"/>
        </w:rPr>
        <w:t>投标人（盖章）</w:t>
      </w:r>
    </w:p>
    <w:p>
      <w:pPr>
        <w:spacing w:line="360" w:lineRule="auto"/>
        <w:jc w:val="both"/>
        <w:rPr>
          <w:rFonts w:hint="eastAsia" w:ascii="宋体" w:hAnsi="宋体" w:cs="宋体"/>
          <w:color w:val="auto"/>
          <w:highlight w:val="none"/>
        </w:rPr>
      </w:pPr>
      <w:r>
        <w:rPr>
          <w:rFonts w:hint="eastAsia" w:ascii="宋体" w:hAnsi="宋体" w:cs="宋体"/>
          <w:color w:val="auto"/>
          <w:highlight w:val="none"/>
        </w:rPr>
        <w:t>法定代表人（签字、盖章）</w:t>
      </w:r>
    </w:p>
    <w:p>
      <w:pPr>
        <w:spacing w:line="360" w:lineRule="auto"/>
        <w:jc w:val="both"/>
        <w:rPr>
          <w:rFonts w:hint="eastAsia" w:ascii="宋体" w:hAnsi="宋体" w:eastAsia="宋体" w:cs="宋体"/>
          <w:color w:val="auto"/>
          <w:sz w:val="32"/>
          <w:szCs w:val="32"/>
          <w:highlight w:val="none"/>
        </w:rPr>
      </w:pPr>
      <w:r>
        <w:rPr>
          <w:rFonts w:hint="eastAsia" w:ascii="宋体" w:hAnsi="宋体" w:cs="宋体"/>
          <w:color w:val="auto"/>
          <w:highlight w:val="none"/>
        </w:rPr>
        <w:t>年</w:t>
      </w:r>
      <w:r>
        <w:rPr>
          <w:rFonts w:hint="eastAsia" w:ascii="宋体" w:hAnsi="宋体" w:cs="宋体"/>
          <w:color w:val="auto"/>
          <w:highlight w:val="none"/>
          <w:lang w:val="en-US" w:eastAsia="zh-CN"/>
        </w:rPr>
        <w:t xml:space="preserve">   </w:t>
      </w:r>
      <w:r>
        <w:rPr>
          <w:rFonts w:hint="eastAsia" w:ascii="宋体" w:hAnsi="宋体" w:cs="宋体"/>
          <w:color w:val="auto"/>
          <w:highlight w:val="none"/>
        </w:rPr>
        <w:t>月</w:t>
      </w:r>
      <w:r>
        <w:rPr>
          <w:rFonts w:hint="eastAsia" w:ascii="宋体" w:hAnsi="宋体" w:cs="宋体"/>
          <w:color w:val="auto"/>
          <w:highlight w:val="none"/>
          <w:lang w:val="en-US" w:eastAsia="zh-CN"/>
        </w:rPr>
        <w:t xml:space="preserve">   </w:t>
      </w:r>
      <w:r>
        <w:rPr>
          <w:rFonts w:hint="eastAsia" w:ascii="宋体" w:hAnsi="宋体" w:cs="宋体"/>
          <w:color w:val="auto"/>
          <w:highlight w:val="none"/>
        </w:rPr>
        <w:t>日</w:t>
      </w:r>
    </w:p>
    <w:p>
      <w:pPr>
        <w:rPr>
          <w:rFonts w:hint="eastAsia" w:ascii="宋体" w:hAnsi="宋体" w:eastAsia="宋体" w:cs="宋体"/>
          <w:color w:val="auto"/>
          <w:sz w:val="24"/>
        </w:rPr>
      </w:pPr>
      <w:r>
        <w:rPr>
          <w:rFonts w:hint="eastAsia" w:ascii="宋体" w:hAnsi="宋体" w:eastAsia="宋体" w:cs="宋体"/>
          <w:color w:val="auto"/>
          <w:sz w:val="24"/>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附件6.方案格式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32"/>
          <w:szCs w:val="32"/>
        </w:rPr>
      </w:pPr>
      <w:r>
        <w:rPr>
          <w:rFonts w:hint="eastAsia" w:ascii="宋体" w:hAnsi="宋体" w:eastAsia="宋体" w:cs="宋体"/>
          <w:color w:val="auto"/>
          <w:sz w:val="32"/>
          <w:szCs w:val="32"/>
        </w:rPr>
        <w:t>XX方案</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需求分析。</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说明资料。</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本部分内容是投标人根据招标技术需求对其投标方案的描述，主要包括技术说明一览表（附件4－1)及各项货物详细技术性能文件等。</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项目实施方案及进度安排。</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实施本项目的有关人员资料表（附件4－2)。</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bCs/>
          <w:color w:val="auto"/>
        </w:rPr>
      </w:pPr>
      <w:r>
        <w:rPr>
          <w:rFonts w:hint="eastAsia" w:ascii="宋体" w:hAnsi="宋体" w:eastAsia="宋体" w:cs="宋体"/>
          <w:color w:val="auto"/>
        </w:rPr>
        <w:t>招标文件“用户需求书”中要求的其他资料。</w:t>
      </w:r>
    </w:p>
    <w:p>
      <w:pPr>
        <w:pageBreakBefore w:val="0"/>
        <w:numPr>
          <w:ilvl w:val="0"/>
          <w:numId w:val="27"/>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bCs/>
          <w:color w:val="auto"/>
        </w:rPr>
        <w:t>其他与各类方案有关的资料。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br w:type="page"/>
      </w:r>
      <w:r>
        <w:rPr>
          <w:rFonts w:hint="eastAsia" w:ascii="宋体" w:hAnsi="宋体" w:eastAsia="宋体" w:cs="宋体"/>
          <w:color w:val="auto"/>
          <w:sz w:val="24"/>
        </w:rPr>
        <w:t>附件7.实施本项目的有关人员资料表格式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实施本项目的有关人员资料表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投标人名称：</w:t>
      </w:r>
      <w:r>
        <w:rPr>
          <w:rFonts w:hint="eastAsia" w:ascii="宋体" w:hAnsi="宋体" w:eastAsia="宋体" w:cs="宋体"/>
          <w:color w:val="auto"/>
          <w:u w:val="single"/>
        </w:rPr>
        <w:t>　　　　　　　　　　</w:t>
      </w:r>
      <w:r>
        <w:rPr>
          <w:rFonts w:hint="eastAsia" w:ascii="宋体" w:hAnsi="宋体" w:eastAsia="宋体" w:cs="宋体"/>
          <w:color w:val="auto"/>
        </w:rPr>
        <w:t>　　招标编号：</w:t>
      </w:r>
      <w:r>
        <w:rPr>
          <w:rFonts w:hint="eastAsia" w:ascii="宋体" w:hAnsi="宋体" w:eastAsia="宋体" w:cs="宋体"/>
          <w:color w:val="auto"/>
          <w:u w:val="single"/>
        </w:rPr>
        <w:t>　　　　　　　　　　　</w:t>
      </w:r>
    </w:p>
    <w:tbl>
      <w:tblPr>
        <w:tblStyle w:val="55"/>
        <w:tblW w:w="8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834"/>
        <w:gridCol w:w="835"/>
        <w:gridCol w:w="818"/>
        <w:gridCol w:w="835"/>
        <w:gridCol w:w="1970"/>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834"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姓名</w:t>
            </w:r>
          </w:p>
        </w:tc>
        <w:tc>
          <w:tcPr>
            <w:tcW w:w="835"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职务</w:t>
            </w:r>
          </w:p>
        </w:tc>
        <w:tc>
          <w:tcPr>
            <w:tcW w:w="818"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学历</w:t>
            </w:r>
          </w:p>
        </w:tc>
        <w:tc>
          <w:tcPr>
            <w:tcW w:w="835" w:type="dxa"/>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职称</w:t>
            </w:r>
          </w:p>
        </w:tc>
        <w:tc>
          <w:tcPr>
            <w:tcW w:w="4708" w:type="dxa"/>
            <w:gridSpan w:val="2"/>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过往案例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0"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Merge w:val="continue"/>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案例名称</w:t>
            </w: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担任工作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4"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1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835"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970"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738"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 w:val="24"/>
        </w:rPr>
        <w:t>附件8.偏离表格式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
          <w:bCs/>
          <w:color w:val="auto"/>
          <w:szCs w:val="21"/>
        </w:rPr>
      </w:pPr>
      <w:r>
        <w:rPr>
          <w:rFonts w:hint="eastAsia" w:ascii="宋体" w:hAnsi="宋体" w:eastAsia="宋体" w:cs="宋体"/>
          <w:b/>
          <w:bCs/>
          <w:color w:val="auto"/>
          <w:szCs w:val="21"/>
        </w:rPr>
        <w:t>商务条款响应表</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b/>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r>
        <w:rPr>
          <w:rFonts w:hint="eastAsia" w:ascii="宋体" w:hAnsi="宋体" w:eastAsia="宋体" w:cs="宋体"/>
          <w:color w:val="auto"/>
          <w:szCs w:val="21"/>
        </w:rPr>
        <w:t>投标人名称</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p>
    <w:tbl>
      <w:tblPr>
        <w:tblStyle w:val="55"/>
        <w:tblW w:w="8476" w:type="dxa"/>
        <w:jc w:val="center"/>
        <w:tblLayout w:type="fixed"/>
        <w:tblCellMar>
          <w:top w:w="0" w:type="dxa"/>
          <w:left w:w="108" w:type="dxa"/>
          <w:bottom w:w="0" w:type="dxa"/>
          <w:right w:w="108" w:type="dxa"/>
        </w:tblCellMar>
      </w:tblPr>
      <w:tblGrid>
        <w:gridCol w:w="1642"/>
        <w:gridCol w:w="1500"/>
        <w:gridCol w:w="1087"/>
        <w:gridCol w:w="1376"/>
        <w:gridCol w:w="1633"/>
        <w:gridCol w:w="1238"/>
      </w:tblGrid>
      <w:tr>
        <w:tblPrEx>
          <w:tblCellMar>
            <w:top w:w="0" w:type="dxa"/>
            <w:left w:w="108" w:type="dxa"/>
            <w:bottom w:w="0" w:type="dxa"/>
            <w:right w:w="108" w:type="dxa"/>
          </w:tblCellMar>
        </w:tblPrEx>
        <w:trPr>
          <w:trHeight w:val="270" w:hRule="atLeast"/>
          <w:jc w:val="center"/>
        </w:trPr>
        <w:tc>
          <w:tcPr>
            <w:tcW w:w="4229"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招标文件商务要求</w:t>
            </w:r>
          </w:p>
        </w:tc>
        <w:tc>
          <w:tcPr>
            <w:tcW w:w="4247" w:type="dxa"/>
            <w:gridSpan w:val="3"/>
            <w:tcBorders>
              <w:top w:val="single" w:color="auto" w:sz="4" w:space="0"/>
              <w:left w:val="nil"/>
              <w:bottom w:val="single" w:color="auto" w:sz="4" w:space="0"/>
              <w:right w:val="single" w:color="000000"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投标人响应</w:t>
            </w:r>
          </w:p>
        </w:tc>
      </w:tr>
      <w:tr>
        <w:tblPrEx>
          <w:tblCellMar>
            <w:top w:w="0" w:type="dxa"/>
            <w:left w:w="108" w:type="dxa"/>
            <w:bottom w:w="0" w:type="dxa"/>
            <w:right w:w="108" w:type="dxa"/>
          </w:tblCellMar>
        </w:tblPrEx>
        <w:trPr>
          <w:trHeight w:val="510" w:hRule="atLeast"/>
          <w:jc w:val="center"/>
        </w:trPr>
        <w:tc>
          <w:tcPr>
            <w:tcW w:w="1642"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需求名称</w:t>
            </w:r>
          </w:p>
        </w:tc>
        <w:tc>
          <w:tcPr>
            <w:tcW w:w="1500"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需求说明</w:t>
            </w:r>
          </w:p>
        </w:tc>
        <w:tc>
          <w:tcPr>
            <w:tcW w:w="1087"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偏离选项</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投标人</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是否有偏离</w:t>
            </w:r>
          </w:p>
        </w:tc>
        <w:tc>
          <w:tcPr>
            <w:tcW w:w="1238" w:type="dxa"/>
            <w:vMerge w:val="restart"/>
            <w:tcBorders>
              <w:top w:val="nil"/>
              <w:left w:val="single" w:color="auto" w:sz="4" w:space="0"/>
              <w:bottom w:val="single" w:color="000000"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偏离说明</w:t>
            </w:r>
          </w:p>
        </w:tc>
      </w:tr>
      <w:tr>
        <w:tblPrEx>
          <w:tblCellMar>
            <w:top w:w="0" w:type="dxa"/>
            <w:left w:w="108" w:type="dxa"/>
            <w:bottom w:w="0" w:type="dxa"/>
            <w:right w:w="108" w:type="dxa"/>
          </w:tblCellMar>
        </w:tblPrEx>
        <w:trPr>
          <w:trHeight w:val="525" w:hRule="atLeast"/>
          <w:jc w:val="center"/>
        </w:trPr>
        <w:tc>
          <w:tcPr>
            <w:tcW w:w="1642"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500"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087"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响应情况</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jc w:val="center"/>
              <w:rPr>
                <w:rFonts w:hint="eastAsia" w:ascii="宋体" w:hAnsi="宋体" w:eastAsia="宋体" w:cs="宋体"/>
                <w:color w:val="auto"/>
                <w:kern w:val="0"/>
                <w:szCs w:val="21"/>
              </w:rPr>
            </w:pPr>
            <w:r>
              <w:rPr>
                <w:rFonts w:hint="eastAsia" w:ascii="宋体" w:hAnsi="宋体" w:eastAsia="宋体" w:cs="宋体"/>
                <w:color w:val="auto"/>
                <w:kern w:val="0"/>
                <w:szCs w:val="21"/>
              </w:rPr>
              <w:t>（填写有/无）</w:t>
            </w:r>
          </w:p>
        </w:tc>
        <w:tc>
          <w:tcPr>
            <w:tcW w:w="1238" w:type="dxa"/>
            <w:vMerge w:val="continue"/>
            <w:tcBorders>
              <w:top w:val="nil"/>
              <w:left w:val="single" w:color="auto" w:sz="4" w:space="0"/>
              <w:bottom w:val="single" w:color="000000" w:sz="4" w:space="0"/>
              <w:right w:val="single" w:color="auto" w:sz="4" w:space="0"/>
            </w:tcBorders>
            <w:vAlign w:val="center"/>
          </w:tcPr>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kern w:val="0"/>
                <w:szCs w:val="21"/>
              </w:rPr>
            </w:pPr>
          </w:p>
        </w:tc>
      </w:tr>
      <w:tr>
        <w:tblPrEx>
          <w:tblCellMar>
            <w:top w:w="0" w:type="dxa"/>
            <w:left w:w="108" w:type="dxa"/>
            <w:bottom w:w="0" w:type="dxa"/>
            <w:right w:w="108" w:type="dxa"/>
          </w:tblCellMar>
        </w:tblPrEx>
        <w:trPr>
          <w:trHeight w:val="270" w:hRule="atLeast"/>
          <w:jc w:val="center"/>
        </w:trPr>
        <w:tc>
          <w:tcPr>
            <w:tcW w:w="1642"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0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7"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23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270" w:hRule="atLeast"/>
          <w:jc w:val="center"/>
        </w:trPr>
        <w:tc>
          <w:tcPr>
            <w:tcW w:w="1642" w:type="dxa"/>
            <w:tcBorders>
              <w:top w:val="nil"/>
              <w:left w:val="single" w:color="auto" w:sz="4" w:space="0"/>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500"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087"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376"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633"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c>
          <w:tcPr>
            <w:tcW w:w="1238" w:type="dxa"/>
            <w:tcBorders>
              <w:top w:val="nil"/>
              <w:left w:val="nil"/>
              <w:bottom w:val="single" w:color="auto" w:sz="4" w:space="0"/>
              <w:right w:val="single" w:color="auto" w:sz="4" w:space="0"/>
            </w:tcBorders>
            <w:shd w:val="clear" w:color="000000" w:fill="FFFFFF"/>
            <w:vAlign w:val="center"/>
          </w:tcPr>
          <w:p>
            <w:pPr>
              <w:pageBreakBefore w:val="0"/>
              <w:widowControl/>
              <w:kinsoku/>
              <w:wordWrap/>
              <w:overflowPunct/>
              <w:topLinePunct w:val="0"/>
              <w:bidi w:val="0"/>
              <w:spacing w:line="360" w:lineRule="auto"/>
              <w:ind w:left="0" w:leftChars="0" w:right="0" w:firstLine="0" w:firstLineChars="0"/>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填报说明：</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1.本表中的《招标文件商务条款》来自于招标文件第二章，投标人须逐条对照填写在《投标人响应》下的三栏中。</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color w:val="auto"/>
          <w:szCs w:val="21"/>
        </w:rPr>
      </w:pPr>
      <w:r>
        <w:rPr>
          <w:rFonts w:hint="eastAsia" w:ascii="宋体" w:hAnsi="宋体" w:eastAsia="宋体" w:cs="宋体"/>
          <w:color w:val="auto"/>
          <w:szCs w:val="21"/>
        </w:rPr>
        <w:t>2.《投标人响应情况》栏中须逐条填报投标人对每项要求的具体响应情况，对于需要提供相关证书的填报项，应在该栏中填写相关证书名目，并在本表后附加相关证书复印件（加盖公章）。凡在本栏出现遗漏、不填或完全复制需求说明，将会导致该投标不能通过符合性检查。</w:t>
      </w:r>
    </w:p>
    <w:p>
      <w:pPr>
        <w:pageBreakBefore w:val="0"/>
        <w:kinsoku/>
        <w:wordWrap/>
        <w:overflowPunct/>
        <w:topLinePunct w:val="0"/>
        <w:bidi w:val="0"/>
        <w:spacing w:line="360" w:lineRule="auto"/>
        <w:ind w:left="0" w:leftChars="0" w:right="0" w:firstLine="420" w:firstLineChars="200"/>
        <w:rPr>
          <w:rFonts w:hint="eastAsia" w:ascii="宋体" w:hAnsi="宋体" w:eastAsia="宋体" w:cs="宋体"/>
          <w:b/>
          <w:color w:val="auto"/>
          <w:szCs w:val="21"/>
        </w:rPr>
      </w:pPr>
      <w:r>
        <w:rPr>
          <w:rFonts w:hint="eastAsia" w:ascii="宋体" w:hAnsi="宋体" w:eastAsia="宋体" w:cs="宋体"/>
          <w:color w:val="auto"/>
          <w:szCs w:val="21"/>
        </w:rPr>
        <w:t>3.《是否有偏离》栏只需填有或无，填有的可以在其后《偏离说明》栏中说明理由。</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r>
        <w:rPr>
          <w:rFonts w:hint="eastAsia" w:ascii="宋体" w:hAnsi="宋体" w:eastAsia="宋体" w:cs="宋体"/>
          <w:color w:val="auto"/>
          <w:szCs w:val="21"/>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u w:val="single"/>
        </w:rPr>
      </w:pPr>
      <w:r>
        <w:rPr>
          <w:rFonts w:hint="eastAsia" w:ascii="宋体" w:hAnsi="宋体" w:eastAsia="宋体" w:cs="宋体"/>
          <w:color w:val="auto"/>
          <w:szCs w:val="21"/>
        </w:rPr>
        <w:t>单位盖章：</w:t>
      </w: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Cs w:val="21"/>
          <w:u w:val="single"/>
        </w:rPr>
      </w:pPr>
      <w:r>
        <w:rPr>
          <w:rFonts w:hint="eastAsia" w:ascii="宋体" w:hAnsi="宋体" w:eastAsia="宋体" w:cs="宋体"/>
          <w:color w:val="auto"/>
          <w:szCs w:val="21"/>
          <w:u w:val="single"/>
        </w:rPr>
        <w:br w:type="page"/>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sz w:val="24"/>
        </w:rPr>
        <w:t>附件9.投标保证书</w:t>
      </w:r>
    </w:p>
    <w:p>
      <w:pPr>
        <w:pStyle w:val="4"/>
        <w:pageBreakBefore w:val="0"/>
        <w:kinsoku/>
        <w:wordWrap/>
        <w:overflowPunct/>
        <w:topLinePunct w:val="0"/>
        <w:bidi w:val="0"/>
        <w:spacing w:before="0" w:after="0" w:line="360" w:lineRule="auto"/>
        <w:ind w:left="0" w:leftChars="0" w:right="0" w:firstLine="0" w:firstLineChars="0"/>
        <w:jc w:val="center"/>
        <w:rPr>
          <w:rFonts w:hint="eastAsia" w:ascii="宋体" w:hAnsi="宋体" w:eastAsia="宋体" w:cs="宋体"/>
          <w:b w:val="0"/>
          <w:bCs w:val="0"/>
          <w:color w:val="auto"/>
          <w:sz w:val="21"/>
          <w:szCs w:val="21"/>
        </w:rPr>
      </w:pPr>
      <w:r>
        <w:rPr>
          <w:rFonts w:hint="eastAsia" w:ascii="宋体" w:hAnsi="宋体" w:eastAsia="宋体" w:cs="宋体"/>
          <w:color w:val="auto"/>
          <w:sz w:val="21"/>
          <w:szCs w:val="21"/>
        </w:rPr>
        <w:t>投标保证书格式</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b/>
          <w:color w:val="auto"/>
          <w:szCs w:val="21"/>
        </w:rPr>
        <w:t>深圳市设计之都运营发展有限公司：</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鉴于我单位向你方提交了愿意承担</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合同的投标文件，愿向你方提供如下保证：</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向你方提交人民币（大写）</w:t>
      </w:r>
      <w:r>
        <w:rPr>
          <w:rFonts w:hint="eastAsia" w:ascii="宋体" w:hAnsi="宋体" w:eastAsia="宋体" w:cs="宋体"/>
          <w:b/>
          <w:color w:val="auto"/>
          <w:szCs w:val="21"/>
          <w:u w:val="single"/>
        </w:rPr>
        <w:t>壹仟元</w:t>
      </w:r>
      <w:r>
        <w:rPr>
          <w:rFonts w:hint="eastAsia" w:ascii="宋体" w:hAnsi="宋体" w:eastAsia="宋体" w:cs="宋体"/>
          <w:color w:val="auto"/>
          <w:szCs w:val="21"/>
        </w:rPr>
        <w:t>，作为我单位的投标保证金；</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投标文件有效期为90天，投标保证金有效期为投标有效期后28天。若你方要求延长投标文件的有效期，本保证金的有效期相应延长。</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一旦我单位有下列违反招标文件规定的事实，本保证金将归你方所有，不予退还：</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w:t>
      </w:r>
      <w:r>
        <w:rPr>
          <w:rFonts w:hint="eastAsia" w:ascii="宋体" w:hAnsi="宋体" w:eastAsia="宋体" w:cs="宋体"/>
          <w:color w:val="auto"/>
          <w:szCs w:val="21"/>
        </w:rPr>
        <w:t>在招标文件规定的投标文件的有效期内撤回投标文件；</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val="en-US" w:eastAsia="zh-CN"/>
        </w:rPr>
        <w:t>.</w:t>
      </w:r>
      <w:r>
        <w:rPr>
          <w:rFonts w:hint="eastAsia" w:ascii="宋体" w:hAnsi="宋体" w:eastAsia="宋体" w:cs="宋体"/>
          <w:color w:val="auto"/>
          <w:szCs w:val="21"/>
        </w:rPr>
        <w:t>中标后，拒绝在招标文件规定的期限内签定合同。</w:t>
      </w: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p>
    <w:p>
      <w:pPr>
        <w:pageBreakBefore w:val="0"/>
        <w:tabs>
          <w:tab w:val="left" w:pos="4605"/>
        </w:tabs>
        <w:kinsoku/>
        <w:wordWrap/>
        <w:overflowPunct/>
        <w:topLinePunct w:val="0"/>
        <w:bidi w:val="0"/>
        <w:adjustRightInd w:val="0"/>
        <w:snapToGrid w:val="0"/>
        <w:spacing w:line="360" w:lineRule="auto"/>
        <w:ind w:left="0" w:leftChars="0" w:right="0" w:firstLine="0" w:firstLineChars="0"/>
        <w:rPr>
          <w:rFonts w:hint="eastAsia" w:ascii="宋体" w:hAnsi="宋体" w:eastAsia="宋体" w:cs="宋体"/>
          <w:color w:val="auto"/>
          <w:szCs w:val="21"/>
        </w:rPr>
      </w:pPr>
    </w:p>
    <w:p>
      <w:pPr>
        <w:tabs>
          <w:tab w:val="left" w:pos="4605"/>
        </w:tabs>
        <w:adjustRightInd w:val="0"/>
        <w:snapToGrid w:val="0"/>
        <w:spacing w:before="600" w:line="5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投标人：</w:t>
      </w:r>
    </w:p>
    <w:p>
      <w:pPr>
        <w:tabs>
          <w:tab w:val="left" w:pos="4605"/>
        </w:tabs>
        <w:adjustRightInd w:val="0"/>
        <w:snapToGrid w:val="0"/>
        <w:spacing w:before="240" w:line="500" w:lineRule="exact"/>
        <w:jc w:val="left"/>
        <w:rPr>
          <w:rFonts w:asciiTheme="minorEastAsia" w:hAnsiTheme="minorEastAsia" w:eastAsiaTheme="minorEastAsia"/>
          <w:szCs w:val="21"/>
          <w:u w:val="single"/>
        </w:rPr>
      </w:pPr>
      <w:r>
        <w:rPr>
          <w:rFonts w:hint="eastAsia" w:asciiTheme="minorEastAsia" w:hAnsiTheme="minorEastAsia" w:eastAsiaTheme="minorEastAsia"/>
          <w:szCs w:val="21"/>
        </w:rPr>
        <w:t>法定代表人（或委托代理人）：</w:t>
      </w:r>
    </w:p>
    <w:p>
      <w:pPr>
        <w:adjustRightInd w:val="0"/>
        <w:snapToGrid w:val="0"/>
        <w:spacing w:line="500" w:lineRule="exact"/>
        <w:ind w:firstLine="840" w:firstLineChars="400"/>
        <w:jc w:val="left"/>
        <w:rPr>
          <w:rFonts w:asciiTheme="minorEastAsia" w:hAnsiTheme="minorEastAsia" w:eastAsiaTheme="minorEastAsia"/>
          <w:szCs w:val="21"/>
        </w:rPr>
      </w:pP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24"/>
        </w:rPr>
      </w:pPr>
      <w:r>
        <w:rPr>
          <w:rFonts w:hint="eastAsia" w:ascii="宋体" w:hAnsi="宋体" w:eastAsia="宋体" w:cs="宋体"/>
          <w:color w:val="auto"/>
        </w:rPr>
        <w:br w:type="page"/>
      </w:r>
    </w:p>
    <w:p>
      <w:pPr>
        <w:rPr>
          <w:rFonts w:hint="eastAsia" w:ascii="宋体" w:hAnsi="宋体" w:eastAsia="宋体" w:cs="宋体"/>
          <w:color w:val="auto"/>
        </w:rPr>
      </w:pPr>
      <w:r>
        <w:rPr>
          <w:rFonts w:hint="eastAsia" w:ascii="宋体" w:hAnsi="宋体" w:eastAsia="宋体" w:cs="宋体"/>
          <w:color w:val="auto"/>
          <w:sz w:val="24"/>
        </w:rPr>
        <w:t>附件10. 资格证明文件格式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4"/>
        </w:rPr>
      </w:pPr>
      <w:r>
        <w:rPr>
          <w:rFonts w:hint="eastAsia" w:ascii="宋体" w:hAnsi="宋体" w:eastAsia="宋体" w:cs="宋体"/>
          <w:color w:val="auto"/>
          <w:sz w:val="24"/>
        </w:rPr>
        <w:t>目　录</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关于资格的声明函（附件10-1）</w:t>
      </w: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法定代表人证明书（附件10-2）</w:t>
      </w: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法定代表人授权书（附件10-3）</w:t>
      </w: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营业执照副本、国税登记证、地税登记证及投标资料表要求的有关资质证书</w:t>
      </w: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经营业绩证明材料（附件10-4）</w:t>
      </w: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投标人情况表（附件10-5）</w:t>
      </w:r>
    </w:p>
    <w:p>
      <w:pPr>
        <w:pageBreakBefore w:val="0"/>
        <w:numPr>
          <w:ilvl w:val="0"/>
          <w:numId w:val="28"/>
        </w:numPr>
        <w:kinsoku/>
        <w:wordWrap/>
        <w:overflowPunct/>
        <w:topLinePunct w:val="0"/>
        <w:bidi w:val="0"/>
        <w:spacing w:line="360" w:lineRule="auto"/>
        <w:ind w:left="0" w:leftChars="0" w:right="0" w:firstLine="420" w:firstLineChars="0"/>
        <w:rPr>
          <w:rFonts w:hint="eastAsia" w:ascii="宋体" w:hAnsi="宋体" w:eastAsia="宋体" w:cs="宋体"/>
          <w:color w:val="auto"/>
        </w:rPr>
      </w:pPr>
      <w:r>
        <w:rPr>
          <w:rFonts w:hint="eastAsia" w:ascii="宋体" w:hAnsi="宋体" w:eastAsia="宋体" w:cs="宋体"/>
          <w:color w:val="auto"/>
        </w:rPr>
        <w:t>招标文件要求的其他资格证明材料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注：1、资格证明文件中属复印件的须加盖投标单位公章。</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b/>
          <w:color w:val="auto"/>
        </w:rPr>
      </w:pPr>
      <w:r>
        <w:rPr>
          <w:rFonts w:hint="eastAsia" w:ascii="宋体" w:hAnsi="宋体" w:eastAsia="宋体" w:cs="宋体"/>
          <w:b/>
          <w:color w:val="auto"/>
        </w:rPr>
        <w:t>2、温馨提示：请投标人仔细核对投标文件，确认已按招标文件要求递交了全部证明材料。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rPr>
        <w:t>附件10-1 资格声明格式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关于资格的声明函</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深圳市设计之都运营发展有限公司</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为响应你方</w:t>
      </w:r>
      <w:r>
        <w:rPr>
          <w:rFonts w:hint="eastAsia" w:ascii="宋体" w:hAnsi="宋体" w:eastAsia="宋体" w:cs="宋体"/>
          <w:i/>
          <w:color w:val="auto"/>
          <w:u w:val="single"/>
        </w:rPr>
        <w:t>（项目名称）（招标编号）</w:t>
      </w:r>
      <w:r>
        <w:rPr>
          <w:rFonts w:hint="eastAsia" w:ascii="宋体" w:hAnsi="宋体" w:eastAsia="宋体" w:cs="宋体"/>
          <w:color w:val="auto"/>
        </w:rPr>
        <w:t>投标邀请，下述签字人愿参与投标，提供招标文件规定的货物及服务，提交下述文件并声明全部说明是真实的和正确的。</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1、我方投标代表的授权文件一份。</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2、我方营业执照副本及资质证书复印件（加盖公章)份，共页。</w:t>
      </w:r>
    </w:p>
    <w:tbl>
      <w:tblPr>
        <w:tblStyle w:val="55"/>
        <w:tblW w:w="88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6"/>
        <w:gridCol w:w="1800"/>
        <w:gridCol w:w="1440"/>
        <w:gridCol w:w="1260"/>
        <w:gridCol w:w="1401"/>
        <w:gridCol w:w="20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序号</w:t>
            </w: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证书名称</w:t>
            </w: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发证机构</w:t>
            </w: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证书等级</w:t>
            </w: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证书有限期</w:t>
            </w: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6"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80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4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26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140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c>
          <w:tcPr>
            <w:tcW w:w="2073"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3、我方的资格声明一份。</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4、招标文件要求的其他资格证明文件。</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本签字人确认资格文件中的内容是真实的、准确的，您有权进行您认为必要的所有调查。</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投标人的名称：</w:t>
      </w:r>
      <w:r>
        <w:rPr>
          <w:rFonts w:hint="eastAsia" w:ascii="宋体" w:hAnsi="宋体" w:eastAsia="宋体" w:cs="宋体"/>
          <w:color w:val="auto"/>
        </w:rPr>
        <w:tab/>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授权签署本资格文件的签字人姓名、职务（印刷字体)：</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地址：</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传真：</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邮编：</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电话：</w:t>
      </w:r>
      <w:r>
        <w:rPr>
          <w:rFonts w:hint="eastAsia" w:ascii="宋体" w:hAnsi="宋体" w:eastAsia="宋体" w:cs="宋体"/>
          <w:color w:val="auto"/>
        </w:rPr>
        <w:br w:type="page"/>
      </w:r>
      <w:r>
        <w:rPr>
          <w:rFonts w:hint="eastAsia" w:ascii="宋体" w:hAnsi="宋体" w:eastAsia="宋体" w:cs="宋体"/>
          <w:color w:val="auto"/>
          <w:sz w:val="24"/>
        </w:rPr>
        <w:t>附件10－2. 法定代表人证明书格式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法定代表人证明书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　先生/小姐，现任我单位职务，为法定代表人，特此证明。</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有效日期：签发日期：单位：（盖章）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附：代表人性别：年龄：身份证号码：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营业执照号码：经济性质：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主营（产）：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兼营（产）：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进口物品经营许可证号码：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主营（产）：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兼营（产）：</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b/>
          <w:color w:val="auto"/>
        </w:rPr>
        <w:t>注：法定代表人身份证明书需附法人代表身份证复印件（加盖公章）</w:t>
      </w:r>
      <w:r>
        <w:rPr>
          <w:rFonts w:hint="eastAsia" w:ascii="宋体" w:hAnsi="宋体" w:eastAsia="宋体" w:cs="宋体"/>
          <w:b/>
          <w:color w:val="auto"/>
          <w:sz w:val="24"/>
        </w:rPr>
        <w:t>。</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sz w:val="24"/>
        </w:rPr>
        <w:br w:type="page"/>
      </w:r>
      <w:r>
        <w:rPr>
          <w:rFonts w:hint="eastAsia" w:ascii="宋体" w:hAnsi="宋体" w:eastAsia="宋体" w:cs="宋体"/>
          <w:color w:val="auto"/>
          <w:sz w:val="24"/>
        </w:rPr>
        <w:t>附件10－3.法定代表人授权书格式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法定代表人授权书</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本授权书声明：注册于</w:t>
      </w:r>
      <w:r>
        <w:rPr>
          <w:rFonts w:hint="eastAsia" w:ascii="宋体" w:hAnsi="宋体" w:eastAsia="宋体" w:cs="宋体"/>
          <w:i/>
          <w:color w:val="auto"/>
          <w:u w:val="single"/>
        </w:rPr>
        <w:t>（国家或地区的名称）</w:t>
      </w:r>
      <w:r>
        <w:rPr>
          <w:rFonts w:hint="eastAsia" w:ascii="宋体" w:hAnsi="宋体" w:eastAsia="宋体" w:cs="宋体"/>
          <w:color w:val="auto"/>
        </w:rPr>
        <w:t>的</w:t>
      </w:r>
      <w:r>
        <w:rPr>
          <w:rFonts w:hint="eastAsia" w:ascii="宋体" w:hAnsi="宋体" w:eastAsia="宋体" w:cs="宋体"/>
          <w:i/>
          <w:color w:val="auto"/>
          <w:u w:val="single"/>
        </w:rPr>
        <w:t>（公司名称）</w:t>
      </w:r>
      <w:r>
        <w:rPr>
          <w:rFonts w:hint="eastAsia" w:ascii="宋体" w:hAnsi="宋体" w:eastAsia="宋体" w:cs="宋体"/>
          <w:color w:val="auto"/>
        </w:rPr>
        <w:t>的在下面签字的</w:t>
      </w:r>
      <w:r>
        <w:rPr>
          <w:rFonts w:hint="eastAsia" w:ascii="宋体" w:hAnsi="宋体" w:eastAsia="宋体" w:cs="宋体"/>
          <w:i/>
          <w:color w:val="auto"/>
          <w:u w:val="single"/>
        </w:rPr>
        <w:t>（法定代表人姓名、职务）</w:t>
      </w:r>
      <w:r>
        <w:rPr>
          <w:rFonts w:hint="eastAsia" w:ascii="宋体" w:hAnsi="宋体" w:eastAsia="宋体" w:cs="宋体"/>
          <w:color w:val="auto"/>
        </w:rPr>
        <w:t>代表本公司授权</w:t>
      </w:r>
      <w:r>
        <w:rPr>
          <w:rFonts w:hint="eastAsia" w:ascii="宋体" w:hAnsi="宋体" w:eastAsia="宋体" w:cs="宋体"/>
          <w:i/>
          <w:color w:val="auto"/>
          <w:u w:val="single"/>
        </w:rPr>
        <w:t>（单位名称）</w:t>
      </w:r>
      <w:r>
        <w:rPr>
          <w:rFonts w:hint="eastAsia" w:ascii="宋体" w:hAnsi="宋体" w:eastAsia="宋体" w:cs="宋体"/>
          <w:color w:val="auto"/>
        </w:rPr>
        <w:t>的在下面签字的</w:t>
      </w:r>
      <w:r>
        <w:rPr>
          <w:rFonts w:hint="eastAsia" w:ascii="宋体" w:hAnsi="宋体" w:eastAsia="宋体" w:cs="宋体"/>
          <w:i/>
          <w:color w:val="auto"/>
          <w:u w:val="single"/>
        </w:rPr>
        <w:t>（被授权人的姓名、职务）</w:t>
      </w:r>
      <w:r>
        <w:rPr>
          <w:rFonts w:hint="eastAsia" w:ascii="宋体" w:hAnsi="宋体" w:eastAsia="宋体" w:cs="宋体"/>
          <w:color w:val="auto"/>
        </w:rPr>
        <w:t>为本公司的合法代理人，就</w:t>
      </w:r>
      <w:r>
        <w:rPr>
          <w:rFonts w:hint="eastAsia" w:ascii="宋体" w:hAnsi="宋体" w:eastAsia="宋体" w:cs="宋体"/>
          <w:i/>
          <w:color w:val="auto"/>
          <w:u w:val="single"/>
        </w:rPr>
        <w:t>（项目名称）</w:t>
      </w:r>
      <w:r>
        <w:rPr>
          <w:rFonts w:hint="eastAsia" w:ascii="宋体" w:hAnsi="宋体" w:eastAsia="宋体" w:cs="宋体"/>
          <w:color w:val="auto"/>
        </w:rPr>
        <w:t>投标及参加项目谈判，以本公司名义处理一切与之有关的事务。</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本授权书于</w:t>
      </w:r>
      <w:r>
        <w:rPr>
          <w:rFonts w:hint="eastAsia" w:ascii="宋体" w:hAnsi="宋体" w:eastAsia="宋体" w:cs="宋体"/>
          <w:color w:val="auto"/>
          <w:u w:val="single"/>
        </w:rPr>
        <w:t>　　</w:t>
      </w:r>
      <w:r>
        <w:rPr>
          <w:rFonts w:hint="eastAsia" w:ascii="宋体" w:hAnsi="宋体" w:eastAsia="宋体" w:cs="宋体"/>
          <w:color w:val="auto"/>
        </w:rPr>
        <w:t>年</w:t>
      </w:r>
      <w:r>
        <w:rPr>
          <w:rFonts w:hint="eastAsia" w:ascii="宋体" w:hAnsi="宋体" w:eastAsia="宋体" w:cs="宋体"/>
          <w:color w:val="auto"/>
          <w:u w:val="single"/>
        </w:rPr>
        <w:t>　　</w:t>
      </w:r>
      <w:r>
        <w:rPr>
          <w:rFonts w:hint="eastAsia" w:ascii="宋体" w:hAnsi="宋体" w:eastAsia="宋体" w:cs="宋体"/>
          <w:color w:val="auto"/>
        </w:rPr>
        <w:t>月</w:t>
      </w:r>
      <w:r>
        <w:rPr>
          <w:rFonts w:hint="eastAsia" w:ascii="宋体" w:hAnsi="宋体" w:eastAsia="宋体" w:cs="宋体"/>
          <w:color w:val="auto"/>
          <w:u w:val="single"/>
        </w:rPr>
        <w:t>　　</w:t>
      </w:r>
      <w:r>
        <w:rPr>
          <w:rFonts w:hint="eastAsia" w:ascii="宋体" w:hAnsi="宋体" w:eastAsia="宋体" w:cs="宋体"/>
          <w:color w:val="auto"/>
        </w:rPr>
        <w:t>日签字生效，特此声明。</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法定代表人签字：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被授权人签字：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单位盖章：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附：</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被授权人姓名：</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职务：</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详细通讯地址：</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邮政编码：</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电话：</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移动电话：</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传真：</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b/>
          <w:color w:val="auto"/>
        </w:rPr>
      </w:pPr>
      <w:r>
        <w:rPr>
          <w:rFonts w:hint="eastAsia" w:ascii="宋体" w:hAnsi="宋体" w:eastAsia="宋体" w:cs="宋体"/>
          <w:b/>
          <w:color w:val="auto"/>
        </w:rPr>
        <w:t>注：1、法定代表人授权书除装订于投标文件中外，还须另置一份按“投标人须知”要求单独密封。</w:t>
      </w:r>
    </w:p>
    <w:p>
      <w:pPr>
        <w:pageBreakBefore w:val="0"/>
        <w:kinsoku/>
        <w:wordWrap/>
        <w:overflowPunct/>
        <w:topLinePunct w:val="0"/>
        <w:bidi w:val="0"/>
        <w:spacing w:line="360" w:lineRule="auto"/>
        <w:ind w:left="0" w:leftChars="0" w:right="0" w:firstLine="422" w:firstLineChars="200"/>
        <w:rPr>
          <w:rFonts w:hint="eastAsia" w:ascii="宋体" w:hAnsi="宋体" w:eastAsia="宋体" w:cs="宋体"/>
          <w:color w:val="auto"/>
        </w:rPr>
      </w:pPr>
      <w:r>
        <w:rPr>
          <w:rFonts w:hint="eastAsia" w:ascii="宋体" w:hAnsi="宋体" w:eastAsia="宋体" w:cs="宋体"/>
          <w:b/>
          <w:color w:val="auto"/>
        </w:rPr>
        <w:t>2、提供被授权人的身份证复印件盖公章。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br w:type="page"/>
      </w:r>
      <w:r>
        <w:rPr>
          <w:rFonts w:hint="eastAsia" w:ascii="宋体" w:hAnsi="宋体" w:eastAsia="宋体" w:cs="宋体"/>
          <w:color w:val="auto"/>
          <w:sz w:val="24"/>
        </w:rPr>
        <w:t>附件10－4经营业绩证明材料格式</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经营业绩一览表</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rPr>
      </w:pPr>
    </w:p>
    <w:tbl>
      <w:tblPr>
        <w:tblStyle w:val="55"/>
        <w:tblW w:w="852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2"/>
        <w:gridCol w:w="1872"/>
        <w:gridCol w:w="1272"/>
        <w:gridCol w:w="1080"/>
        <w:gridCol w:w="1328"/>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序号</w:t>
            </w: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项目名称</w:t>
            </w: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采购单位</w:t>
            </w: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合同金额</w:t>
            </w: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完成时间</w:t>
            </w: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项目单位联系人及电话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8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272"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080"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1328"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c>
          <w:tcPr>
            <w:tcW w:w="2231" w:type="dxa"/>
            <w:tcBorders>
              <w:top w:val="single" w:color="auto" w:sz="6" w:space="0"/>
              <w:left w:val="single" w:color="auto" w:sz="6" w:space="0"/>
              <w:bottom w:val="single" w:color="auto" w:sz="6" w:space="0"/>
              <w:right w:val="single" w:color="auto" w:sz="6" w:space="0"/>
            </w:tcBorders>
          </w:tcPr>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投标人代表签字：</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投标人盖章：</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注：</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r>
        <w:rPr>
          <w:rFonts w:hint="eastAsia" w:ascii="宋体" w:hAnsi="宋体" w:eastAsia="宋体" w:cs="宋体"/>
          <w:color w:val="auto"/>
        </w:rPr>
        <w:t>主要经营业绩须提交中标通知书或合同复印件并加盖公章，供应商资格要求中对合格供应商经营业绩有特殊要求的应按其要求提交资料。</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rPr>
      </w:pPr>
    </w:p>
    <w:p>
      <w:pPr>
        <w:pageBreakBefore w:val="0"/>
        <w:widowControl/>
        <w:kinsoku/>
        <w:wordWrap/>
        <w:overflowPunct/>
        <w:topLinePunct w:val="0"/>
        <w:bidi w:val="0"/>
        <w:spacing w:line="360" w:lineRule="auto"/>
        <w:ind w:left="0" w:leftChars="0" w:right="0" w:firstLine="0" w:firstLineChars="0"/>
        <w:jc w:val="left"/>
        <w:rPr>
          <w:rFonts w:hint="eastAsia" w:ascii="宋体" w:hAnsi="宋体" w:eastAsia="宋体" w:cs="宋体"/>
          <w:color w:val="auto"/>
          <w:sz w:val="44"/>
          <w:szCs w:val="44"/>
        </w:rPr>
      </w:pPr>
      <w:r>
        <w:rPr>
          <w:rFonts w:hint="eastAsia" w:ascii="宋体" w:hAnsi="宋体" w:eastAsia="宋体" w:cs="宋体"/>
          <w:color w:val="auto"/>
          <w:sz w:val="44"/>
          <w:szCs w:val="44"/>
        </w:rPr>
        <w:br w:type="page"/>
      </w:r>
    </w:p>
    <w:p>
      <w:pPr>
        <w:pageBreakBefore w:val="0"/>
        <w:kinsoku/>
        <w:wordWrap/>
        <w:overflowPunct/>
        <w:topLinePunct w:val="0"/>
        <w:bidi w:val="0"/>
        <w:spacing w:line="360" w:lineRule="auto"/>
        <w:ind w:left="0" w:leftChars="0" w:right="0" w:firstLine="0" w:firstLineChars="0"/>
        <w:jc w:val="left"/>
        <w:outlineLvl w:val="0"/>
        <w:rPr>
          <w:rFonts w:hint="eastAsia" w:ascii="宋体" w:hAnsi="宋体" w:eastAsia="宋体" w:cs="宋体"/>
          <w:color w:val="auto"/>
          <w:sz w:val="44"/>
          <w:szCs w:val="44"/>
        </w:rPr>
      </w:pPr>
      <w:bookmarkStart w:id="59" w:name="_Toc32336"/>
      <w:r>
        <w:rPr>
          <w:rFonts w:hint="eastAsia" w:ascii="宋体" w:hAnsi="宋体" w:eastAsia="宋体" w:cs="宋体"/>
          <w:color w:val="auto"/>
          <w:sz w:val="24"/>
        </w:rPr>
        <w:t>附件10－5投标人情况表</w:t>
      </w:r>
      <w:bookmarkEnd w:id="59"/>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 w:val="44"/>
          <w:szCs w:val="44"/>
        </w:rPr>
      </w:pP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b/>
          <w:bCs/>
          <w:color w:val="auto"/>
          <w:szCs w:val="21"/>
        </w:rPr>
        <w:t>投标人情况表</w:t>
      </w:r>
    </w:p>
    <w:tbl>
      <w:tblPr>
        <w:tblStyle w:val="55"/>
        <w:tblW w:w="912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29"/>
        <w:gridCol w:w="900"/>
        <w:gridCol w:w="900"/>
        <w:gridCol w:w="1373"/>
        <w:gridCol w:w="97"/>
        <w:gridCol w:w="690"/>
        <w:gridCol w:w="574"/>
        <w:gridCol w:w="757"/>
        <w:gridCol w:w="127"/>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单位名称</w:t>
            </w:r>
          </w:p>
        </w:tc>
        <w:tc>
          <w:tcPr>
            <w:tcW w:w="7597" w:type="dxa"/>
            <w:gridSpan w:val="9"/>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详细地址</w:t>
            </w:r>
          </w:p>
        </w:tc>
        <w:tc>
          <w:tcPr>
            <w:tcW w:w="7597" w:type="dxa"/>
            <w:gridSpan w:val="9"/>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主管部门</w:t>
            </w:r>
          </w:p>
        </w:tc>
        <w:tc>
          <w:tcPr>
            <w:tcW w:w="1800"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73"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法定代表人</w:t>
            </w:r>
          </w:p>
        </w:tc>
        <w:tc>
          <w:tcPr>
            <w:tcW w:w="1361"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884"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217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经济类型</w:t>
            </w:r>
          </w:p>
        </w:tc>
        <w:tc>
          <w:tcPr>
            <w:tcW w:w="1800"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73"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授权代理人</w:t>
            </w:r>
          </w:p>
        </w:tc>
        <w:tc>
          <w:tcPr>
            <w:tcW w:w="1361"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884"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职 务</w:t>
            </w:r>
          </w:p>
        </w:tc>
        <w:tc>
          <w:tcPr>
            <w:tcW w:w="217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邮政编码</w:t>
            </w:r>
          </w:p>
        </w:tc>
        <w:tc>
          <w:tcPr>
            <w:tcW w:w="1800"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73"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电 话</w:t>
            </w:r>
          </w:p>
        </w:tc>
        <w:tc>
          <w:tcPr>
            <w:tcW w:w="1361"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884"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传 真</w:t>
            </w:r>
          </w:p>
        </w:tc>
        <w:tc>
          <w:tcPr>
            <w:tcW w:w="2179" w:type="dxa"/>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83" w:hRule="atLeast"/>
          <w:jc w:val="center"/>
        </w:trPr>
        <w:tc>
          <w:tcPr>
            <w:tcW w:w="1529" w:type="dxa"/>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单位简历</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及机构</w:t>
            </w:r>
          </w:p>
        </w:tc>
        <w:tc>
          <w:tcPr>
            <w:tcW w:w="7597" w:type="dxa"/>
            <w:gridSpan w:val="9"/>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8" w:hRule="atLeast"/>
          <w:jc w:val="center"/>
        </w:trPr>
        <w:tc>
          <w:tcPr>
            <w:tcW w:w="1529" w:type="dxa"/>
            <w:tcBorders>
              <w:bottom w:val="single" w:color="auto" w:sz="4" w:space="0"/>
            </w:tcBorders>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单位优</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势及特长</w:t>
            </w:r>
          </w:p>
        </w:tc>
        <w:tc>
          <w:tcPr>
            <w:tcW w:w="7597" w:type="dxa"/>
            <w:gridSpan w:val="9"/>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restart"/>
            <w:tcBorders>
              <w:top w:val="single" w:color="auto" w:sz="4"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财</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务</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概</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况</w:t>
            </w:r>
          </w:p>
        </w:tc>
        <w:tc>
          <w:tcPr>
            <w:tcW w:w="90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流动</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资金</w:t>
            </w:r>
          </w:p>
        </w:tc>
        <w:tc>
          <w:tcPr>
            <w:tcW w:w="2370" w:type="dxa"/>
            <w:gridSpan w:val="3"/>
            <w:vMerge w:val="restart"/>
            <w:vAlign w:val="center"/>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c>
          <w:tcPr>
            <w:tcW w:w="69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资金</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来源</w:t>
            </w:r>
          </w:p>
        </w:tc>
        <w:tc>
          <w:tcPr>
            <w:tcW w:w="1331"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自有资金</w:t>
            </w:r>
          </w:p>
        </w:tc>
        <w:tc>
          <w:tcPr>
            <w:tcW w:w="2306"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90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2370" w:type="dxa"/>
            <w:gridSpan w:val="3"/>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69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31"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银行贷款</w:t>
            </w:r>
          </w:p>
        </w:tc>
        <w:tc>
          <w:tcPr>
            <w:tcW w:w="2306"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90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固定</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资产</w:t>
            </w:r>
          </w:p>
        </w:tc>
        <w:tc>
          <w:tcPr>
            <w:tcW w:w="2370" w:type="dxa"/>
            <w:gridSpan w:val="3"/>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原值         万元</w:t>
            </w:r>
          </w:p>
        </w:tc>
        <w:tc>
          <w:tcPr>
            <w:tcW w:w="690" w:type="dxa"/>
            <w:vMerge w:val="restart"/>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资金</w:t>
            </w:r>
          </w:p>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性质</w:t>
            </w:r>
          </w:p>
        </w:tc>
        <w:tc>
          <w:tcPr>
            <w:tcW w:w="1331"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生产性</w:t>
            </w:r>
          </w:p>
        </w:tc>
        <w:tc>
          <w:tcPr>
            <w:tcW w:w="2306" w:type="dxa"/>
            <w:gridSpan w:val="2"/>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529"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90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2370" w:type="dxa"/>
            <w:gridSpan w:val="3"/>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净值         万元</w:t>
            </w:r>
          </w:p>
        </w:tc>
        <w:tc>
          <w:tcPr>
            <w:tcW w:w="690" w:type="dxa"/>
            <w:vMerge w:val="continue"/>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p>
        </w:tc>
        <w:tc>
          <w:tcPr>
            <w:tcW w:w="1331"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非生产性</w:t>
            </w:r>
          </w:p>
        </w:tc>
        <w:tc>
          <w:tcPr>
            <w:tcW w:w="2306" w:type="dxa"/>
            <w:gridSpan w:val="2"/>
            <w:tcBorders>
              <w:bottom w:val="single" w:color="000000" w:sz="6" w:space="0"/>
            </w:tcBorders>
          </w:tcPr>
          <w:p>
            <w:pPr>
              <w:pageBreakBefore w:val="0"/>
              <w:kinsoku/>
              <w:wordWrap/>
              <w:overflowPunct/>
              <w:topLinePunct w:val="0"/>
              <w:bidi w:val="0"/>
              <w:spacing w:line="360" w:lineRule="auto"/>
              <w:ind w:left="0" w:leftChars="0" w:right="0" w:firstLine="0" w:firstLineChars="0"/>
              <w:jc w:val="center"/>
              <w:rPr>
                <w:rFonts w:hint="eastAsia" w:ascii="宋体" w:hAnsi="宋体" w:eastAsia="宋体" w:cs="宋体"/>
                <w:color w:val="auto"/>
                <w:szCs w:val="21"/>
              </w:rPr>
            </w:pPr>
            <w:r>
              <w:rPr>
                <w:rFonts w:hint="eastAsia" w:ascii="宋体" w:hAnsi="宋体" w:eastAsia="宋体" w:cs="宋体"/>
                <w:color w:val="auto"/>
                <w:szCs w:val="21"/>
              </w:rPr>
              <w:t xml:space="preserve">           万元</w:t>
            </w:r>
          </w:p>
        </w:tc>
      </w:tr>
    </w:tbl>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Cs w:val="21"/>
        </w:rPr>
      </w:pPr>
    </w:p>
    <w:p>
      <w:pPr>
        <w:pageBreakBefore w:val="0"/>
        <w:kinsoku/>
        <w:wordWrap/>
        <w:overflowPunct/>
        <w:topLinePunct w:val="0"/>
        <w:bidi w:val="0"/>
        <w:spacing w:line="360" w:lineRule="auto"/>
        <w:ind w:left="0" w:leftChars="0" w:right="0" w:firstLine="0" w:firstLineChars="0"/>
        <w:jc w:val="right"/>
        <w:rPr>
          <w:rFonts w:hint="eastAsia" w:ascii="宋体" w:hAnsi="宋体" w:eastAsia="宋体" w:cs="宋体"/>
          <w:color w:val="auto"/>
          <w:szCs w:val="21"/>
        </w:rPr>
      </w:pPr>
      <w:r>
        <w:rPr>
          <w:rFonts w:hint="eastAsia" w:ascii="宋体" w:hAnsi="宋体" w:eastAsia="宋体" w:cs="宋体"/>
          <w:color w:val="auto"/>
          <w:szCs w:val="21"/>
        </w:rPr>
        <w:t xml:space="preserve">   投标申请人：         (盖单位章)</w:t>
      </w:r>
    </w:p>
    <w:p>
      <w:pPr>
        <w:pageBreakBefore w:val="0"/>
        <w:kinsoku/>
        <w:wordWrap/>
        <w:overflowPunct/>
        <w:topLinePunct w:val="0"/>
        <w:bidi w:val="0"/>
        <w:spacing w:line="360" w:lineRule="auto"/>
        <w:ind w:left="0" w:leftChars="0" w:right="0" w:firstLine="0" w:firstLineChars="0"/>
        <w:jc w:val="right"/>
        <w:rPr>
          <w:rFonts w:hint="eastAsia" w:ascii="宋体" w:hAnsi="宋体" w:eastAsia="宋体" w:cs="宋体"/>
          <w:color w:val="auto"/>
          <w:szCs w:val="21"/>
        </w:rPr>
      </w:pPr>
      <w:r>
        <w:rPr>
          <w:rFonts w:hint="eastAsia" w:ascii="宋体" w:hAnsi="宋体" w:eastAsia="宋体" w:cs="宋体"/>
          <w:color w:val="auto"/>
          <w:szCs w:val="21"/>
        </w:rPr>
        <w:t>法定代表人(或委托代理人)：      (签名)</w:t>
      </w:r>
    </w:p>
    <w:p>
      <w:pPr>
        <w:pageBreakBefore w:val="0"/>
        <w:kinsoku/>
        <w:wordWrap/>
        <w:overflowPunct/>
        <w:topLinePunct w:val="0"/>
        <w:bidi w:val="0"/>
        <w:spacing w:line="360" w:lineRule="auto"/>
        <w:ind w:left="0" w:leftChars="0" w:right="0" w:firstLine="0" w:firstLineChars="0"/>
        <w:jc w:val="right"/>
        <w:rPr>
          <w:rFonts w:hint="eastAsia" w:ascii="宋体" w:hAnsi="宋体" w:eastAsia="宋体" w:cs="宋体"/>
          <w:color w:val="auto"/>
          <w:szCs w:val="21"/>
        </w:rPr>
      </w:pPr>
      <w:r>
        <w:rPr>
          <w:rFonts w:hint="eastAsia" w:ascii="宋体" w:hAnsi="宋体" w:eastAsia="宋体" w:cs="宋体"/>
          <w:color w:val="auto"/>
          <w:szCs w:val="21"/>
        </w:rPr>
        <w:t xml:space="preserve">               年  月  日 </w:t>
      </w:r>
    </w:p>
    <w:p>
      <w:pPr>
        <w:pageBreakBefore w:val="0"/>
        <w:kinsoku/>
        <w:wordWrap/>
        <w:overflowPunct/>
        <w:topLinePunct w:val="0"/>
        <w:bidi w:val="0"/>
        <w:spacing w:line="360" w:lineRule="auto"/>
        <w:ind w:left="0" w:leftChars="0" w:right="0" w:firstLine="0" w:firstLineChars="0"/>
        <w:rPr>
          <w:rFonts w:hint="eastAsia" w:ascii="宋体" w:hAnsi="宋体" w:eastAsia="宋体" w:cs="宋体"/>
          <w:color w:val="auto"/>
          <w:sz w:val="44"/>
          <w:szCs w:val="44"/>
        </w:rPr>
      </w:pPr>
    </w:p>
    <w:sectPr>
      <w:headerReference r:id="rId3" w:type="default"/>
      <w:footerReference r:id="rId4" w:type="default"/>
      <w:pgSz w:w="11906" w:h="16838"/>
      <w:pgMar w:top="1440" w:right="1800" w:bottom="1440" w:left="1800" w:header="568"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nePrinter">
    <w:altName w:val="Lucida Console"/>
    <w:panose1 w:val="00000000000000000000"/>
    <w:charset w:val="00"/>
    <w:family w:val="decorative"/>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3222816"/>
    </w:sdtPr>
    <w:sdtContent>
      <w:sdt>
        <w:sdtPr>
          <w:id w:val="-2060935393"/>
        </w:sdtPr>
        <w:sdtContent>
          <w:p>
            <w:pPr>
              <w:pStyle w:val="33"/>
              <w:jc w:val="center"/>
            </w:pPr>
            <w:r>
              <w:rPr>
                <w:b/>
                <w:sz w:val="24"/>
                <w:szCs w:val="24"/>
              </w:rPr>
              <w:fldChar w:fldCharType="begin"/>
            </w:r>
            <w:r>
              <w:rPr>
                <w:b/>
              </w:rPr>
              <w:instrText xml:space="preserve">PAGE</w:instrText>
            </w:r>
            <w:r>
              <w:rPr>
                <w:b/>
                <w:sz w:val="24"/>
                <w:szCs w:val="24"/>
              </w:rPr>
              <w:fldChar w:fldCharType="separate"/>
            </w:r>
            <w:r>
              <w:rPr>
                <w:b/>
              </w:rPr>
              <w:t>38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38</w:t>
            </w:r>
            <w:r>
              <w:rPr>
                <w:b/>
                <w:sz w:val="24"/>
                <w:szCs w:val="24"/>
              </w:rPr>
              <w:fldChar w:fldCharType="end"/>
            </w:r>
          </w:p>
        </w:sdtContent>
      </w:sdt>
    </w:sdtContent>
  </w:sdt>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rPr>
        <w:rFonts w:ascii="幼圆" w:eastAsia="幼圆"/>
      </w:rPr>
    </w:pPr>
    <w:r>
      <w:rPr>
        <w:rFonts w:hint="eastAsia" w:ascii="幼圆" w:eastAsia="幼圆"/>
      </w:rPr>
      <w:drawing>
        <wp:anchor distT="0" distB="0" distL="114300" distR="114300" simplePos="0" relativeHeight="251659264" behindDoc="0" locked="0" layoutInCell="1" allowOverlap="1">
          <wp:simplePos x="0" y="0"/>
          <wp:positionH relativeFrom="column">
            <wp:posOffset>49530</wp:posOffset>
          </wp:positionH>
          <wp:positionV relativeFrom="paragraph">
            <wp:posOffset>-83820</wp:posOffset>
          </wp:positionV>
          <wp:extent cx="1233170" cy="348615"/>
          <wp:effectExtent l="0" t="0" r="508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420" cy="346204"/>
                  </a:xfrm>
                  <a:prstGeom prst="rect">
                    <a:avLst/>
                  </a:prstGeom>
                  <a:noFill/>
                  <a:ln>
                    <a:noFill/>
                  </a:ln>
                </pic:spPr>
              </pic:pic>
            </a:graphicData>
          </a:graphic>
        </wp:anchor>
      </w:drawing>
    </w:r>
  </w:p>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5FDCE"/>
    <w:multiLevelType w:val="singleLevel"/>
    <w:tmpl w:val="8535FDCE"/>
    <w:lvl w:ilvl="0" w:tentative="0">
      <w:start w:val="1"/>
      <w:numFmt w:val="decimal"/>
      <w:lvlText w:val="%1."/>
      <w:lvlJc w:val="left"/>
      <w:pPr>
        <w:ind w:left="425" w:hanging="425"/>
      </w:pPr>
      <w:rPr>
        <w:rFonts w:hint="default"/>
      </w:rPr>
    </w:lvl>
  </w:abstractNum>
  <w:abstractNum w:abstractNumId="1">
    <w:nsid w:val="8E2E2EE1"/>
    <w:multiLevelType w:val="multilevel"/>
    <w:tmpl w:val="8E2E2EE1"/>
    <w:lvl w:ilvl="0" w:tentative="0">
      <w:start w:val="1"/>
      <w:numFmt w:val="decimal"/>
      <w:lvlText w:val="%1."/>
      <w:lvlJc w:val="left"/>
      <w:pPr>
        <w:ind w:left="425" w:hanging="425"/>
      </w:pPr>
      <w:rPr>
        <w:rFonts w:hint="default" w:ascii="宋体" w:hAnsi="宋体" w:eastAsia="宋体" w:cs="宋体"/>
        <w:sz w:val="21"/>
        <w:szCs w:val="21"/>
      </w:rPr>
    </w:lvl>
    <w:lvl w:ilvl="1" w:tentative="0">
      <w:start w:val="1"/>
      <w:numFmt w:val="decimal"/>
      <w:lvlText w:val="%1.%2."/>
      <w:lvlJc w:val="left"/>
      <w:pPr>
        <w:ind w:left="567" w:hanging="567"/>
      </w:pPr>
      <w:rPr>
        <w:rFonts w:hint="default" w:ascii="宋体" w:hAnsi="宋体" w:eastAsia="宋体" w:cs="宋体"/>
        <w:sz w:val="21"/>
        <w:szCs w:val="21"/>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EF87B39"/>
    <w:multiLevelType w:val="singleLevel"/>
    <w:tmpl w:val="8EF87B39"/>
    <w:lvl w:ilvl="0" w:tentative="0">
      <w:start w:val="1"/>
      <w:numFmt w:val="chineseCounting"/>
      <w:suff w:val="nothing"/>
      <w:lvlText w:val="%1、"/>
      <w:lvlJc w:val="left"/>
      <w:pPr>
        <w:ind w:left="0" w:firstLine="420"/>
      </w:pPr>
      <w:rPr>
        <w:rFonts w:hint="eastAsia" w:ascii="宋体" w:hAnsi="宋体" w:eastAsia="宋体" w:cs="宋体"/>
        <w:sz w:val="32"/>
        <w:szCs w:val="32"/>
      </w:rPr>
    </w:lvl>
  </w:abstractNum>
  <w:abstractNum w:abstractNumId="3">
    <w:nsid w:val="90A020B3"/>
    <w:multiLevelType w:val="singleLevel"/>
    <w:tmpl w:val="90A020B3"/>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4">
    <w:nsid w:val="93F40EE5"/>
    <w:multiLevelType w:val="singleLevel"/>
    <w:tmpl w:val="93F40EE5"/>
    <w:lvl w:ilvl="0" w:tentative="0">
      <w:start w:val="1"/>
      <w:numFmt w:val="decimal"/>
      <w:lvlText w:val="%1."/>
      <w:lvlJc w:val="left"/>
      <w:pPr>
        <w:ind w:left="845" w:hanging="425"/>
      </w:pPr>
      <w:rPr>
        <w:rFonts w:hint="default"/>
      </w:rPr>
    </w:lvl>
  </w:abstractNum>
  <w:abstractNum w:abstractNumId="5">
    <w:nsid w:val="A0808FF4"/>
    <w:multiLevelType w:val="singleLevel"/>
    <w:tmpl w:val="A0808FF4"/>
    <w:lvl w:ilvl="0" w:tentative="0">
      <w:start w:val="1"/>
      <w:numFmt w:val="chineseCounting"/>
      <w:suff w:val="nothing"/>
      <w:lvlText w:val="%1、"/>
      <w:lvlJc w:val="left"/>
      <w:pPr>
        <w:ind w:left="0" w:firstLine="420"/>
      </w:pPr>
      <w:rPr>
        <w:rFonts w:hint="eastAsia"/>
      </w:rPr>
    </w:lvl>
  </w:abstractNum>
  <w:abstractNum w:abstractNumId="6">
    <w:nsid w:val="AB3FFE6C"/>
    <w:multiLevelType w:val="singleLevel"/>
    <w:tmpl w:val="AB3FFE6C"/>
    <w:lvl w:ilvl="0" w:tentative="0">
      <w:start w:val="1"/>
      <w:numFmt w:val="chineseCounting"/>
      <w:suff w:val="nothing"/>
      <w:lvlText w:val="%1、"/>
      <w:lvlJc w:val="left"/>
      <w:pPr>
        <w:ind w:left="0" w:firstLine="420"/>
      </w:pPr>
      <w:rPr>
        <w:rFonts w:hint="eastAsia"/>
      </w:rPr>
    </w:lvl>
  </w:abstractNum>
  <w:abstractNum w:abstractNumId="7">
    <w:nsid w:val="B70A8A71"/>
    <w:multiLevelType w:val="singleLevel"/>
    <w:tmpl w:val="B70A8A71"/>
    <w:lvl w:ilvl="0" w:tentative="0">
      <w:start w:val="1"/>
      <w:numFmt w:val="chineseCounting"/>
      <w:suff w:val="nothing"/>
      <w:lvlText w:val="（%1）"/>
      <w:lvlJc w:val="left"/>
      <w:pPr>
        <w:ind w:left="0" w:firstLine="420"/>
      </w:pPr>
      <w:rPr>
        <w:rFonts w:hint="eastAsia"/>
      </w:rPr>
    </w:lvl>
  </w:abstractNum>
  <w:abstractNum w:abstractNumId="8">
    <w:nsid w:val="E19B8523"/>
    <w:multiLevelType w:val="singleLevel"/>
    <w:tmpl w:val="E19B8523"/>
    <w:lvl w:ilvl="0" w:tentative="0">
      <w:start w:val="1"/>
      <w:numFmt w:val="chineseCounting"/>
      <w:suff w:val="nothing"/>
      <w:lvlText w:val="%1、"/>
      <w:lvlJc w:val="left"/>
      <w:pPr>
        <w:ind w:left="0" w:firstLine="420"/>
      </w:pPr>
      <w:rPr>
        <w:rFonts w:hint="eastAsia" w:ascii="黑体" w:hAnsi="黑体" w:eastAsia="黑体" w:cs="黑体"/>
        <w:b/>
        <w:bCs/>
        <w:sz w:val="24"/>
        <w:szCs w:val="24"/>
      </w:rPr>
    </w:lvl>
  </w:abstractNum>
  <w:abstractNum w:abstractNumId="9">
    <w:nsid w:val="E338612A"/>
    <w:multiLevelType w:val="singleLevel"/>
    <w:tmpl w:val="E338612A"/>
    <w:lvl w:ilvl="0" w:tentative="0">
      <w:start w:val="1"/>
      <w:numFmt w:val="decimal"/>
      <w:lvlText w:val="%1."/>
      <w:lvlJc w:val="left"/>
      <w:pPr>
        <w:tabs>
          <w:tab w:val="left" w:pos="312"/>
        </w:tabs>
      </w:pPr>
      <w:rPr>
        <w:rFonts w:hint="default" w:ascii="宋体" w:hAnsi="宋体" w:eastAsia="宋体" w:cs="宋体"/>
        <w:sz w:val="21"/>
        <w:szCs w:val="21"/>
      </w:rPr>
    </w:lvl>
  </w:abstractNum>
  <w:abstractNum w:abstractNumId="10">
    <w:nsid w:val="E7691BDC"/>
    <w:multiLevelType w:val="singleLevel"/>
    <w:tmpl w:val="E7691BDC"/>
    <w:lvl w:ilvl="0" w:tentative="0">
      <w:start w:val="1"/>
      <w:numFmt w:val="decimal"/>
      <w:lvlText w:val="%1)"/>
      <w:lvlJc w:val="left"/>
      <w:pPr>
        <w:ind w:left="845" w:hanging="425"/>
      </w:pPr>
      <w:rPr>
        <w:rFonts w:hint="default"/>
      </w:rPr>
    </w:lvl>
  </w:abstractNum>
  <w:abstractNum w:abstractNumId="11">
    <w:nsid w:val="F7E60BFD"/>
    <w:multiLevelType w:val="singleLevel"/>
    <w:tmpl w:val="F7E60BFD"/>
    <w:lvl w:ilvl="0" w:tentative="0">
      <w:start w:val="1"/>
      <w:numFmt w:val="chineseCounting"/>
      <w:suff w:val="nothing"/>
      <w:lvlText w:val="（%1）"/>
      <w:lvlJc w:val="left"/>
      <w:pPr>
        <w:ind w:left="0" w:firstLine="420"/>
      </w:pPr>
      <w:rPr>
        <w:rFonts w:hint="eastAsia"/>
        <w:sz w:val="21"/>
        <w:szCs w:val="21"/>
      </w:rPr>
    </w:lvl>
  </w:abstractNum>
  <w:abstractNum w:abstractNumId="12">
    <w:nsid w:val="02C38438"/>
    <w:multiLevelType w:val="singleLevel"/>
    <w:tmpl w:val="02C38438"/>
    <w:lvl w:ilvl="0" w:tentative="0">
      <w:start w:val="1"/>
      <w:numFmt w:val="chineseCounting"/>
      <w:suff w:val="nothing"/>
      <w:lvlText w:val="%1、"/>
      <w:lvlJc w:val="left"/>
      <w:rPr>
        <w:rFonts w:hint="eastAsia" w:ascii="宋体" w:hAnsi="宋体" w:eastAsia="宋体" w:cs="宋体"/>
        <w:sz w:val="21"/>
        <w:szCs w:val="21"/>
      </w:rPr>
    </w:lvl>
  </w:abstractNum>
  <w:abstractNum w:abstractNumId="13">
    <w:nsid w:val="0DE6FA59"/>
    <w:multiLevelType w:val="singleLevel"/>
    <w:tmpl w:val="0DE6FA59"/>
    <w:lvl w:ilvl="0" w:tentative="0">
      <w:start w:val="1"/>
      <w:numFmt w:val="chineseCounting"/>
      <w:suff w:val="nothing"/>
      <w:lvlText w:val="（%1）"/>
      <w:lvlJc w:val="left"/>
      <w:pPr>
        <w:ind w:left="0" w:firstLine="420"/>
      </w:pPr>
      <w:rPr>
        <w:rFonts w:hint="eastAsia"/>
      </w:rPr>
    </w:lvl>
  </w:abstractNum>
  <w:abstractNum w:abstractNumId="14">
    <w:nsid w:val="125A0CC4"/>
    <w:multiLevelType w:val="singleLevel"/>
    <w:tmpl w:val="125A0CC4"/>
    <w:lvl w:ilvl="0" w:tentative="0">
      <w:start w:val="1"/>
      <w:numFmt w:val="decimal"/>
      <w:lvlText w:val="%1."/>
      <w:lvlJc w:val="left"/>
      <w:pPr>
        <w:tabs>
          <w:tab w:val="left" w:pos="312"/>
        </w:tabs>
      </w:pPr>
      <w:rPr>
        <w:rFonts w:hint="default" w:ascii="宋体" w:hAnsi="宋体" w:eastAsia="宋体" w:cs="宋体"/>
        <w:b w:val="0"/>
        <w:bCs w:val="0"/>
        <w:sz w:val="21"/>
        <w:szCs w:val="21"/>
      </w:rPr>
    </w:lvl>
  </w:abstractNum>
  <w:abstractNum w:abstractNumId="15">
    <w:nsid w:val="142DB1BB"/>
    <w:multiLevelType w:val="singleLevel"/>
    <w:tmpl w:val="142DB1BB"/>
    <w:lvl w:ilvl="0" w:tentative="0">
      <w:start w:val="1"/>
      <w:numFmt w:val="decimal"/>
      <w:lvlText w:val="%1."/>
      <w:lvlJc w:val="left"/>
      <w:pPr>
        <w:tabs>
          <w:tab w:val="left" w:pos="312"/>
        </w:tabs>
      </w:pPr>
    </w:lvl>
  </w:abstractNum>
  <w:abstractNum w:abstractNumId="16">
    <w:nsid w:val="15550A13"/>
    <w:multiLevelType w:val="multilevel"/>
    <w:tmpl w:val="15550A13"/>
    <w:lvl w:ilvl="0" w:tentative="0">
      <w:start w:val="1"/>
      <w:numFmt w:val="decimal"/>
      <w:lvlText w:val="%1."/>
      <w:lvlJc w:val="left"/>
      <w:pPr>
        <w:tabs>
          <w:tab w:val="left" w:pos="227"/>
        </w:tabs>
        <w:ind w:left="568" w:hanging="511"/>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1A100798"/>
    <w:multiLevelType w:val="singleLevel"/>
    <w:tmpl w:val="1A100798"/>
    <w:lvl w:ilvl="0" w:tentative="0">
      <w:start w:val="1"/>
      <w:numFmt w:val="decimal"/>
      <w:lvlText w:val="(%1)"/>
      <w:lvlJc w:val="left"/>
      <w:pPr>
        <w:ind w:left="425" w:hanging="425"/>
      </w:pPr>
      <w:rPr>
        <w:rFonts w:hint="default" w:ascii="宋体" w:hAnsi="宋体" w:eastAsia="宋体" w:cs="宋体"/>
        <w:sz w:val="21"/>
        <w:szCs w:val="21"/>
      </w:rPr>
    </w:lvl>
  </w:abstractNum>
  <w:abstractNum w:abstractNumId="18">
    <w:nsid w:val="232C0419"/>
    <w:multiLevelType w:val="multilevel"/>
    <w:tmpl w:val="232C0419"/>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343F822B"/>
    <w:multiLevelType w:val="singleLevel"/>
    <w:tmpl w:val="343F822B"/>
    <w:lvl w:ilvl="0" w:tentative="0">
      <w:start w:val="1"/>
      <w:numFmt w:val="chineseCounting"/>
      <w:suff w:val="nothing"/>
      <w:lvlText w:val="%1、"/>
      <w:lvlJc w:val="left"/>
      <w:pPr>
        <w:ind w:left="0" w:firstLine="420"/>
      </w:pPr>
      <w:rPr>
        <w:rFonts w:hint="eastAsia"/>
      </w:rPr>
    </w:lvl>
  </w:abstractNum>
  <w:abstractNum w:abstractNumId="20">
    <w:nsid w:val="3CE455BB"/>
    <w:multiLevelType w:val="singleLevel"/>
    <w:tmpl w:val="3CE455BB"/>
    <w:lvl w:ilvl="0" w:tentative="0">
      <w:start w:val="1"/>
      <w:numFmt w:val="chineseCounting"/>
      <w:suff w:val="nothing"/>
      <w:lvlText w:val="（%1）"/>
      <w:lvlJc w:val="left"/>
      <w:pPr>
        <w:ind w:left="0" w:firstLine="420"/>
      </w:pPr>
      <w:rPr>
        <w:rFonts w:hint="eastAsia"/>
        <w:sz w:val="21"/>
        <w:szCs w:val="21"/>
      </w:rPr>
    </w:lvl>
  </w:abstractNum>
  <w:abstractNum w:abstractNumId="21">
    <w:nsid w:val="3D704666"/>
    <w:multiLevelType w:val="singleLevel"/>
    <w:tmpl w:val="3D704666"/>
    <w:lvl w:ilvl="0" w:tentative="0">
      <w:start w:val="1"/>
      <w:numFmt w:val="decimal"/>
      <w:lvlText w:val="%1."/>
      <w:lvlJc w:val="left"/>
      <w:pPr>
        <w:tabs>
          <w:tab w:val="left" w:pos="420"/>
        </w:tabs>
        <w:ind w:left="845" w:hanging="425"/>
      </w:pPr>
      <w:rPr>
        <w:rFonts w:hint="default"/>
      </w:rPr>
    </w:lvl>
  </w:abstractNum>
  <w:abstractNum w:abstractNumId="22">
    <w:nsid w:val="3F528C86"/>
    <w:multiLevelType w:val="singleLevel"/>
    <w:tmpl w:val="3F528C86"/>
    <w:lvl w:ilvl="0" w:tentative="0">
      <w:start w:val="1"/>
      <w:numFmt w:val="chineseCounting"/>
      <w:suff w:val="nothing"/>
      <w:lvlText w:val="%1、"/>
      <w:lvlJc w:val="left"/>
      <w:rPr>
        <w:rFonts w:hint="eastAsia" w:ascii="宋体" w:hAnsi="宋体" w:eastAsia="宋体" w:cs="宋体"/>
        <w:sz w:val="21"/>
        <w:szCs w:val="21"/>
      </w:rPr>
    </w:lvl>
  </w:abstractNum>
  <w:abstractNum w:abstractNumId="23">
    <w:nsid w:val="41C443D3"/>
    <w:multiLevelType w:val="multilevel"/>
    <w:tmpl w:val="41C443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98432C1"/>
    <w:multiLevelType w:val="singleLevel"/>
    <w:tmpl w:val="498432C1"/>
    <w:lvl w:ilvl="0" w:tentative="0">
      <w:start w:val="1"/>
      <w:numFmt w:val="chineseCounting"/>
      <w:suff w:val="nothing"/>
      <w:lvlText w:val="（%1）"/>
      <w:lvlJc w:val="left"/>
      <w:pPr>
        <w:ind w:left="0" w:firstLine="420"/>
      </w:pPr>
      <w:rPr>
        <w:rFonts w:hint="eastAsia"/>
        <w:sz w:val="21"/>
        <w:szCs w:val="21"/>
      </w:rPr>
    </w:lvl>
  </w:abstractNum>
  <w:abstractNum w:abstractNumId="25">
    <w:nsid w:val="5119B45D"/>
    <w:multiLevelType w:val="singleLevel"/>
    <w:tmpl w:val="5119B45D"/>
    <w:lvl w:ilvl="0" w:tentative="0">
      <w:start w:val="1"/>
      <w:numFmt w:val="chineseCounting"/>
      <w:suff w:val="nothing"/>
      <w:lvlText w:val="（%1）"/>
      <w:lvlJc w:val="left"/>
      <w:pPr>
        <w:ind w:left="0" w:firstLine="420"/>
      </w:pPr>
      <w:rPr>
        <w:rFonts w:hint="eastAsia"/>
        <w:sz w:val="21"/>
        <w:szCs w:val="21"/>
      </w:rPr>
    </w:lvl>
  </w:abstractNum>
  <w:abstractNum w:abstractNumId="26">
    <w:nsid w:val="629D9F86"/>
    <w:multiLevelType w:val="singleLevel"/>
    <w:tmpl w:val="629D9F86"/>
    <w:lvl w:ilvl="0" w:tentative="0">
      <w:start w:val="1"/>
      <w:numFmt w:val="chineseCounting"/>
      <w:suff w:val="nothing"/>
      <w:lvlText w:val="%1、"/>
      <w:lvlJc w:val="left"/>
      <w:rPr>
        <w:rFonts w:hint="eastAsia" w:ascii="宋体" w:hAnsi="宋体" w:eastAsia="宋体" w:cs="宋体"/>
        <w:sz w:val="21"/>
        <w:szCs w:val="21"/>
      </w:rPr>
    </w:lvl>
  </w:abstractNum>
  <w:abstractNum w:abstractNumId="27">
    <w:nsid w:val="684A1EF7"/>
    <w:multiLevelType w:val="singleLevel"/>
    <w:tmpl w:val="684A1EF7"/>
    <w:lvl w:ilvl="0" w:tentative="0">
      <w:start w:val="1"/>
      <w:numFmt w:val="chineseCounting"/>
      <w:suff w:val="nothing"/>
      <w:lvlText w:val="（%1）"/>
      <w:lvlJc w:val="left"/>
      <w:pPr>
        <w:ind w:left="0" w:firstLine="420"/>
      </w:pPr>
      <w:rPr>
        <w:rFonts w:hint="eastAsia"/>
        <w:sz w:val="21"/>
        <w:szCs w:val="21"/>
      </w:rPr>
    </w:lvl>
  </w:abstractNum>
  <w:num w:numId="1">
    <w:abstractNumId w:val="5"/>
  </w:num>
  <w:num w:numId="2">
    <w:abstractNumId w:val="3"/>
  </w:num>
  <w:num w:numId="3">
    <w:abstractNumId w:val="15"/>
  </w:num>
  <w:num w:numId="4">
    <w:abstractNumId w:val="14"/>
  </w:num>
  <w:num w:numId="5">
    <w:abstractNumId w:val="12"/>
  </w:num>
  <w:num w:numId="6">
    <w:abstractNumId w:val="27"/>
  </w:num>
  <w:num w:numId="7">
    <w:abstractNumId w:val="24"/>
  </w:num>
  <w:num w:numId="8">
    <w:abstractNumId w:val="7"/>
  </w:num>
  <w:num w:numId="9">
    <w:abstractNumId w:val="16"/>
  </w:num>
  <w:num w:numId="10">
    <w:abstractNumId w:val="9"/>
  </w:num>
  <w:num w:numId="11">
    <w:abstractNumId w:val="4"/>
  </w:num>
  <w:num w:numId="12">
    <w:abstractNumId w:val="10"/>
  </w:num>
  <w:num w:numId="13">
    <w:abstractNumId w:val="21"/>
  </w:num>
  <w:num w:numId="14">
    <w:abstractNumId w:val="23"/>
  </w:num>
  <w:num w:numId="15">
    <w:abstractNumId w:val="8"/>
  </w:num>
  <w:num w:numId="16">
    <w:abstractNumId w:val="20"/>
  </w:num>
  <w:num w:numId="17">
    <w:abstractNumId w:val="26"/>
  </w:num>
  <w:num w:numId="18">
    <w:abstractNumId w:val="11"/>
  </w:num>
  <w:num w:numId="19">
    <w:abstractNumId w:val="25"/>
  </w:num>
  <w:num w:numId="20">
    <w:abstractNumId w:val="13"/>
  </w:num>
  <w:num w:numId="21">
    <w:abstractNumId w:val="2"/>
  </w:num>
  <w:num w:numId="22">
    <w:abstractNumId w:val="1"/>
  </w:num>
  <w:num w:numId="23">
    <w:abstractNumId w:val="17"/>
  </w:num>
  <w:num w:numId="24">
    <w:abstractNumId w:val="0"/>
  </w:num>
  <w:num w:numId="25">
    <w:abstractNumId w:val="18"/>
  </w:num>
  <w:num w:numId="26">
    <w:abstractNumId w:val="22"/>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ZjQyMzkyMjI1YWUyZjc3NjRiZTE3NzJkMWJhMWIifQ=="/>
    <w:docVar w:name="KSO_WPS_MARK_KEY" w:val="07015eb9-8f73-4eac-9ac8-a7e96181e676"/>
  </w:docVars>
  <w:rsids>
    <w:rsidRoot w:val="009B0757"/>
    <w:rsid w:val="000000BB"/>
    <w:rsid w:val="0000227C"/>
    <w:rsid w:val="00014123"/>
    <w:rsid w:val="000162BA"/>
    <w:rsid w:val="00016690"/>
    <w:rsid w:val="0002313A"/>
    <w:rsid w:val="000279B0"/>
    <w:rsid w:val="00032014"/>
    <w:rsid w:val="00040350"/>
    <w:rsid w:val="00041DC0"/>
    <w:rsid w:val="00042495"/>
    <w:rsid w:val="00046521"/>
    <w:rsid w:val="00046EA9"/>
    <w:rsid w:val="00052D11"/>
    <w:rsid w:val="00060095"/>
    <w:rsid w:val="00061071"/>
    <w:rsid w:val="00061491"/>
    <w:rsid w:val="00065801"/>
    <w:rsid w:val="000755F8"/>
    <w:rsid w:val="00076794"/>
    <w:rsid w:val="00083A4D"/>
    <w:rsid w:val="00083BC4"/>
    <w:rsid w:val="0008707A"/>
    <w:rsid w:val="00092C32"/>
    <w:rsid w:val="000A2982"/>
    <w:rsid w:val="000A37C4"/>
    <w:rsid w:val="000A43E4"/>
    <w:rsid w:val="000B08E3"/>
    <w:rsid w:val="000B3ABF"/>
    <w:rsid w:val="000B5389"/>
    <w:rsid w:val="000B59E5"/>
    <w:rsid w:val="000C218E"/>
    <w:rsid w:val="000C66EB"/>
    <w:rsid w:val="000D4B5A"/>
    <w:rsid w:val="000E0424"/>
    <w:rsid w:val="000E29A1"/>
    <w:rsid w:val="000E34F0"/>
    <w:rsid w:val="000E365B"/>
    <w:rsid w:val="000E4DFC"/>
    <w:rsid w:val="000E4FE6"/>
    <w:rsid w:val="000F4AA6"/>
    <w:rsid w:val="00105888"/>
    <w:rsid w:val="00107118"/>
    <w:rsid w:val="001071B3"/>
    <w:rsid w:val="001138E1"/>
    <w:rsid w:val="00117B11"/>
    <w:rsid w:val="0012277D"/>
    <w:rsid w:val="001238E5"/>
    <w:rsid w:val="00134A5C"/>
    <w:rsid w:val="00142474"/>
    <w:rsid w:val="0014583B"/>
    <w:rsid w:val="0014638D"/>
    <w:rsid w:val="00147423"/>
    <w:rsid w:val="00153CED"/>
    <w:rsid w:val="00154062"/>
    <w:rsid w:val="001658B0"/>
    <w:rsid w:val="00165AB9"/>
    <w:rsid w:val="00170F8D"/>
    <w:rsid w:val="00171B66"/>
    <w:rsid w:val="00172070"/>
    <w:rsid w:val="00182090"/>
    <w:rsid w:val="00184A05"/>
    <w:rsid w:val="00190CC6"/>
    <w:rsid w:val="00190EDD"/>
    <w:rsid w:val="00191BEB"/>
    <w:rsid w:val="00196063"/>
    <w:rsid w:val="001A0FEE"/>
    <w:rsid w:val="001A586F"/>
    <w:rsid w:val="001A5BAB"/>
    <w:rsid w:val="001A6A4D"/>
    <w:rsid w:val="001A7B51"/>
    <w:rsid w:val="001A7F4A"/>
    <w:rsid w:val="001B5AD9"/>
    <w:rsid w:val="001B79D1"/>
    <w:rsid w:val="001B7CFC"/>
    <w:rsid w:val="001C28AD"/>
    <w:rsid w:val="001C3EC2"/>
    <w:rsid w:val="001C6C81"/>
    <w:rsid w:val="001C7C1E"/>
    <w:rsid w:val="001D0B3D"/>
    <w:rsid w:val="001D3E6B"/>
    <w:rsid w:val="001D5EA1"/>
    <w:rsid w:val="001E10AD"/>
    <w:rsid w:val="001E17A6"/>
    <w:rsid w:val="001E3BF9"/>
    <w:rsid w:val="001F34AA"/>
    <w:rsid w:val="001F60AC"/>
    <w:rsid w:val="00205FC9"/>
    <w:rsid w:val="002076F4"/>
    <w:rsid w:val="0021287B"/>
    <w:rsid w:val="00213642"/>
    <w:rsid w:val="00213C01"/>
    <w:rsid w:val="00217A08"/>
    <w:rsid w:val="00221384"/>
    <w:rsid w:val="00221466"/>
    <w:rsid w:val="00221D4F"/>
    <w:rsid w:val="00226770"/>
    <w:rsid w:val="00234D60"/>
    <w:rsid w:val="002356A7"/>
    <w:rsid w:val="002413D4"/>
    <w:rsid w:val="002466AF"/>
    <w:rsid w:val="00247B3C"/>
    <w:rsid w:val="002502E8"/>
    <w:rsid w:val="002509C2"/>
    <w:rsid w:val="00250D8C"/>
    <w:rsid w:val="0025309E"/>
    <w:rsid w:val="0025447F"/>
    <w:rsid w:val="00264BC6"/>
    <w:rsid w:val="002668BD"/>
    <w:rsid w:val="0026720B"/>
    <w:rsid w:val="00267C87"/>
    <w:rsid w:val="00270676"/>
    <w:rsid w:val="00271A26"/>
    <w:rsid w:val="00272E2C"/>
    <w:rsid w:val="002759F6"/>
    <w:rsid w:val="0027750A"/>
    <w:rsid w:val="00277845"/>
    <w:rsid w:val="002814BD"/>
    <w:rsid w:val="002850EE"/>
    <w:rsid w:val="002856C7"/>
    <w:rsid w:val="002864F3"/>
    <w:rsid w:val="002876F3"/>
    <w:rsid w:val="00291E5C"/>
    <w:rsid w:val="002934F5"/>
    <w:rsid w:val="00294315"/>
    <w:rsid w:val="002A2DEB"/>
    <w:rsid w:val="002A7949"/>
    <w:rsid w:val="002B2F2A"/>
    <w:rsid w:val="002C693F"/>
    <w:rsid w:val="002D5759"/>
    <w:rsid w:val="002D576E"/>
    <w:rsid w:val="002D5BB7"/>
    <w:rsid w:val="002D79AD"/>
    <w:rsid w:val="002E1EA6"/>
    <w:rsid w:val="002E1EB6"/>
    <w:rsid w:val="002E3806"/>
    <w:rsid w:val="002E72CE"/>
    <w:rsid w:val="002F6847"/>
    <w:rsid w:val="002F7370"/>
    <w:rsid w:val="00305A51"/>
    <w:rsid w:val="00306836"/>
    <w:rsid w:val="003138B0"/>
    <w:rsid w:val="0031687F"/>
    <w:rsid w:val="00321A64"/>
    <w:rsid w:val="00325B04"/>
    <w:rsid w:val="00326A03"/>
    <w:rsid w:val="00335CD3"/>
    <w:rsid w:val="00341DEE"/>
    <w:rsid w:val="00347921"/>
    <w:rsid w:val="00351A80"/>
    <w:rsid w:val="00351AF6"/>
    <w:rsid w:val="00353AF0"/>
    <w:rsid w:val="00355614"/>
    <w:rsid w:val="00361501"/>
    <w:rsid w:val="003624E4"/>
    <w:rsid w:val="00364E94"/>
    <w:rsid w:val="00366E6E"/>
    <w:rsid w:val="0036717F"/>
    <w:rsid w:val="0037196D"/>
    <w:rsid w:val="00375944"/>
    <w:rsid w:val="00387591"/>
    <w:rsid w:val="00387A04"/>
    <w:rsid w:val="00392498"/>
    <w:rsid w:val="003A01B4"/>
    <w:rsid w:val="003A66A9"/>
    <w:rsid w:val="003B0921"/>
    <w:rsid w:val="003B2897"/>
    <w:rsid w:val="003B6E3B"/>
    <w:rsid w:val="003B74F1"/>
    <w:rsid w:val="003C104C"/>
    <w:rsid w:val="003C6E86"/>
    <w:rsid w:val="003C75BE"/>
    <w:rsid w:val="003C7C1D"/>
    <w:rsid w:val="003D295A"/>
    <w:rsid w:val="003D2A8E"/>
    <w:rsid w:val="003E263A"/>
    <w:rsid w:val="003E59A1"/>
    <w:rsid w:val="003F785F"/>
    <w:rsid w:val="00401144"/>
    <w:rsid w:val="004035BF"/>
    <w:rsid w:val="004044ED"/>
    <w:rsid w:val="00406B0F"/>
    <w:rsid w:val="004112D6"/>
    <w:rsid w:val="00416959"/>
    <w:rsid w:val="00421437"/>
    <w:rsid w:val="0042211C"/>
    <w:rsid w:val="00424D40"/>
    <w:rsid w:val="0043267E"/>
    <w:rsid w:val="00433873"/>
    <w:rsid w:val="00433A88"/>
    <w:rsid w:val="00435869"/>
    <w:rsid w:val="004454B1"/>
    <w:rsid w:val="00445865"/>
    <w:rsid w:val="00446143"/>
    <w:rsid w:val="00454464"/>
    <w:rsid w:val="00460E7F"/>
    <w:rsid w:val="004619D6"/>
    <w:rsid w:val="00461D21"/>
    <w:rsid w:val="00462606"/>
    <w:rsid w:val="0046328D"/>
    <w:rsid w:val="00464229"/>
    <w:rsid w:val="004651B4"/>
    <w:rsid w:val="004700A0"/>
    <w:rsid w:val="00475AE8"/>
    <w:rsid w:val="00475B1E"/>
    <w:rsid w:val="00476C41"/>
    <w:rsid w:val="00484453"/>
    <w:rsid w:val="00485312"/>
    <w:rsid w:val="00487FCB"/>
    <w:rsid w:val="00492FE7"/>
    <w:rsid w:val="004A1811"/>
    <w:rsid w:val="004A7C81"/>
    <w:rsid w:val="004B366F"/>
    <w:rsid w:val="004B4F99"/>
    <w:rsid w:val="004B5549"/>
    <w:rsid w:val="004B7226"/>
    <w:rsid w:val="004C3BAA"/>
    <w:rsid w:val="004C4771"/>
    <w:rsid w:val="004C68DE"/>
    <w:rsid w:val="004D009E"/>
    <w:rsid w:val="004E3F66"/>
    <w:rsid w:val="004E550B"/>
    <w:rsid w:val="004F690E"/>
    <w:rsid w:val="004F6A33"/>
    <w:rsid w:val="005000BB"/>
    <w:rsid w:val="0050636B"/>
    <w:rsid w:val="00511275"/>
    <w:rsid w:val="00512C2A"/>
    <w:rsid w:val="00514E96"/>
    <w:rsid w:val="00517588"/>
    <w:rsid w:val="00520371"/>
    <w:rsid w:val="0052083C"/>
    <w:rsid w:val="00520CB5"/>
    <w:rsid w:val="005321C2"/>
    <w:rsid w:val="00537CBD"/>
    <w:rsid w:val="005543C6"/>
    <w:rsid w:val="005572B0"/>
    <w:rsid w:val="00563719"/>
    <w:rsid w:val="00565978"/>
    <w:rsid w:val="00572503"/>
    <w:rsid w:val="00573F90"/>
    <w:rsid w:val="0058238B"/>
    <w:rsid w:val="005835D8"/>
    <w:rsid w:val="00583973"/>
    <w:rsid w:val="00584188"/>
    <w:rsid w:val="00584BA8"/>
    <w:rsid w:val="005862EB"/>
    <w:rsid w:val="0058703A"/>
    <w:rsid w:val="0059099B"/>
    <w:rsid w:val="00591304"/>
    <w:rsid w:val="00591EA0"/>
    <w:rsid w:val="005957AB"/>
    <w:rsid w:val="005963DB"/>
    <w:rsid w:val="005A3CEC"/>
    <w:rsid w:val="005A4215"/>
    <w:rsid w:val="005A49ED"/>
    <w:rsid w:val="005A700E"/>
    <w:rsid w:val="005B31FA"/>
    <w:rsid w:val="005B33E7"/>
    <w:rsid w:val="005B5C2F"/>
    <w:rsid w:val="005C1FA5"/>
    <w:rsid w:val="005C5AFE"/>
    <w:rsid w:val="005D021E"/>
    <w:rsid w:val="005D534A"/>
    <w:rsid w:val="005D5D78"/>
    <w:rsid w:val="005D7884"/>
    <w:rsid w:val="005E2B47"/>
    <w:rsid w:val="005E51D4"/>
    <w:rsid w:val="005E5893"/>
    <w:rsid w:val="005E778A"/>
    <w:rsid w:val="005F0A29"/>
    <w:rsid w:val="005F12A6"/>
    <w:rsid w:val="00600335"/>
    <w:rsid w:val="00604A6F"/>
    <w:rsid w:val="00616269"/>
    <w:rsid w:val="006169DB"/>
    <w:rsid w:val="00620143"/>
    <w:rsid w:val="0062213F"/>
    <w:rsid w:val="0062331A"/>
    <w:rsid w:val="00625CBD"/>
    <w:rsid w:val="00631CAD"/>
    <w:rsid w:val="006329FD"/>
    <w:rsid w:val="00637198"/>
    <w:rsid w:val="006417F2"/>
    <w:rsid w:val="006421BD"/>
    <w:rsid w:val="00645AA5"/>
    <w:rsid w:val="00656D04"/>
    <w:rsid w:val="00662349"/>
    <w:rsid w:val="006643EE"/>
    <w:rsid w:val="00664DC8"/>
    <w:rsid w:val="00666D5F"/>
    <w:rsid w:val="00667AB9"/>
    <w:rsid w:val="00670B5A"/>
    <w:rsid w:val="0067122B"/>
    <w:rsid w:val="006714DC"/>
    <w:rsid w:val="006729F2"/>
    <w:rsid w:val="006828AD"/>
    <w:rsid w:val="0068382C"/>
    <w:rsid w:val="0068417C"/>
    <w:rsid w:val="00686B3C"/>
    <w:rsid w:val="006922CD"/>
    <w:rsid w:val="00695546"/>
    <w:rsid w:val="00695BAA"/>
    <w:rsid w:val="006A0674"/>
    <w:rsid w:val="006A4CFE"/>
    <w:rsid w:val="006A6BE3"/>
    <w:rsid w:val="006B55D2"/>
    <w:rsid w:val="006B7ACF"/>
    <w:rsid w:val="006B7AE3"/>
    <w:rsid w:val="006C0345"/>
    <w:rsid w:val="006C4810"/>
    <w:rsid w:val="006C4E3D"/>
    <w:rsid w:val="006C51A8"/>
    <w:rsid w:val="006C7DC9"/>
    <w:rsid w:val="006D0732"/>
    <w:rsid w:val="006E245D"/>
    <w:rsid w:val="006E5D57"/>
    <w:rsid w:val="006F31DD"/>
    <w:rsid w:val="00701786"/>
    <w:rsid w:val="00706DE6"/>
    <w:rsid w:val="007078A7"/>
    <w:rsid w:val="00711DCD"/>
    <w:rsid w:val="007121B2"/>
    <w:rsid w:val="00724576"/>
    <w:rsid w:val="00726D01"/>
    <w:rsid w:val="007273F0"/>
    <w:rsid w:val="00731A43"/>
    <w:rsid w:val="007327A6"/>
    <w:rsid w:val="00733612"/>
    <w:rsid w:val="0073519F"/>
    <w:rsid w:val="007375D1"/>
    <w:rsid w:val="007432BD"/>
    <w:rsid w:val="00746B72"/>
    <w:rsid w:val="00747CB9"/>
    <w:rsid w:val="00750EAF"/>
    <w:rsid w:val="00756C7C"/>
    <w:rsid w:val="007647A8"/>
    <w:rsid w:val="00773C4F"/>
    <w:rsid w:val="00773D0E"/>
    <w:rsid w:val="00776BDB"/>
    <w:rsid w:val="00777F8B"/>
    <w:rsid w:val="00785919"/>
    <w:rsid w:val="00793A3F"/>
    <w:rsid w:val="0079642D"/>
    <w:rsid w:val="007A0CD9"/>
    <w:rsid w:val="007A4FCD"/>
    <w:rsid w:val="007A623D"/>
    <w:rsid w:val="007A796E"/>
    <w:rsid w:val="007B343A"/>
    <w:rsid w:val="007B59E7"/>
    <w:rsid w:val="007B6B5B"/>
    <w:rsid w:val="007C2F56"/>
    <w:rsid w:val="007D02A7"/>
    <w:rsid w:val="007D1AB1"/>
    <w:rsid w:val="007D7906"/>
    <w:rsid w:val="007E3D1A"/>
    <w:rsid w:val="007E52B2"/>
    <w:rsid w:val="007E55F8"/>
    <w:rsid w:val="007E67ED"/>
    <w:rsid w:val="007F0769"/>
    <w:rsid w:val="007F4253"/>
    <w:rsid w:val="007F61DF"/>
    <w:rsid w:val="00805412"/>
    <w:rsid w:val="00805B97"/>
    <w:rsid w:val="00817DF6"/>
    <w:rsid w:val="00827717"/>
    <w:rsid w:val="0083464D"/>
    <w:rsid w:val="00835C70"/>
    <w:rsid w:val="00836B64"/>
    <w:rsid w:val="00840D1B"/>
    <w:rsid w:val="00846EDC"/>
    <w:rsid w:val="00853FB4"/>
    <w:rsid w:val="008547AC"/>
    <w:rsid w:val="00857AEE"/>
    <w:rsid w:val="0086138D"/>
    <w:rsid w:val="008642D8"/>
    <w:rsid w:val="008661E4"/>
    <w:rsid w:val="00871C32"/>
    <w:rsid w:val="0087340F"/>
    <w:rsid w:val="00884080"/>
    <w:rsid w:val="00891CE1"/>
    <w:rsid w:val="0089625C"/>
    <w:rsid w:val="008A16AC"/>
    <w:rsid w:val="008A1FB1"/>
    <w:rsid w:val="008A2FCD"/>
    <w:rsid w:val="008A35F7"/>
    <w:rsid w:val="008A3D99"/>
    <w:rsid w:val="008A5AB5"/>
    <w:rsid w:val="008B338E"/>
    <w:rsid w:val="008B5E93"/>
    <w:rsid w:val="008B60A3"/>
    <w:rsid w:val="008C314C"/>
    <w:rsid w:val="008C4706"/>
    <w:rsid w:val="008D049E"/>
    <w:rsid w:val="008E303D"/>
    <w:rsid w:val="008F108A"/>
    <w:rsid w:val="008F5457"/>
    <w:rsid w:val="008F5B63"/>
    <w:rsid w:val="008F6E88"/>
    <w:rsid w:val="008F7826"/>
    <w:rsid w:val="008F7F21"/>
    <w:rsid w:val="00904D95"/>
    <w:rsid w:val="00905029"/>
    <w:rsid w:val="009142C1"/>
    <w:rsid w:val="00915B37"/>
    <w:rsid w:val="00921BFA"/>
    <w:rsid w:val="00924FAE"/>
    <w:rsid w:val="00925CFD"/>
    <w:rsid w:val="009339AE"/>
    <w:rsid w:val="00937772"/>
    <w:rsid w:val="00942087"/>
    <w:rsid w:val="0094316B"/>
    <w:rsid w:val="009433D7"/>
    <w:rsid w:val="00943654"/>
    <w:rsid w:val="009545D7"/>
    <w:rsid w:val="009633DB"/>
    <w:rsid w:val="00972109"/>
    <w:rsid w:val="009736FA"/>
    <w:rsid w:val="00975E07"/>
    <w:rsid w:val="009855A0"/>
    <w:rsid w:val="00985DB1"/>
    <w:rsid w:val="00997915"/>
    <w:rsid w:val="009A0F38"/>
    <w:rsid w:val="009A2385"/>
    <w:rsid w:val="009A2589"/>
    <w:rsid w:val="009A2A2E"/>
    <w:rsid w:val="009A7605"/>
    <w:rsid w:val="009B0757"/>
    <w:rsid w:val="009C49EF"/>
    <w:rsid w:val="009C6021"/>
    <w:rsid w:val="009D2CC3"/>
    <w:rsid w:val="009D55D4"/>
    <w:rsid w:val="009E1091"/>
    <w:rsid w:val="009E2787"/>
    <w:rsid w:val="009F04AB"/>
    <w:rsid w:val="009F6CF8"/>
    <w:rsid w:val="009F7530"/>
    <w:rsid w:val="00A01FD0"/>
    <w:rsid w:val="00A066B2"/>
    <w:rsid w:val="00A10E92"/>
    <w:rsid w:val="00A11710"/>
    <w:rsid w:val="00A1236C"/>
    <w:rsid w:val="00A3164E"/>
    <w:rsid w:val="00A32908"/>
    <w:rsid w:val="00A3359E"/>
    <w:rsid w:val="00A42E0B"/>
    <w:rsid w:val="00A4324B"/>
    <w:rsid w:val="00A4434E"/>
    <w:rsid w:val="00A51831"/>
    <w:rsid w:val="00A55B18"/>
    <w:rsid w:val="00A64960"/>
    <w:rsid w:val="00A70A2F"/>
    <w:rsid w:val="00A73CC1"/>
    <w:rsid w:val="00A75A0F"/>
    <w:rsid w:val="00A75EB0"/>
    <w:rsid w:val="00A8574D"/>
    <w:rsid w:val="00A8604D"/>
    <w:rsid w:val="00A8774F"/>
    <w:rsid w:val="00A90727"/>
    <w:rsid w:val="00A90E84"/>
    <w:rsid w:val="00A9427F"/>
    <w:rsid w:val="00AA0136"/>
    <w:rsid w:val="00AA2B1E"/>
    <w:rsid w:val="00AA5A11"/>
    <w:rsid w:val="00AA6C14"/>
    <w:rsid w:val="00AB0F81"/>
    <w:rsid w:val="00AB234E"/>
    <w:rsid w:val="00AB2F57"/>
    <w:rsid w:val="00AB4072"/>
    <w:rsid w:val="00AB4AA6"/>
    <w:rsid w:val="00AB7556"/>
    <w:rsid w:val="00AD124F"/>
    <w:rsid w:val="00AD362D"/>
    <w:rsid w:val="00AE0E10"/>
    <w:rsid w:val="00AE309B"/>
    <w:rsid w:val="00AE510C"/>
    <w:rsid w:val="00AE5399"/>
    <w:rsid w:val="00AF2451"/>
    <w:rsid w:val="00AF28B8"/>
    <w:rsid w:val="00AF29F2"/>
    <w:rsid w:val="00AF76CB"/>
    <w:rsid w:val="00B100D7"/>
    <w:rsid w:val="00B12246"/>
    <w:rsid w:val="00B1446B"/>
    <w:rsid w:val="00B151EF"/>
    <w:rsid w:val="00B1638F"/>
    <w:rsid w:val="00B16BAC"/>
    <w:rsid w:val="00B23852"/>
    <w:rsid w:val="00B32990"/>
    <w:rsid w:val="00B41A49"/>
    <w:rsid w:val="00B44263"/>
    <w:rsid w:val="00B4469C"/>
    <w:rsid w:val="00B46019"/>
    <w:rsid w:val="00B4691D"/>
    <w:rsid w:val="00B46FEB"/>
    <w:rsid w:val="00B61011"/>
    <w:rsid w:val="00B61B91"/>
    <w:rsid w:val="00B7252E"/>
    <w:rsid w:val="00B77F47"/>
    <w:rsid w:val="00B80881"/>
    <w:rsid w:val="00B81EE5"/>
    <w:rsid w:val="00BA1C8F"/>
    <w:rsid w:val="00BA1F8B"/>
    <w:rsid w:val="00BA448A"/>
    <w:rsid w:val="00BA4D9F"/>
    <w:rsid w:val="00BA5613"/>
    <w:rsid w:val="00BA6CE8"/>
    <w:rsid w:val="00BB1C08"/>
    <w:rsid w:val="00BB3C7F"/>
    <w:rsid w:val="00BB54A1"/>
    <w:rsid w:val="00BB54BB"/>
    <w:rsid w:val="00BC217F"/>
    <w:rsid w:val="00BC4B12"/>
    <w:rsid w:val="00BC576C"/>
    <w:rsid w:val="00BD5143"/>
    <w:rsid w:val="00BE043D"/>
    <w:rsid w:val="00BE118E"/>
    <w:rsid w:val="00BE5730"/>
    <w:rsid w:val="00BE64B4"/>
    <w:rsid w:val="00BF1A48"/>
    <w:rsid w:val="00BF2A42"/>
    <w:rsid w:val="00BF2FF3"/>
    <w:rsid w:val="00BF32DA"/>
    <w:rsid w:val="00BF536C"/>
    <w:rsid w:val="00BF56A3"/>
    <w:rsid w:val="00BF6CED"/>
    <w:rsid w:val="00C043B3"/>
    <w:rsid w:val="00C127C4"/>
    <w:rsid w:val="00C139A2"/>
    <w:rsid w:val="00C1545B"/>
    <w:rsid w:val="00C17C6D"/>
    <w:rsid w:val="00C305AF"/>
    <w:rsid w:val="00C318F9"/>
    <w:rsid w:val="00C3312C"/>
    <w:rsid w:val="00C37C92"/>
    <w:rsid w:val="00C4102E"/>
    <w:rsid w:val="00C413DB"/>
    <w:rsid w:val="00C419BD"/>
    <w:rsid w:val="00C41E19"/>
    <w:rsid w:val="00C52747"/>
    <w:rsid w:val="00C539EB"/>
    <w:rsid w:val="00C55115"/>
    <w:rsid w:val="00C56ADC"/>
    <w:rsid w:val="00C60AC1"/>
    <w:rsid w:val="00C61451"/>
    <w:rsid w:val="00C63542"/>
    <w:rsid w:val="00C6359A"/>
    <w:rsid w:val="00C65B73"/>
    <w:rsid w:val="00C65DC4"/>
    <w:rsid w:val="00C65FE9"/>
    <w:rsid w:val="00C707CA"/>
    <w:rsid w:val="00C77925"/>
    <w:rsid w:val="00C8057E"/>
    <w:rsid w:val="00C84F6E"/>
    <w:rsid w:val="00C85787"/>
    <w:rsid w:val="00C877DA"/>
    <w:rsid w:val="00C9040B"/>
    <w:rsid w:val="00C92D19"/>
    <w:rsid w:val="00C9374C"/>
    <w:rsid w:val="00C93D02"/>
    <w:rsid w:val="00C95739"/>
    <w:rsid w:val="00C95776"/>
    <w:rsid w:val="00CA11C7"/>
    <w:rsid w:val="00CA6BB2"/>
    <w:rsid w:val="00CB0A66"/>
    <w:rsid w:val="00CC2801"/>
    <w:rsid w:val="00CC3677"/>
    <w:rsid w:val="00CC6BF3"/>
    <w:rsid w:val="00CD179F"/>
    <w:rsid w:val="00CD1CF6"/>
    <w:rsid w:val="00CD4611"/>
    <w:rsid w:val="00CD6E0B"/>
    <w:rsid w:val="00CD7FEF"/>
    <w:rsid w:val="00CE6E67"/>
    <w:rsid w:val="00CE740C"/>
    <w:rsid w:val="00CF2225"/>
    <w:rsid w:val="00CF43CD"/>
    <w:rsid w:val="00CF5292"/>
    <w:rsid w:val="00CF5B36"/>
    <w:rsid w:val="00CF5D37"/>
    <w:rsid w:val="00D044AA"/>
    <w:rsid w:val="00D044EC"/>
    <w:rsid w:val="00D17712"/>
    <w:rsid w:val="00D227A9"/>
    <w:rsid w:val="00D232FA"/>
    <w:rsid w:val="00D370DB"/>
    <w:rsid w:val="00D46447"/>
    <w:rsid w:val="00D474E8"/>
    <w:rsid w:val="00D56980"/>
    <w:rsid w:val="00D57137"/>
    <w:rsid w:val="00D609A5"/>
    <w:rsid w:val="00D63603"/>
    <w:rsid w:val="00D63776"/>
    <w:rsid w:val="00D65A1A"/>
    <w:rsid w:val="00D7417A"/>
    <w:rsid w:val="00D764E1"/>
    <w:rsid w:val="00D814C6"/>
    <w:rsid w:val="00D81501"/>
    <w:rsid w:val="00D834DE"/>
    <w:rsid w:val="00D96C72"/>
    <w:rsid w:val="00DA1BD5"/>
    <w:rsid w:val="00DA4BA0"/>
    <w:rsid w:val="00DB23E6"/>
    <w:rsid w:val="00DB3C80"/>
    <w:rsid w:val="00DB637E"/>
    <w:rsid w:val="00DB6CC0"/>
    <w:rsid w:val="00DC126A"/>
    <w:rsid w:val="00DC1448"/>
    <w:rsid w:val="00DC2738"/>
    <w:rsid w:val="00DC33DB"/>
    <w:rsid w:val="00DD156A"/>
    <w:rsid w:val="00DE1D85"/>
    <w:rsid w:val="00DE24FA"/>
    <w:rsid w:val="00DE255F"/>
    <w:rsid w:val="00DE7A7B"/>
    <w:rsid w:val="00DF3C93"/>
    <w:rsid w:val="00DF6A48"/>
    <w:rsid w:val="00DF7A9B"/>
    <w:rsid w:val="00E01549"/>
    <w:rsid w:val="00E079F9"/>
    <w:rsid w:val="00E1475B"/>
    <w:rsid w:val="00E14C2C"/>
    <w:rsid w:val="00E14ED4"/>
    <w:rsid w:val="00E15907"/>
    <w:rsid w:val="00E2381B"/>
    <w:rsid w:val="00E2421B"/>
    <w:rsid w:val="00E2514C"/>
    <w:rsid w:val="00E26DDC"/>
    <w:rsid w:val="00E27F17"/>
    <w:rsid w:val="00E31D31"/>
    <w:rsid w:val="00E31FEC"/>
    <w:rsid w:val="00E32116"/>
    <w:rsid w:val="00E41D7D"/>
    <w:rsid w:val="00E437D5"/>
    <w:rsid w:val="00E43D20"/>
    <w:rsid w:val="00E440AA"/>
    <w:rsid w:val="00E444FA"/>
    <w:rsid w:val="00E457B4"/>
    <w:rsid w:val="00E50121"/>
    <w:rsid w:val="00E52923"/>
    <w:rsid w:val="00E534CE"/>
    <w:rsid w:val="00E541F7"/>
    <w:rsid w:val="00E5662F"/>
    <w:rsid w:val="00E613EE"/>
    <w:rsid w:val="00E63E72"/>
    <w:rsid w:val="00E70626"/>
    <w:rsid w:val="00E74A5F"/>
    <w:rsid w:val="00E8022F"/>
    <w:rsid w:val="00E81F4B"/>
    <w:rsid w:val="00E83EED"/>
    <w:rsid w:val="00E9336D"/>
    <w:rsid w:val="00EA2457"/>
    <w:rsid w:val="00EA6D5B"/>
    <w:rsid w:val="00EB170F"/>
    <w:rsid w:val="00EB36D9"/>
    <w:rsid w:val="00EC0764"/>
    <w:rsid w:val="00EC0CA5"/>
    <w:rsid w:val="00ED0B13"/>
    <w:rsid w:val="00ED2B3B"/>
    <w:rsid w:val="00ED3812"/>
    <w:rsid w:val="00ED3FD4"/>
    <w:rsid w:val="00ED5B1C"/>
    <w:rsid w:val="00EE079B"/>
    <w:rsid w:val="00EE6AFB"/>
    <w:rsid w:val="00EF2277"/>
    <w:rsid w:val="00EF5234"/>
    <w:rsid w:val="00F004BE"/>
    <w:rsid w:val="00F12F59"/>
    <w:rsid w:val="00F15931"/>
    <w:rsid w:val="00F17E3C"/>
    <w:rsid w:val="00F2656E"/>
    <w:rsid w:val="00F27C29"/>
    <w:rsid w:val="00F30291"/>
    <w:rsid w:val="00F361DB"/>
    <w:rsid w:val="00F41FA3"/>
    <w:rsid w:val="00F47064"/>
    <w:rsid w:val="00F51E36"/>
    <w:rsid w:val="00F56AD1"/>
    <w:rsid w:val="00F661DF"/>
    <w:rsid w:val="00F710A0"/>
    <w:rsid w:val="00F74AED"/>
    <w:rsid w:val="00F7731C"/>
    <w:rsid w:val="00F81471"/>
    <w:rsid w:val="00F8228E"/>
    <w:rsid w:val="00F82A13"/>
    <w:rsid w:val="00F85A3E"/>
    <w:rsid w:val="00F867E1"/>
    <w:rsid w:val="00F92761"/>
    <w:rsid w:val="00F97BBC"/>
    <w:rsid w:val="00FA64CD"/>
    <w:rsid w:val="00FB2216"/>
    <w:rsid w:val="00FB29F9"/>
    <w:rsid w:val="00FB46D5"/>
    <w:rsid w:val="00FB6808"/>
    <w:rsid w:val="00FB6A57"/>
    <w:rsid w:val="00FB6F4D"/>
    <w:rsid w:val="00FB7DC6"/>
    <w:rsid w:val="00FC143B"/>
    <w:rsid w:val="00FC1871"/>
    <w:rsid w:val="00FC3EC8"/>
    <w:rsid w:val="010E70F1"/>
    <w:rsid w:val="012375FA"/>
    <w:rsid w:val="01BD17FD"/>
    <w:rsid w:val="01EC20E2"/>
    <w:rsid w:val="01F04411"/>
    <w:rsid w:val="021402BF"/>
    <w:rsid w:val="0241428A"/>
    <w:rsid w:val="02433E3F"/>
    <w:rsid w:val="0259024D"/>
    <w:rsid w:val="02A91D81"/>
    <w:rsid w:val="02F06E15"/>
    <w:rsid w:val="02F62DBF"/>
    <w:rsid w:val="03921240"/>
    <w:rsid w:val="039335EA"/>
    <w:rsid w:val="03AD5F7B"/>
    <w:rsid w:val="03F9417D"/>
    <w:rsid w:val="0402429A"/>
    <w:rsid w:val="047A5CEE"/>
    <w:rsid w:val="048B7990"/>
    <w:rsid w:val="04D550AF"/>
    <w:rsid w:val="04F3168F"/>
    <w:rsid w:val="052D3383"/>
    <w:rsid w:val="053848DB"/>
    <w:rsid w:val="05653BC6"/>
    <w:rsid w:val="05690402"/>
    <w:rsid w:val="05A0352D"/>
    <w:rsid w:val="05BB5BCD"/>
    <w:rsid w:val="06500E91"/>
    <w:rsid w:val="06502D05"/>
    <w:rsid w:val="066C4286"/>
    <w:rsid w:val="068F2DD8"/>
    <w:rsid w:val="06913531"/>
    <w:rsid w:val="069D37D6"/>
    <w:rsid w:val="06AE5F35"/>
    <w:rsid w:val="06B75798"/>
    <w:rsid w:val="06E45138"/>
    <w:rsid w:val="06EF5768"/>
    <w:rsid w:val="076E4A6C"/>
    <w:rsid w:val="07882B10"/>
    <w:rsid w:val="079C5DDB"/>
    <w:rsid w:val="07AA728C"/>
    <w:rsid w:val="07B92A66"/>
    <w:rsid w:val="07DC228F"/>
    <w:rsid w:val="07E543DE"/>
    <w:rsid w:val="0854453D"/>
    <w:rsid w:val="08580653"/>
    <w:rsid w:val="087921F6"/>
    <w:rsid w:val="08AA23AF"/>
    <w:rsid w:val="08CA257F"/>
    <w:rsid w:val="09093579"/>
    <w:rsid w:val="094A681C"/>
    <w:rsid w:val="09670057"/>
    <w:rsid w:val="09730682"/>
    <w:rsid w:val="09C82F9F"/>
    <w:rsid w:val="09E119F3"/>
    <w:rsid w:val="0A375D4C"/>
    <w:rsid w:val="0A7964DD"/>
    <w:rsid w:val="0A821835"/>
    <w:rsid w:val="0A8455AD"/>
    <w:rsid w:val="0A9256FD"/>
    <w:rsid w:val="0AAC7117"/>
    <w:rsid w:val="0AD72AE5"/>
    <w:rsid w:val="0BDE0CED"/>
    <w:rsid w:val="0BF37B5F"/>
    <w:rsid w:val="0BFD7267"/>
    <w:rsid w:val="0BFE7C41"/>
    <w:rsid w:val="0C167EB5"/>
    <w:rsid w:val="0C3366CC"/>
    <w:rsid w:val="0C5734B3"/>
    <w:rsid w:val="0CA24707"/>
    <w:rsid w:val="0CD21ED4"/>
    <w:rsid w:val="0CEA2D60"/>
    <w:rsid w:val="0D2B61B4"/>
    <w:rsid w:val="0D350DE1"/>
    <w:rsid w:val="0D787385"/>
    <w:rsid w:val="0DA117CD"/>
    <w:rsid w:val="0DAE649D"/>
    <w:rsid w:val="0DF04D08"/>
    <w:rsid w:val="0E1B282E"/>
    <w:rsid w:val="0E3F1693"/>
    <w:rsid w:val="0E5E16BA"/>
    <w:rsid w:val="0E5E42BB"/>
    <w:rsid w:val="0E6225AB"/>
    <w:rsid w:val="0EA12D70"/>
    <w:rsid w:val="0FCD47F6"/>
    <w:rsid w:val="10301A7D"/>
    <w:rsid w:val="10AD28D6"/>
    <w:rsid w:val="10B647F9"/>
    <w:rsid w:val="113F5831"/>
    <w:rsid w:val="11544749"/>
    <w:rsid w:val="11683FEB"/>
    <w:rsid w:val="11692E07"/>
    <w:rsid w:val="11816086"/>
    <w:rsid w:val="11832BEF"/>
    <w:rsid w:val="11E64458"/>
    <w:rsid w:val="122E1876"/>
    <w:rsid w:val="122F36F4"/>
    <w:rsid w:val="1232769D"/>
    <w:rsid w:val="13124788"/>
    <w:rsid w:val="135B3DF1"/>
    <w:rsid w:val="137C74D8"/>
    <w:rsid w:val="13C20EF5"/>
    <w:rsid w:val="13F015BE"/>
    <w:rsid w:val="13FA35D1"/>
    <w:rsid w:val="14521447"/>
    <w:rsid w:val="1494463F"/>
    <w:rsid w:val="149C34F4"/>
    <w:rsid w:val="14C15145"/>
    <w:rsid w:val="14D603CA"/>
    <w:rsid w:val="15502B4A"/>
    <w:rsid w:val="15D755A7"/>
    <w:rsid w:val="15DC5E1F"/>
    <w:rsid w:val="16161084"/>
    <w:rsid w:val="165F32F5"/>
    <w:rsid w:val="16930926"/>
    <w:rsid w:val="16C64858"/>
    <w:rsid w:val="16EC4776"/>
    <w:rsid w:val="17265059"/>
    <w:rsid w:val="1726591C"/>
    <w:rsid w:val="173313F4"/>
    <w:rsid w:val="173D7210"/>
    <w:rsid w:val="17604CAC"/>
    <w:rsid w:val="17964BA4"/>
    <w:rsid w:val="183324AE"/>
    <w:rsid w:val="18496EC1"/>
    <w:rsid w:val="18673E19"/>
    <w:rsid w:val="188A1175"/>
    <w:rsid w:val="18A95E47"/>
    <w:rsid w:val="18D357ED"/>
    <w:rsid w:val="192A5A48"/>
    <w:rsid w:val="19512E99"/>
    <w:rsid w:val="1A037B71"/>
    <w:rsid w:val="1A2E4BEE"/>
    <w:rsid w:val="1A3D3264"/>
    <w:rsid w:val="1A646862"/>
    <w:rsid w:val="1A750A6F"/>
    <w:rsid w:val="1B135F03"/>
    <w:rsid w:val="1B237A49"/>
    <w:rsid w:val="1B632981"/>
    <w:rsid w:val="1BB74336"/>
    <w:rsid w:val="1BB750B7"/>
    <w:rsid w:val="1BE0016A"/>
    <w:rsid w:val="1BEC4D61"/>
    <w:rsid w:val="1C582CA2"/>
    <w:rsid w:val="1C907E2E"/>
    <w:rsid w:val="1CD070BC"/>
    <w:rsid w:val="1CDB225F"/>
    <w:rsid w:val="1CF06D0A"/>
    <w:rsid w:val="1D0F137E"/>
    <w:rsid w:val="1D166C2B"/>
    <w:rsid w:val="1D390382"/>
    <w:rsid w:val="1D686ACF"/>
    <w:rsid w:val="1D84728B"/>
    <w:rsid w:val="1D885153"/>
    <w:rsid w:val="1D96281D"/>
    <w:rsid w:val="1D9E287E"/>
    <w:rsid w:val="1DAC7D09"/>
    <w:rsid w:val="1DBE5B20"/>
    <w:rsid w:val="1DEB13E6"/>
    <w:rsid w:val="1DF029ED"/>
    <w:rsid w:val="1E1F5102"/>
    <w:rsid w:val="1E53764F"/>
    <w:rsid w:val="1E6176C3"/>
    <w:rsid w:val="1EBF7BFB"/>
    <w:rsid w:val="1ECE677E"/>
    <w:rsid w:val="1ED3045A"/>
    <w:rsid w:val="1ED7171F"/>
    <w:rsid w:val="1F010B23"/>
    <w:rsid w:val="1F5C044F"/>
    <w:rsid w:val="1F751511"/>
    <w:rsid w:val="1F9D6B49"/>
    <w:rsid w:val="1FD46237"/>
    <w:rsid w:val="1FFA55A0"/>
    <w:rsid w:val="20012DA5"/>
    <w:rsid w:val="2073120C"/>
    <w:rsid w:val="207A54F9"/>
    <w:rsid w:val="20E0131A"/>
    <w:rsid w:val="21190D9C"/>
    <w:rsid w:val="211C60E8"/>
    <w:rsid w:val="215C1B5A"/>
    <w:rsid w:val="217250D3"/>
    <w:rsid w:val="21BA320B"/>
    <w:rsid w:val="21CA5B44"/>
    <w:rsid w:val="21E629AA"/>
    <w:rsid w:val="225219CE"/>
    <w:rsid w:val="22670F2A"/>
    <w:rsid w:val="22910562"/>
    <w:rsid w:val="22B046A1"/>
    <w:rsid w:val="22F37984"/>
    <w:rsid w:val="233D673F"/>
    <w:rsid w:val="2387725C"/>
    <w:rsid w:val="23A6613D"/>
    <w:rsid w:val="23BF2431"/>
    <w:rsid w:val="23DF33FD"/>
    <w:rsid w:val="23E125AD"/>
    <w:rsid w:val="23FC7B0B"/>
    <w:rsid w:val="246833F2"/>
    <w:rsid w:val="248420F6"/>
    <w:rsid w:val="24D3790E"/>
    <w:rsid w:val="24F256A7"/>
    <w:rsid w:val="24FA23B2"/>
    <w:rsid w:val="253F05F7"/>
    <w:rsid w:val="254D6740"/>
    <w:rsid w:val="254E4396"/>
    <w:rsid w:val="25CC2F02"/>
    <w:rsid w:val="25D52D09"/>
    <w:rsid w:val="25DE4C6C"/>
    <w:rsid w:val="25F767DC"/>
    <w:rsid w:val="263F1E80"/>
    <w:rsid w:val="265C2EDA"/>
    <w:rsid w:val="26956D0F"/>
    <w:rsid w:val="26BD0DE6"/>
    <w:rsid w:val="27277BD5"/>
    <w:rsid w:val="27365342"/>
    <w:rsid w:val="274F0FF6"/>
    <w:rsid w:val="27B22717"/>
    <w:rsid w:val="27D01EF5"/>
    <w:rsid w:val="27FA3C0E"/>
    <w:rsid w:val="280F1B36"/>
    <w:rsid w:val="28215D92"/>
    <w:rsid w:val="282E4770"/>
    <w:rsid w:val="285515C9"/>
    <w:rsid w:val="285C501C"/>
    <w:rsid w:val="286D26B4"/>
    <w:rsid w:val="288B6294"/>
    <w:rsid w:val="28F96D0F"/>
    <w:rsid w:val="29DC2957"/>
    <w:rsid w:val="2A1262DA"/>
    <w:rsid w:val="2A4361E4"/>
    <w:rsid w:val="2AB0164F"/>
    <w:rsid w:val="2ABA427C"/>
    <w:rsid w:val="2AD83DCA"/>
    <w:rsid w:val="2AED31B4"/>
    <w:rsid w:val="2B1E7536"/>
    <w:rsid w:val="2B4F4E74"/>
    <w:rsid w:val="2B6026D7"/>
    <w:rsid w:val="2B8B125A"/>
    <w:rsid w:val="2B93145B"/>
    <w:rsid w:val="2BA26560"/>
    <w:rsid w:val="2BCA4992"/>
    <w:rsid w:val="2BD63337"/>
    <w:rsid w:val="2C3D6F12"/>
    <w:rsid w:val="2C673F8F"/>
    <w:rsid w:val="2C9F197B"/>
    <w:rsid w:val="2CA53827"/>
    <w:rsid w:val="2CD6332A"/>
    <w:rsid w:val="2D2D5930"/>
    <w:rsid w:val="2D3130E3"/>
    <w:rsid w:val="2D4C4757"/>
    <w:rsid w:val="2D4D13D7"/>
    <w:rsid w:val="2D515B01"/>
    <w:rsid w:val="2D5E5392"/>
    <w:rsid w:val="2D916D9A"/>
    <w:rsid w:val="2DD678F6"/>
    <w:rsid w:val="2E071B47"/>
    <w:rsid w:val="2E0C19A0"/>
    <w:rsid w:val="2E1F1945"/>
    <w:rsid w:val="2E234D83"/>
    <w:rsid w:val="2E64464E"/>
    <w:rsid w:val="2E70537D"/>
    <w:rsid w:val="2E7828CE"/>
    <w:rsid w:val="2E9848D4"/>
    <w:rsid w:val="2E9E23F9"/>
    <w:rsid w:val="2EA4164D"/>
    <w:rsid w:val="2ED9457A"/>
    <w:rsid w:val="2F004BD4"/>
    <w:rsid w:val="2F435399"/>
    <w:rsid w:val="2F613F0D"/>
    <w:rsid w:val="2FB77EA1"/>
    <w:rsid w:val="2FCC7C1D"/>
    <w:rsid w:val="3002111E"/>
    <w:rsid w:val="30275A64"/>
    <w:rsid w:val="303A6497"/>
    <w:rsid w:val="30850E88"/>
    <w:rsid w:val="30A12166"/>
    <w:rsid w:val="30AB6B41"/>
    <w:rsid w:val="30E43E01"/>
    <w:rsid w:val="3138414C"/>
    <w:rsid w:val="315947EF"/>
    <w:rsid w:val="318B0405"/>
    <w:rsid w:val="318B0720"/>
    <w:rsid w:val="319B4E07"/>
    <w:rsid w:val="31AF579D"/>
    <w:rsid w:val="31CD2AE7"/>
    <w:rsid w:val="31F34429"/>
    <w:rsid w:val="32165DC2"/>
    <w:rsid w:val="32306E26"/>
    <w:rsid w:val="32501E83"/>
    <w:rsid w:val="326A08E2"/>
    <w:rsid w:val="32960FFB"/>
    <w:rsid w:val="32E25BDB"/>
    <w:rsid w:val="33274478"/>
    <w:rsid w:val="33945FB2"/>
    <w:rsid w:val="347656B7"/>
    <w:rsid w:val="34932EE6"/>
    <w:rsid w:val="34A065F3"/>
    <w:rsid w:val="34D920F2"/>
    <w:rsid w:val="351C000D"/>
    <w:rsid w:val="3522357D"/>
    <w:rsid w:val="361E2688"/>
    <w:rsid w:val="36245761"/>
    <w:rsid w:val="36254EC5"/>
    <w:rsid w:val="366D1B94"/>
    <w:rsid w:val="368C7EF8"/>
    <w:rsid w:val="369B31B3"/>
    <w:rsid w:val="36AC53C0"/>
    <w:rsid w:val="36B702F9"/>
    <w:rsid w:val="36B96138"/>
    <w:rsid w:val="36F9612C"/>
    <w:rsid w:val="371A3030"/>
    <w:rsid w:val="37666133"/>
    <w:rsid w:val="377203B8"/>
    <w:rsid w:val="379C5435"/>
    <w:rsid w:val="37A10F11"/>
    <w:rsid w:val="37C46E20"/>
    <w:rsid w:val="37D03331"/>
    <w:rsid w:val="37FE0311"/>
    <w:rsid w:val="383B2EA0"/>
    <w:rsid w:val="38593326"/>
    <w:rsid w:val="38651CCB"/>
    <w:rsid w:val="386B4E07"/>
    <w:rsid w:val="388B7489"/>
    <w:rsid w:val="38A2724E"/>
    <w:rsid w:val="38D33CF5"/>
    <w:rsid w:val="390A56A6"/>
    <w:rsid w:val="393A4E47"/>
    <w:rsid w:val="39D05107"/>
    <w:rsid w:val="3A127726"/>
    <w:rsid w:val="3A695377"/>
    <w:rsid w:val="3AC7782B"/>
    <w:rsid w:val="3B005CDB"/>
    <w:rsid w:val="3B5D7086"/>
    <w:rsid w:val="3B653D90"/>
    <w:rsid w:val="3BB2704A"/>
    <w:rsid w:val="3C1A7270"/>
    <w:rsid w:val="3C1F61EC"/>
    <w:rsid w:val="3C2D62F1"/>
    <w:rsid w:val="3C5F2ED5"/>
    <w:rsid w:val="3C6B3F36"/>
    <w:rsid w:val="3CA60988"/>
    <w:rsid w:val="3CB054DF"/>
    <w:rsid w:val="3CC83C53"/>
    <w:rsid w:val="3CFD45D1"/>
    <w:rsid w:val="3D1575AC"/>
    <w:rsid w:val="3D5567B2"/>
    <w:rsid w:val="3D8E7D79"/>
    <w:rsid w:val="3D9F5C7F"/>
    <w:rsid w:val="3DBC2613"/>
    <w:rsid w:val="3DC74CA5"/>
    <w:rsid w:val="3DCE6FCB"/>
    <w:rsid w:val="3DCF2462"/>
    <w:rsid w:val="3E7E518B"/>
    <w:rsid w:val="3EA66B99"/>
    <w:rsid w:val="3ED853E8"/>
    <w:rsid w:val="3F0B7196"/>
    <w:rsid w:val="3F1B4799"/>
    <w:rsid w:val="3F6F1681"/>
    <w:rsid w:val="3FDD569A"/>
    <w:rsid w:val="3FE77898"/>
    <w:rsid w:val="3FF30828"/>
    <w:rsid w:val="3FF676AC"/>
    <w:rsid w:val="400F3047"/>
    <w:rsid w:val="4044180E"/>
    <w:rsid w:val="404623E2"/>
    <w:rsid w:val="405532B0"/>
    <w:rsid w:val="405C39B3"/>
    <w:rsid w:val="40931576"/>
    <w:rsid w:val="414571D9"/>
    <w:rsid w:val="41735397"/>
    <w:rsid w:val="417F023E"/>
    <w:rsid w:val="41E000B5"/>
    <w:rsid w:val="420E3652"/>
    <w:rsid w:val="425F2B99"/>
    <w:rsid w:val="42C85330"/>
    <w:rsid w:val="42CB6D71"/>
    <w:rsid w:val="42F04887"/>
    <w:rsid w:val="42FA3E17"/>
    <w:rsid w:val="434B7D0F"/>
    <w:rsid w:val="4404683C"/>
    <w:rsid w:val="441359D0"/>
    <w:rsid w:val="4438014F"/>
    <w:rsid w:val="45013E10"/>
    <w:rsid w:val="45182E8B"/>
    <w:rsid w:val="4537679D"/>
    <w:rsid w:val="4578611C"/>
    <w:rsid w:val="458A2D71"/>
    <w:rsid w:val="45973865"/>
    <w:rsid w:val="45B002FD"/>
    <w:rsid w:val="45D3296A"/>
    <w:rsid w:val="45F428E0"/>
    <w:rsid w:val="46077809"/>
    <w:rsid w:val="46250CEB"/>
    <w:rsid w:val="464D7218"/>
    <w:rsid w:val="467461F9"/>
    <w:rsid w:val="467B0952"/>
    <w:rsid w:val="46935C55"/>
    <w:rsid w:val="46C04776"/>
    <w:rsid w:val="46DD13C5"/>
    <w:rsid w:val="474C7916"/>
    <w:rsid w:val="475073D7"/>
    <w:rsid w:val="479D1C73"/>
    <w:rsid w:val="47A5034C"/>
    <w:rsid w:val="47F97127"/>
    <w:rsid w:val="484914DD"/>
    <w:rsid w:val="48C4106A"/>
    <w:rsid w:val="48D65DE1"/>
    <w:rsid w:val="496140CE"/>
    <w:rsid w:val="496B2617"/>
    <w:rsid w:val="497F15DB"/>
    <w:rsid w:val="498C1898"/>
    <w:rsid w:val="49934575"/>
    <w:rsid w:val="499A3366"/>
    <w:rsid w:val="49C21F14"/>
    <w:rsid w:val="49DA6491"/>
    <w:rsid w:val="49FC7FB5"/>
    <w:rsid w:val="4A1C2405"/>
    <w:rsid w:val="4A2E5666"/>
    <w:rsid w:val="4A586471"/>
    <w:rsid w:val="4A6C2310"/>
    <w:rsid w:val="4A822D92"/>
    <w:rsid w:val="4A8E3BB0"/>
    <w:rsid w:val="4A995804"/>
    <w:rsid w:val="4A9A462D"/>
    <w:rsid w:val="4AA46683"/>
    <w:rsid w:val="4AB37EA8"/>
    <w:rsid w:val="4B6422B6"/>
    <w:rsid w:val="4B6D2F19"/>
    <w:rsid w:val="4B8464B4"/>
    <w:rsid w:val="4BA5487A"/>
    <w:rsid w:val="4BAF1783"/>
    <w:rsid w:val="4BDD36D9"/>
    <w:rsid w:val="4C136093"/>
    <w:rsid w:val="4C2777CB"/>
    <w:rsid w:val="4C5D7755"/>
    <w:rsid w:val="4C60482B"/>
    <w:rsid w:val="4C714C8A"/>
    <w:rsid w:val="4C9D782D"/>
    <w:rsid w:val="4CD05D73"/>
    <w:rsid w:val="4CE23492"/>
    <w:rsid w:val="4CEA3967"/>
    <w:rsid w:val="4DA96288"/>
    <w:rsid w:val="4DB841F3"/>
    <w:rsid w:val="4DC62DB4"/>
    <w:rsid w:val="4DD3102D"/>
    <w:rsid w:val="4E3F2CD6"/>
    <w:rsid w:val="4E545ADF"/>
    <w:rsid w:val="4E647909"/>
    <w:rsid w:val="4E944EB6"/>
    <w:rsid w:val="4EBD5F65"/>
    <w:rsid w:val="4EE80784"/>
    <w:rsid w:val="4F0D690E"/>
    <w:rsid w:val="4F101328"/>
    <w:rsid w:val="4FDD78EB"/>
    <w:rsid w:val="4FE442AD"/>
    <w:rsid w:val="4FFF3028"/>
    <w:rsid w:val="500C0C41"/>
    <w:rsid w:val="503E1024"/>
    <w:rsid w:val="504A4C1E"/>
    <w:rsid w:val="50A01889"/>
    <w:rsid w:val="50C21F91"/>
    <w:rsid w:val="50CF3D2E"/>
    <w:rsid w:val="50D44200"/>
    <w:rsid w:val="514B4F26"/>
    <w:rsid w:val="517A013D"/>
    <w:rsid w:val="51886BCC"/>
    <w:rsid w:val="519306C0"/>
    <w:rsid w:val="51A52CE0"/>
    <w:rsid w:val="52285DEB"/>
    <w:rsid w:val="522B34D8"/>
    <w:rsid w:val="524368CF"/>
    <w:rsid w:val="524F15CA"/>
    <w:rsid w:val="526D5D71"/>
    <w:rsid w:val="527D0825"/>
    <w:rsid w:val="528154FB"/>
    <w:rsid w:val="529A1526"/>
    <w:rsid w:val="529C53CA"/>
    <w:rsid w:val="529D75A6"/>
    <w:rsid w:val="52C30B81"/>
    <w:rsid w:val="52CC0F96"/>
    <w:rsid w:val="52EC4A77"/>
    <w:rsid w:val="536229EE"/>
    <w:rsid w:val="53792984"/>
    <w:rsid w:val="53CE6C70"/>
    <w:rsid w:val="53EC5A2E"/>
    <w:rsid w:val="547E2174"/>
    <w:rsid w:val="54945034"/>
    <w:rsid w:val="549A28A4"/>
    <w:rsid w:val="551F662F"/>
    <w:rsid w:val="551F76C9"/>
    <w:rsid w:val="554C277D"/>
    <w:rsid w:val="55800FB1"/>
    <w:rsid w:val="55872E29"/>
    <w:rsid w:val="55943798"/>
    <w:rsid w:val="55B02E5B"/>
    <w:rsid w:val="55E95892"/>
    <w:rsid w:val="55FE0BAB"/>
    <w:rsid w:val="560D23B9"/>
    <w:rsid w:val="56130B60"/>
    <w:rsid w:val="56867584"/>
    <w:rsid w:val="56D504FC"/>
    <w:rsid w:val="56E36785"/>
    <w:rsid w:val="57B80FEC"/>
    <w:rsid w:val="57BD0D84"/>
    <w:rsid w:val="580C50DF"/>
    <w:rsid w:val="58412D80"/>
    <w:rsid w:val="5846521D"/>
    <w:rsid w:val="58490C8E"/>
    <w:rsid w:val="58A261CC"/>
    <w:rsid w:val="58D91186"/>
    <w:rsid w:val="59123A84"/>
    <w:rsid w:val="594458FF"/>
    <w:rsid w:val="596209A6"/>
    <w:rsid w:val="59634613"/>
    <w:rsid w:val="5979517E"/>
    <w:rsid w:val="59890E6C"/>
    <w:rsid w:val="59C52172"/>
    <w:rsid w:val="5A040EEC"/>
    <w:rsid w:val="5A13112F"/>
    <w:rsid w:val="5A4263BF"/>
    <w:rsid w:val="5A4A2677"/>
    <w:rsid w:val="5A4A3663"/>
    <w:rsid w:val="5A65769B"/>
    <w:rsid w:val="5A7871E4"/>
    <w:rsid w:val="5B213FD7"/>
    <w:rsid w:val="5B5639C9"/>
    <w:rsid w:val="5B5F38CB"/>
    <w:rsid w:val="5BB36D43"/>
    <w:rsid w:val="5C090A3C"/>
    <w:rsid w:val="5C2B7622"/>
    <w:rsid w:val="5C391324"/>
    <w:rsid w:val="5C3F445D"/>
    <w:rsid w:val="5C6E6AF1"/>
    <w:rsid w:val="5CBE0AF0"/>
    <w:rsid w:val="5CE11ED1"/>
    <w:rsid w:val="5CE93616"/>
    <w:rsid w:val="5D266F56"/>
    <w:rsid w:val="5D5F0642"/>
    <w:rsid w:val="5D600B2F"/>
    <w:rsid w:val="5D8B2D00"/>
    <w:rsid w:val="5D9A1D6A"/>
    <w:rsid w:val="5DCD57AA"/>
    <w:rsid w:val="5DFE0BF4"/>
    <w:rsid w:val="5E2002BE"/>
    <w:rsid w:val="5E2A10B8"/>
    <w:rsid w:val="5E5F0DE7"/>
    <w:rsid w:val="5EA26F34"/>
    <w:rsid w:val="5F9B7562"/>
    <w:rsid w:val="601343C1"/>
    <w:rsid w:val="60140767"/>
    <w:rsid w:val="60A47158"/>
    <w:rsid w:val="60D87CE5"/>
    <w:rsid w:val="614C3BF5"/>
    <w:rsid w:val="615558A2"/>
    <w:rsid w:val="61671694"/>
    <w:rsid w:val="61946FF9"/>
    <w:rsid w:val="61996AEF"/>
    <w:rsid w:val="61AD678A"/>
    <w:rsid w:val="61D05B58"/>
    <w:rsid w:val="620E29EE"/>
    <w:rsid w:val="62172BB5"/>
    <w:rsid w:val="62A768B8"/>
    <w:rsid w:val="62CA655F"/>
    <w:rsid w:val="62CC27C3"/>
    <w:rsid w:val="62D60F4C"/>
    <w:rsid w:val="630C0E11"/>
    <w:rsid w:val="633253AF"/>
    <w:rsid w:val="63665109"/>
    <w:rsid w:val="637217C6"/>
    <w:rsid w:val="637C1B8F"/>
    <w:rsid w:val="63827325"/>
    <w:rsid w:val="639A229E"/>
    <w:rsid w:val="63C653EA"/>
    <w:rsid w:val="63E1229E"/>
    <w:rsid w:val="63FC2C34"/>
    <w:rsid w:val="64060301"/>
    <w:rsid w:val="6410048D"/>
    <w:rsid w:val="642C6F9D"/>
    <w:rsid w:val="64654F8C"/>
    <w:rsid w:val="6475400A"/>
    <w:rsid w:val="64A5368C"/>
    <w:rsid w:val="64CB7499"/>
    <w:rsid w:val="64E635B8"/>
    <w:rsid w:val="64FD6C64"/>
    <w:rsid w:val="65087EF5"/>
    <w:rsid w:val="65402FF4"/>
    <w:rsid w:val="65580DE5"/>
    <w:rsid w:val="6579196C"/>
    <w:rsid w:val="658F23C8"/>
    <w:rsid w:val="65A81798"/>
    <w:rsid w:val="66062811"/>
    <w:rsid w:val="660F30F2"/>
    <w:rsid w:val="662D459A"/>
    <w:rsid w:val="669929BC"/>
    <w:rsid w:val="66D659BE"/>
    <w:rsid w:val="66E15D1D"/>
    <w:rsid w:val="6751277E"/>
    <w:rsid w:val="675F0409"/>
    <w:rsid w:val="677376B1"/>
    <w:rsid w:val="677658CD"/>
    <w:rsid w:val="678B4849"/>
    <w:rsid w:val="67DB7416"/>
    <w:rsid w:val="68242759"/>
    <w:rsid w:val="68541290"/>
    <w:rsid w:val="688431F8"/>
    <w:rsid w:val="68966C84"/>
    <w:rsid w:val="68FE45BD"/>
    <w:rsid w:val="690C1B6B"/>
    <w:rsid w:val="69354300"/>
    <w:rsid w:val="694C4936"/>
    <w:rsid w:val="69567C43"/>
    <w:rsid w:val="69654721"/>
    <w:rsid w:val="696574CD"/>
    <w:rsid w:val="6968046A"/>
    <w:rsid w:val="69B16201"/>
    <w:rsid w:val="69CA7330"/>
    <w:rsid w:val="6A102F95"/>
    <w:rsid w:val="6A1E10F8"/>
    <w:rsid w:val="6A4476BF"/>
    <w:rsid w:val="6A731776"/>
    <w:rsid w:val="6A9600B7"/>
    <w:rsid w:val="6ACB04D9"/>
    <w:rsid w:val="6AEB5E05"/>
    <w:rsid w:val="6B9600D4"/>
    <w:rsid w:val="6BDA77C7"/>
    <w:rsid w:val="6BF06A34"/>
    <w:rsid w:val="6BF973D9"/>
    <w:rsid w:val="6C066099"/>
    <w:rsid w:val="6C0B74D3"/>
    <w:rsid w:val="6C852F42"/>
    <w:rsid w:val="6C9C4FB4"/>
    <w:rsid w:val="6CC8426A"/>
    <w:rsid w:val="6D0D7C37"/>
    <w:rsid w:val="6D303996"/>
    <w:rsid w:val="6D830574"/>
    <w:rsid w:val="6D8D3813"/>
    <w:rsid w:val="6DAF51BB"/>
    <w:rsid w:val="6DD81BD3"/>
    <w:rsid w:val="6DE24C48"/>
    <w:rsid w:val="6E8C2E06"/>
    <w:rsid w:val="6E917E2F"/>
    <w:rsid w:val="6E92178E"/>
    <w:rsid w:val="6F1B2B08"/>
    <w:rsid w:val="6F280D81"/>
    <w:rsid w:val="6F296E91"/>
    <w:rsid w:val="6F2A4AF9"/>
    <w:rsid w:val="6F3E2352"/>
    <w:rsid w:val="6F506C14"/>
    <w:rsid w:val="6F5871AE"/>
    <w:rsid w:val="6F6A1399"/>
    <w:rsid w:val="6F717219"/>
    <w:rsid w:val="6F8D3C80"/>
    <w:rsid w:val="6F984159"/>
    <w:rsid w:val="7054602D"/>
    <w:rsid w:val="70671D7D"/>
    <w:rsid w:val="70700C31"/>
    <w:rsid w:val="70BB7448"/>
    <w:rsid w:val="70C42D2B"/>
    <w:rsid w:val="70EE6A71"/>
    <w:rsid w:val="71043C71"/>
    <w:rsid w:val="7150503B"/>
    <w:rsid w:val="717421FD"/>
    <w:rsid w:val="717823F9"/>
    <w:rsid w:val="71926986"/>
    <w:rsid w:val="719745C5"/>
    <w:rsid w:val="71C70D25"/>
    <w:rsid w:val="71D8553C"/>
    <w:rsid w:val="725956F5"/>
    <w:rsid w:val="726904C7"/>
    <w:rsid w:val="726F1D30"/>
    <w:rsid w:val="728B6A88"/>
    <w:rsid w:val="72AC7F1B"/>
    <w:rsid w:val="72BF3265"/>
    <w:rsid w:val="732D4BB8"/>
    <w:rsid w:val="73A00E5F"/>
    <w:rsid w:val="73C44508"/>
    <w:rsid w:val="741D09C4"/>
    <w:rsid w:val="744270AD"/>
    <w:rsid w:val="744620C8"/>
    <w:rsid w:val="744F1598"/>
    <w:rsid w:val="74655B82"/>
    <w:rsid w:val="748508FC"/>
    <w:rsid w:val="74E90FB2"/>
    <w:rsid w:val="74EB5CDA"/>
    <w:rsid w:val="75033304"/>
    <w:rsid w:val="752E6094"/>
    <w:rsid w:val="75693B1A"/>
    <w:rsid w:val="756E78FC"/>
    <w:rsid w:val="758C7E69"/>
    <w:rsid w:val="75D3576B"/>
    <w:rsid w:val="75D82E83"/>
    <w:rsid w:val="75DB3FCF"/>
    <w:rsid w:val="75DE00BA"/>
    <w:rsid w:val="763F1E3E"/>
    <w:rsid w:val="765D709B"/>
    <w:rsid w:val="767E70A2"/>
    <w:rsid w:val="77205619"/>
    <w:rsid w:val="773C7A83"/>
    <w:rsid w:val="7769651F"/>
    <w:rsid w:val="77CC4224"/>
    <w:rsid w:val="77E51F05"/>
    <w:rsid w:val="77E55714"/>
    <w:rsid w:val="78000AED"/>
    <w:rsid w:val="783F0EE9"/>
    <w:rsid w:val="78597C58"/>
    <w:rsid w:val="78664BBD"/>
    <w:rsid w:val="78670B6C"/>
    <w:rsid w:val="786E1329"/>
    <w:rsid w:val="7876121D"/>
    <w:rsid w:val="78972AD3"/>
    <w:rsid w:val="78C56EED"/>
    <w:rsid w:val="78CC399E"/>
    <w:rsid w:val="78CD32B5"/>
    <w:rsid w:val="78E112F1"/>
    <w:rsid w:val="78F33E83"/>
    <w:rsid w:val="795D35B9"/>
    <w:rsid w:val="796E3F04"/>
    <w:rsid w:val="79A166F4"/>
    <w:rsid w:val="79D61F74"/>
    <w:rsid w:val="7A2E5549"/>
    <w:rsid w:val="7A6E60C6"/>
    <w:rsid w:val="7A7D6327"/>
    <w:rsid w:val="7B256CBB"/>
    <w:rsid w:val="7B2E3BC3"/>
    <w:rsid w:val="7B2E5971"/>
    <w:rsid w:val="7B4B7D14"/>
    <w:rsid w:val="7B574EA0"/>
    <w:rsid w:val="7B62386D"/>
    <w:rsid w:val="7C416301"/>
    <w:rsid w:val="7C4503F0"/>
    <w:rsid w:val="7C686C61"/>
    <w:rsid w:val="7C8E65DA"/>
    <w:rsid w:val="7CAE7A93"/>
    <w:rsid w:val="7CDF720B"/>
    <w:rsid w:val="7D344D95"/>
    <w:rsid w:val="7DBC3708"/>
    <w:rsid w:val="7DC37434"/>
    <w:rsid w:val="7DE6644B"/>
    <w:rsid w:val="7DF13BC9"/>
    <w:rsid w:val="7E276767"/>
    <w:rsid w:val="7E9523C7"/>
    <w:rsid w:val="7EA4047C"/>
    <w:rsid w:val="7EA83C8C"/>
    <w:rsid w:val="7EB51F05"/>
    <w:rsid w:val="7ED92098"/>
    <w:rsid w:val="7F402117"/>
    <w:rsid w:val="7F4514DB"/>
    <w:rsid w:val="7F577F01"/>
    <w:rsid w:val="7F703BB5"/>
    <w:rsid w:val="7F765B38"/>
    <w:rsid w:val="7F967BAF"/>
    <w:rsid w:val="7FD40394"/>
    <w:rsid w:val="7FFC6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qFormat="1" w:unhideWhenUsed="0" w:uiPriority="0" w:name="index 6"/>
    <w:lsdException w:qFormat="1" w:unhideWhenUsed="0" w:uiPriority="0" w:name="index 7"/>
    <w:lsdException w:uiPriority="99" w:name="index 8"/>
    <w:lsdException w:uiPriority="99" w:name="index 9"/>
    <w:lsdException w:qFormat="1" w:uiPriority="0" w:semiHidden="0" w:name="toc 1"/>
    <w:lsdException w:qFormat="1"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64"/>
    <w:qFormat/>
    <w:uiPriority w:val="0"/>
    <w:pPr>
      <w:keepNext/>
      <w:keepLines/>
      <w:spacing w:before="260" w:after="260" w:line="416" w:lineRule="auto"/>
      <w:outlineLvl w:val="2"/>
    </w:pPr>
    <w:rPr>
      <w:b/>
      <w:bCs/>
      <w:sz w:val="32"/>
      <w:szCs w:val="32"/>
    </w:rPr>
  </w:style>
  <w:style w:type="paragraph" w:styleId="6">
    <w:name w:val="heading 4"/>
    <w:basedOn w:val="1"/>
    <w:next w:val="7"/>
    <w:link w:val="87"/>
    <w:qFormat/>
    <w:uiPriority w:val="0"/>
    <w:pPr>
      <w:keepNext/>
      <w:keepLines/>
      <w:tabs>
        <w:tab w:val="left" w:pos="1080"/>
      </w:tabs>
      <w:spacing w:before="280" w:after="290" w:line="376" w:lineRule="auto"/>
      <w:ind w:left="864" w:hanging="864"/>
      <w:outlineLvl w:val="3"/>
    </w:pPr>
    <w:rPr>
      <w:rFonts w:ascii="Arial" w:hAnsi="Arial" w:eastAsia="黑体"/>
      <w:b/>
      <w:sz w:val="28"/>
      <w:szCs w:val="20"/>
    </w:rPr>
  </w:style>
  <w:style w:type="paragraph" w:styleId="8">
    <w:name w:val="heading 5"/>
    <w:basedOn w:val="1"/>
    <w:next w:val="7"/>
    <w:link w:val="88"/>
    <w:qFormat/>
    <w:uiPriority w:val="0"/>
    <w:pPr>
      <w:keepNext/>
      <w:keepLines/>
      <w:tabs>
        <w:tab w:val="left" w:pos="1008"/>
      </w:tabs>
      <w:spacing w:before="280" w:after="290" w:line="376" w:lineRule="auto"/>
      <w:ind w:left="1008" w:hanging="1008"/>
      <w:outlineLvl w:val="4"/>
    </w:pPr>
    <w:rPr>
      <w:b/>
      <w:sz w:val="28"/>
      <w:szCs w:val="20"/>
    </w:rPr>
  </w:style>
  <w:style w:type="paragraph" w:styleId="9">
    <w:name w:val="heading 6"/>
    <w:basedOn w:val="1"/>
    <w:next w:val="1"/>
    <w:link w:val="65"/>
    <w:unhideWhenUsed/>
    <w:qFormat/>
    <w:uiPriority w:val="0"/>
    <w:pPr>
      <w:keepNext/>
      <w:keepLines/>
      <w:spacing w:before="240" w:after="64" w:line="320" w:lineRule="auto"/>
      <w:outlineLvl w:val="5"/>
    </w:pPr>
    <w:rPr>
      <w:rFonts w:ascii="Cambria" w:hAnsi="Cambria"/>
      <w:b/>
      <w:bCs/>
      <w:sz w:val="24"/>
    </w:rPr>
  </w:style>
  <w:style w:type="paragraph" w:styleId="10">
    <w:name w:val="heading 7"/>
    <w:basedOn w:val="1"/>
    <w:next w:val="7"/>
    <w:link w:val="89"/>
    <w:qFormat/>
    <w:uiPriority w:val="0"/>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7"/>
    <w:link w:val="90"/>
    <w:qFormat/>
    <w:uiPriority w:val="0"/>
    <w:pPr>
      <w:keepNext/>
      <w:keepLines/>
      <w:tabs>
        <w:tab w:val="left" w:pos="1440"/>
      </w:tabs>
      <w:spacing w:before="240" w:after="64" w:line="320" w:lineRule="auto"/>
      <w:ind w:left="1440" w:hanging="1440"/>
      <w:outlineLvl w:val="7"/>
    </w:pPr>
    <w:rPr>
      <w:rFonts w:ascii="Arial" w:hAnsi="Arial" w:eastAsia="黑体"/>
      <w:sz w:val="24"/>
      <w:szCs w:val="20"/>
    </w:rPr>
  </w:style>
  <w:style w:type="paragraph" w:styleId="12">
    <w:name w:val="heading 9"/>
    <w:basedOn w:val="1"/>
    <w:next w:val="7"/>
    <w:link w:val="91"/>
    <w:qFormat/>
    <w:uiPriority w:val="0"/>
    <w:pPr>
      <w:keepNext/>
      <w:keepLines/>
      <w:tabs>
        <w:tab w:val="left" w:pos="1584"/>
      </w:tabs>
      <w:spacing w:before="240" w:after="64" w:line="320" w:lineRule="auto"/>
      <w:ind w:left="1584" w:hanging="1584"/>
      <w:outlineLvl w:val="8"/>
    </w:pPr>
    <w:rPr>
      <w:rFonts w:ascii="Arial" w:hAnsi="Arial" w:eastAsia="黑体"/>
      <w:szCs w:val="20"/>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widowControl/>
      <w:spacing w:after="100" w:line="276" w:lineRule="auto"/>
      <w:jc w:val="left"/>
    </w:pPr>
    <w:rPr>
      <w:rFonts w:asciiTheme="minorHAnsi" w:hAnsiTheme="minorHAnsi" w:eastAsiaTheme="minorEastAsia" w:cstheme="minorBidi"/>
      <w:kern w:val="0"/>
      <w:sz w:val="22"/>
      <w:szCs w:val="22"/>
    </w:rPr>
  </w:style>
  <w:style w:type="paragraph" w:styleId="7">
    <w:name w:val="Normal Indent"/>
    <w:basedOn w:val="1"/>
    <w:qFormat/>
    <w:uiPriority w:val="0"/>
    <w:pPr>
      <w:ind w:firstLine="420"/>
    </w:pPr>
    <w:rPr>
      <w:sz w:val="24"/>
      <w:szCs w:val="20"/>
    </w:rPr>
  </w:style>
  <w:style w:type="paragraph" w:styleId="13">
    <w:name w:val="List 3"/>
    <w:basedOn w:val="1"/>
    <w:qFormat/>
    <w:uiPriority w:val="0"/>
    <w:pPr>
      <w:ind w:left="100" w:leftChars="400" w:hanging="200" w:hangingChars="200"/>
    </w:pPr>
    <w:rPr>
      <w:sz w:val="24"/>
      <w:szCs w:val="20"/>
    </w:rPr>
  </w:style>
  <w:style w:type="paragraph" w:styleId="14">
    <w:name w:val="toc 7"/>
    <w:basedOn w:val="1"/>
    <w:next w:val="1"/>
    <w:semiHidden/>
    <w:qFormat/>
    <w:uiPriority w:val="0"/>
    <w:pPr>
      <w:ind w:left="1440"/>
      <w:jc w:val="left"/>
    </w:pPr>
    <w:rPr>
      <w:sz w:val="18"/>
      <w:szCs w:val="18"/>
    </w:rPr>
  </w:style>
  <w:style w:type="paragraph" w:styleId="15">
    <w:name w:val="List Bullet 4"/>
    <w:basedOn w:val="1"/>
    <w:qFormat/>
    <w:uiPriority w:val="0"/>
    <w:pPr>
      <w:tabs>
        <w:tab w:val="left" w:pos="1620"/>
      </w:tabs>
      <w:spacing w:line="500" w:lineRule="exact"/>
      <w:ind w:left="1620" w:leftChars="600" w:hanging="360" w:hangingChars="200"/>
    </w:pPr>
    <w:rPr>
      <w:rFonts w:ascii="LinePrinter" w:hAnsi="LinePrinter"/>
      <w:sz w:val="24"/>
    </w:rPr>
  </w:style>
  <w:style w:type="paragraph" w:styleId="16">
    <w:name w:val="caption"/>
    <w:basedOn w:val="1"/>
    <w:next w:val="1"/>
    <w:qFormat/>
    <w:uiPriority w:val="0"/>
    <w:pPr>
      <w:adjustRightInd w:val="0"/>
      <w:snapToGrid w:val="0"/>
      <w:spacing w:beforeLines="50"/>
      <w:jc w:val="center"/>
    </w:pPr>
    <w:rPr>
      <w:rFonts w:ascii="Arial" w:hAnsi="Arial" w:cs="Arial"/>
      <w:bCs/>
      <w:snapToGrid w:val="0"/>
      <w:sz w:val="24"/>
    </w:rPr>
  </w:style>
  <w:style w:type="paragraph" w:styleId="17">
    <w:name w:val="Document Map"/>
    <w:basedOn w:val="1"/>
    <w:link w:val="93"/>
    <w:semiHidden/>
    <w:qFormat/>
    <w:uiPriority w:val="0"/>
    <w:pPr>
      <w:shd w:val="clear" w:color="auto" w:fill="000080"/>
    </w:pPr>
    <w:rPr>
      <w:sz w:val="24"/>
      <w:szCs w:val="20"/>
    </w:rPr>
  </w:style>
  <w:style w:type="paragraph" w:styleId="18">
    <w:name w:val="annotation text"/>
    <w:basedOn w:val="1"/>
    <w:link w:val="120"/>
    <w:semiHidden/>
    <w:qFormat/>
    <w:uiPriority w:val="0"/>
    <w:pPr>
      <w:jc w:val="left"/>
    </w:pPr>
    <w:rPr>
      <w:sz w:val="24"/>
      <w:szCs w:val="20"/>
    </w:rPr>
  </w:style>
  <w:style w:type="paragraph" w:styleId="19">
    <w:name w:val="index 6"/>
    <w:basedOn w:val="1"/>
    <w:next w:val="1"/>
    <w:semiHidden/>
    <w:qFormat/>
    <w:uiPriority w:val="0"/>
    <w:pPr>
      <w:spacing w:line="500" w:lineRule="exact"/>
      <w:ind w:left="2100" w:firstLine="482"/>
    </w:pPr>
    <w:rPr>
      <w:rFonts w:ascii="LinePrinter" w:hAnsi="LinePrinter"/>
      <w:sz w:val="24"/>
    </w:rPr>
  </w:style>
  <w:style w:type="paragraph" w:styleId="20">
    <w:name w:val="Body Text 3"/>
    <w:basedOn w:val="1"/>
    <w:link w:val="111"/>
    <w:qFormat/>
    <w:uiPriority w:val="0"/>
    <w:pPr>
      <w:spacing w:after="120"/>
    </w:pPr>
    <w:rPr>
      <w:sz w:val="16"/>
      <w:szCs w:val="16"/>
    </w:rPr>
  </w:style>
  <w:style w:type="paragraph" w:styleId="21">
    <w:name w:val="List Bullet 3"/>
    <w:basedOn w:val="1"/>
    <w:qFormat/>
    <w:uiPriority w:val="0"/>
    <w:pPr>
      <w:tabs>
        <w:tab w:val="left" w:pos="1200"/>
      </w:tabs>
      <w:spacing w:line="500" w:lineRule="exact"/>
      <w:ind w:left="1200" w:leftChars="400" w:hanging="360" w:hangingChars="200"/>
    </w:pPr>
    <w:rPr>
      <w:rFonts w:ascii="LinePrinter" w:hAnsi="LinePrinter"/>
      <w:sz w:val="24"/>
    </w:rPr>
  </w:style>
  <w:style w:type="paragraph" w:styleId="22">
    <w:name w:val="Body Text"/>
    <w:basedOn w:val="1"/>
    <w:link w:val="95"/>
    <w:qFormat/>
    <w:uiPriority w:val="0"/>
    <w:pPr>
      <w:spacing w:after="120"/>
    </w:pPr>
    <w:rPr>
      <w:sz w:val="24"/>
      <w:szCs w:val="20"/>
    </w:rPr>
  </w:style>
  <w:style w:type="paragraph" w:styleId="23">
    <w:name w:val="Body Text Indent"/>
    <w:basedOn w:val="1"/>
    <w:link w:val="70"/>
    <w:qFormat/>
    <w:uiPriority w:val="0"/>
    <w:pPr>
      <w:ind w:left="2098"/>
    </w:pPr>
    <w:rPr>
      <w:color w:val="000000"/>
      <w:sz w:val="24"/>
    </w:rPr>
  </w:style>
  <w:style w:type="paragraph" w:styleId="24">
    <w:name w:val="List 2"/>
    <w:basedOn w:val="1"/>
    <w:qFormat/>
    <w:uiPriority w:val="0"/>
    <w:pPr>
      <w:ind w:left="100" w:leftChars="200" w:hanging="200" w:hangingChars="200"/>
    </w:pPr>
    <w:rPr>
      <w:sz w:val="24"/>
      <w:szCs w:val="20"/>
    </w:rPr>
  </w:style>
  <w:style w:type="paragraph" w:styleId="25">
    <w:name w:val="List Continue"/>
    <w:basedOn w:val="1"/>
    <w:qFormat/>
    <w:uiPriority w:val="0"/>
    <w:pPr>
      <w:spacing w:after="120" w:line="500" w:lineRule="exact"/>
      <w:ind w:left="420" w:leftChars="200" w:firstLine="482"/>
    </w:pPr>
    <w:rPr>
      <w:rFonts w:ascii="LinePrinter" w:hAnsi="LinePrinter"/>
      <w:sz w:val="24"/>
    </w:rPr>
  </w:style>
  <w:style w:type="paragraph" w:styleId="26">
    <w:name w:val="toc 5"/>
    <w:basedOn w:val="1"/>
    <w:next w:val="1"/>
    <w:semiHidden/>
    <w:qFormat/>
    <w:uiPriority w:val="0"/>
    <w:pPr>
      <w:ind w:left="960"/>
      <w:jc w:val="left"/>
    </w:pPr>
    <w:rPr>
      <w:sz w:val="18"/>
      <w:szCs w:val="18"/>
    </w:rPr>
  </w:style>
  <w:style w:type="paragraph" w:styleId="27">
    <w:name w:val="toc 3"/>
    <w:basedOn w:val="1"/>
    <w:next w:val="1"/>
    <w:qFormat/>
    <w:uiPriority w:val="0"/>
    <w:pPr>
      <w:spacing w:line="360" w:lineRule="auto"/>
      <w:ind w:left="839" w:leftChars="250" w:right="720" w:hanging="314" w:hangingChars="131"/>
    </w:pPr>
    <w:rPr>
      <w:rFonts w:ascii="宋体" w:hAnsi="宋体"/>
      <w:color w:val="000000" w:themeColor="text1"/>
      <w:sz w:val="24"/>
      <w:szCs w:val="20"/>
      <w14:textFill>
        <w14:solidFill>
          <w14:schemeClr w14:val="tx1"/>
        </w14:solidFill>
      </w14:textFill>
    </w:rPr>
  </w:style>
  <w:style w:type="paragraph" w:styleId="28">
    <w:name w:val="Plain Text"/>
    <w:basedOn w:val="1"/>
    <w:link w:val="72"/>
    <w:qFormat/>
    <w:uiPriority w:val="0"/>
    <w:rPr>
      <w:rFonts w:ascii="宋体" w:hAnsi="Courier New" w:cs="Courier New"/>
      <w:szCs w:val="21"/>
    </w:rPr>
  </w:style>
  <w:style w:type="paragraph" w:styleId="29">
    <w:name w:val="toc 8"/>
    <w:basedOn w:val="1"/>
    <w:next w:val="1"/>
    <w:semiHidden/>
    <w:qFormat/>
    <w:uiPriority w:val="0"/>
    <w:pPr>
      <w:ind w:left="1680"/>
      <w:jc w:val="left"/>
    </w:pPr>
    <w:rPr>
      <w:sz w:val="18"/>
      <w:szCs w:val="18"/>
    </w:rPr>
  </w:style>
  <w:style w:type="paragraph" w:styleId="30">
    <w:name w:val="Date"/>
    <w:basedOn w:val="1"/>
    <w:next w:val="1"/>
    <w:link w:val="74"/>
    <w:qFormat/>
    <w:uiPriority w:val="0"/>
    <w:rPr>
      <w:rFonts w:ascii="宋体" w:hAnsi="Courier New"/>
      <w:sz w:val="32"/>
      <w:szCs w:val="20"/>
    </w:rPr>
  </w:style>
  <w:style w:type="paragraph" w:styleId="31">
    <w:name w:val="Body Text Indent 2"/>
    <w:basedOn w:val="1"/>
    <w:link w:val="94"/>
    <w:qFormat/>
    <w:uiPriority w:val="0"/>
    <w:pPr>
      <w:spacing w:after="120" w:line="480" w:lineRule="auto"/>
      <w:ind w:left="420" w:leftChars="200"/>
    </w:pPr>
    <w:rPr>
      <w:sz w:val="24"/>
      <w:szCs w:val="20"/>
    </w:rPr>
  </w:style>
  <w:style w:type="paragraph" w:styleId="32">
    <w:name w:val="Balloon Text"/>
    <w:basedOn w:val="1"/>
    <w:link w:val="68"/>
    <w:semiHidden/>
    <w:unhideWhenUsed/>
    <w:qFormat/>
    <w:uiPriority w:val="0"/>
    <w:rPr>
      <w:sz w:val="18"/>
      <w:szCs w:val="18"/>
    </w:rPr>
  </w:style>
  <w:style w:type="paragraph" w:styleId="33">
    <w:name w:val="footer"/>
    <w:basedOn w:val="1"/>
    <w:link w:val="6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4">
    <w:name w:val="header"/>
    <w:basedOn w:val="1"/>
    <w:link w:val="6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5">
    <w:name w:val="Signature"/>
    <w:basedOn w:val="1"/>
    <w:link w:val="142"/>
    <w:qFormat/>
    <w:uiPriority w:val="0"/>
    <w:pPr>
      <w:spacing w:line="500" w:lineRule="exact"/>
      <w:ind w:left="100" w:leftChars="2100" w:firstLine="482"/>
    </w:pPr>
    <w:rPr>
      <w:rFonts w:ascii="LinePrinter" w:hAnsi="LinePrinter"/>
      <w:sz w:val="24"/>
    </w:rPr>
  </w:style>
  <w:style w:type="paragraph" w:styleId="36">
    <w:name w:val="toc 4"/>
    <w:basedOn w:val="1"/>
    <w:next w:val="1"/>
    <w:semiHidden/>
    <w:qFormat/>
    <w:uiPriority w:val="0"/>
    <w:pPr>
      <w:ind w:left="720"/>
      <w:jc w:val="left"/>
    </w:pPr>
    <w:rPr>
      <w:sz w:val="18"/>
      <w:szCs w:val="18"/>
    </w:rPr>
  </w:style>
  <w:style w:type="paragraph" w:styleId="37">
    <w:name w:val="index heading"/>
    <w:basedOn w:val="1"/>
    <w:next w:val="38"/>
    <w:semiHidden/>
    <w:qFormat/>
    <w:uiPriority w:val="0"/>
    <w:pPr>
      <w:autoSpaceDE w:val="0"/>
    </w:pPr>
    <w:rPr>
      <w:rFonts w:ascii="宋体"/>
      <w:kern w:val="0"/>
      <w:sz w:val="18"/>
      <w:szCs w:val="20"/>
    </w:rPr>
  </w:style>
  <w:style w:type="paragraph" w:styleId="38">
    <w:name w:val="index 1"/>
    <w:basedOn w:val="1"/>
    <w:next w:val="1"/>
    <w:semiHidden/>
    <w:unhideWhenUsed/>
    <w:qFormat/>
    <w:uiPriority w:val="0"/>
  </w:style>
  <w:style w:type="paragraph" w:styleId="39">
    <w:name w:val="List"/>
    <w:basedOn w:val="1"/>
    <w:qFormat/>
    <w:uiPriority w:val="0"/>
    <w:pPr>
      <w:spacing w:line="500" w:lineRule="exact"/>
      <w:ind w:left="200" w:hanging="200" w:hangingChars="200"/>
    </w:pPr>
    <w:rPr>
      <w:rFonts w:ascii="LinePrinter" w:hAnsi="LinePrinter"/>
      <w:sz w:val="24"/>
    </w:rPr>
  </w:style>
  <w:style w:type="paragraph" w:styleId="40">
    <w:name w:val="toc 6"/>
    <w:basedOn w:val="1"/>
    <w:next w:val="1"/>
    <w:semiHidden/>
    <w:qFormat/>
    <w:uiPriority w:val="0"/>
    <w:pPr>
      <w:ind w:left="1200"/>
      <w:jc w:val="left"/>
    </w:pPr>
    <w:rPr>
      <w:sz w:val="18"/>
      <w:szCs w:val="18"/>
    </w:rPr>
  </w:style>
  <w:style w:type="paragraph" w:styleId="41">
    <w:name w:val="List 5"/>
    <w:basedOn w:val="1"/>
    <w:qFormat/>
    <w:uiPriority w:val="0"/>
    <w:pPr>
      <w:spacing w:line="500" w:lineRule="exact"/>
      <w:ind w:left="100" w:leftChars="800" w:hanging="200" w:hangingChars="200"/>
    </w:pPr>
    <w:rPr>
      <w:rFonts w:ascii="LinePrinter" w:hAnsi="LinePrinter"/>
      <w:sz w:val="24"/>
    </w:rPr>
  </w:style>
  <w:style w:type="paragraph" w:styleId="42">
    <w:name w:val="Body Text Indent 3"/>
    <w:basedOn w:val="1"/>
    <w:link w:val="82"/>
    <w:unhideWhenUsed/>
    <w:qFormat/>
    <w:uiPriority w:val="0"/>
    <w:pPr>
      <w:spacing w:after="120"/>
      <w:ind w:left="420" w:leftChars="200"/>
    </w:pPr>
    <w:rPr>
      <w:sz w:val="16"/>
      <w:szCs w:val="16"/>
    </w:rPr>
  </w:style>
  <w:style w:type="paragraph" w:styleId="43">
    <w:name w:val="index 7"/>
    <w:basedOn w:val="1"/>
    <w:next w:val="1"/>
    <w:semiHidden/>
    <w:qFormat/>
    <w:uiPriority w:val="0"/>
    <w:pPr>
      <w:spacing w:line="500" w:lineRule="exact"/>
      <w:ind w:left="2520" w:firstLine="482"/>
    </w:pPr>
    <w:rPr>
      <w:rFonts w:ascii="LinePrinter" w:hAnsi="LinePrinter"/>
      <w:sz w:val="24"/>
    </w:rPr>
  </w:style>
  <w:style w:type="paragraph" w:styleId="44">
    <w:name w:val="toc 2"/>
    <w:basedOn w:val="1"/>
    <w:next w:val="1"/>
    <w:unhideWhenUsed/>
    <w:qFormat/>
    <w:uiPriority w:val="0"/>
    <w:pPr>
      <w:widowControl/>
      <w:spacing w:after="100" w:line="276" w:lineRule="auto"/>
      <w:ind w:left="220"/>
      <w:jc w:val="left"/>
    </w:pPr>
    <w:rPr>
      <w:rFonts w:asciiTheme="minorHAnsi" w:hAnsiTheme="minorHAnsi" w:eastAsiaTheme="minorEastAsia" w:cstheme="minorBidi"/>
      <w:kern w:val="0"/>
      <w:sz w:val="22"/>
      <w:szCs w:val="22"/>
    </w:rPr>
  </w:style>
  <w:style w:type="paragraph" w:styleId="45">
    <w:name w:val="toc 9"/>
    <w:basedOn w:val="1"/>
    <w:next w:val="1"/>
    <w:semiHidden/>
    <w:qFormat/>
    <w:uiPriority w:val="0"/>
    <w:pPr>
      <w:ind w:left="1920"/>
      <w:jc w:val="left"/>
    </w:pPr>
    <w:rPr>
      <w:sz w:val="18"/>
      <w:szCs w:val="18"/>
    </w:rPr>
  </w:style>
  <w:style w:type="paragraph" w:styleId="46">
    <w:name w:val="List 4"/>
    <w:basedOn w:val="1"/>
    <w:qFormat/>
    <w:uiPriority w:val="0"/>
    <w:pPr>
      <w:spacing w:line="500" w:lineRule="exact"/>
      <w:ind w:left="100" w:leftChars="600" w:hanging="200" w:hangingChars="200"/>
    </w:pPr>
    <w:rPr>
      <w:rFonts w:ascii="LinePrinter" w:hAnsi="LinePrinter"/>
      <w:sz w:val="24"/>
    </w:rPr>
  </w:style>
  <w:style w:type="paragraph" w:styleId="47">
    <w:name w:val="List Continue 2"/>
    <w:basedOn w:val="1"/>
    <w:qFormat/>
    <w:uiPriority w:val="0"/>
    <w:pPr>
      <w:spacing w:after="120" w:line="500" w:lineRule="exact"/>
      <w:ind w:left="840" w:leftChars="400" w:firstLine="482"/>
    </w:pPr>
    <w:rPr>
      <w:rFonts w:ascii="LinePrinter" w:hAnsi="LinePrinter"/>
      <w:sz w:val="24"/>
    </w:rPr>
  </w:style>
  <w:style w:type="paragraph" w:styleId="48">
    <w:name w:val="HTML Preformatted"/>
    <w:basedOn w:val="1"/>
    <w:link w:val="20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50">
    <w:name w:val="List Continue 3"/>
    <w:basedOn w:val="1"/>
    <w:qFormat/>
    <w:uiPriority w:val="0"/>
    <w:pPr>
      <w:spacing w:after="120" w:line="500" w:lineRule="exact"/>
      <w:ind w:left="1260" w:leftChars="600" w:firstLine="482"/>
    </w:pPr>
    <w:rPr>
      <w:rFonts w:ascii="LinePrinter" w:hAnsi="LinePrinter"/>
      <w:sz w:val="24"/>
    </w:rPr>
  </w:style>
  <w:style w:type="paragraph" w:styleId="51">
    <w:name w:val="Title"/>
    <w:basedOn w:val="1"/>
    <w:link w:val="106"/>
    <w:qFormat/>
    <w:uiPriority w:val="0"/>
    <w:pPr>
      <w:widowControl/>
      <w:spacing w:before="240" w:after="60" w:line="530" w:lineRule="exact"/>
      <w:ind w:firstLine="567"/>
      <w:jc w:val="center"/>
      <w:outlineLvl w:val="0"/>
    </w:pPr>
    <w:rPr>
      <w:rFonts w:ascii="Arial" w:hAnsi="Arial" w:eastAsia="仿宋_GB2312"/>
      <w:b/>
      <w:kern w:val="0"/>
      <w:sz w:val="32"/>
      <w:szCs w:val="20"/>
    </w:rPr>
  </w:style>
  <w:style w:type="paragraph" w:styleId="52">
    <w:name w:val="annotation subject"/>
    <w:basedOn w:val="18"/>
    <w:next w:val="18"/>
    <w:link w:val="121"/>
    <w:semiHidden/>
    <w:qFormat/>
    <w:uiPriority w:val="0"/>
    <w:rPr>
      <w:b/>
      <w:bCs/>
    </w:rPr>
  </w:style>
  <w:style w:type="paragraph" w:styleId="53">
    <w:name w:val="Body Text First Indent"/>
    <w:basedOn w:val="1"/>
    <w:link w:val="96"/>
    <w:qFormat/>
    <w:uiPriority w:val="0"/>
    <w:pPr>
      <w:autoSpaceDE w:val="0"/>
      <w:autoSpaceDN w:val="0"/>
      <w:adjustRightInd w:val="0"/>
      <w:spacing w:after="120"/>
      <w:ind w:firstLine="420"/>
    </w:pPr>
    <w:rPr>
      <w:rFonts w:ascii="宋体"/>
      <w:kern w:val="0"/>
      <w:szCs w:val="20"/>
    </w:rPr>
  </w:style>
  <w:style w:type="paragraph" w:styleId="54">
    <w:name w:val="Body Text First Indent 2"/>
    <w:basedOn w:val="23"/>
    <w:link w:val="123"/>
    <w:qFormat/>
    <w:uiPriority w:val="0"/>
    <w:pPr>
      <w:spacing w:after="120"/>
      <w:ind w:left="420" w:leftChars="200" w:firstLine="420" w:firstLineChars="200"/>
    </w:pPr>
    <w:rPr>
      <w:color w:val="auto"/>
      <w:szCs w:val="20"/>
    </w:rPr>
  </w:style>
  <w:style w:type="table" w:styleId="56">
    <w:name w:val="Table Grid"/>
    <w:basedOn w:val="5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8">
    <w:name w:val="page number"/>
    <w:basedOn w:val="57"/>
    <w:qFormat/>
    <w:uiPriority w:val="0"/>
  </w:style>
  <w:style w:type="character" w:styleId="59">
    <w:name w:val="FollowedHyperlink"/>
    <w:qFormat/>
    <w:uiPriority w:val="99"/>
    <w:rPr>
      <w:color w:val="800080"/>
      <w:u w:val="single"/>
    </w:rPr>
  </w:style>
  <w:style w:type="character" w:styleId="60">
    <w:name w:val="Hyperlink"/>
    <w:basedOn w:val="57"/>
    <w:unhideWhenUsed/>
    <w:qFormat/>
    <w:uiPriority w:val="99"/>
    <w:rPr>
      <w:color w:val="0000FF" w:themeColor="hyperlink"/>
      <w:u w:val="single"/>
      <w14:textFill>
        <w14:solidFill>
          <w14:schemeClr w14:val="hlink"/>
        </w14:solidFill>
      </w14:textFill>
    </w:rPr>
  </w:style>
  <w:style w:type="character" w:styleId="61">
    <w:name w:val="annotation reference"/>
    <w:semiHidden/>
    <w:qFormat/>
    <w:uiPriority w:val="0"/>
    <w:rPr>
      <w:sz w:val="21"/>
      <w:szCs w:val="21"/>
    </w:rPr>
  </w:style>
  <w:style w:type="character" w:customStyle="1" w:styleId="62">
    <w:name w:val="标题 1 字符"/>
    <w:basedOn w:val="57"/>
    <w:link w:val="3"/>
    <w:qFormat/>
    <w:uiPriority w:val="0"/>
    <w:rPr>
      <w:rFonts w:ascii="Times New Roman" w:hAnsi="Times New Roman" w:eastAsia="宋体" w:cs="Times New Roman"/>
      <w:b/>
      <w:bCs/>
      <w:kern w:val="44"/>
      <w:sz w:val="44"/>
      <w:szCs w:val="44"/>
    </w:rPr>
  </w:style>
  <w:style w:type="character" w:customStyle="1" w:styleId="63">
    <w:name w:val="标题 2 字符"/>
    <w:basedOn w:val="57"/>
    <w:link w:val="4"/>
    <w:qFormat/>
    <w:uiPriority w:val="0"/>
    <w:rPr>
      <w:rFonts w:ascii="Arial" w:hAnsi="Arial" w:eastAsia="黑体" w:cs="Times New Roman"/>
      <w:b/>
      <w:bCs/>
      <w:sz w:val="32"/>
      <w:szCs w:val="32"/>
    </w:rPr>
  </w:style>
  <w:style w:type="character" w:customStyle="1" w:styleId="64">
    <w:name w:val="标题 3 字符"/>
    <w:basedOn w:val="57"/>
    <w:link w:val="5"/>
    <w:qFormat/>
    <w:uiPriority w:val="9"/>
    <w:rPr>
      <w:rFonts w:ascii="Times New Roman" w:hAnsi="Times New Roman" w:eastAsia="宋体" w:cs="Times New Roman"/>
      <w:b/>
      <w:bCs/>
      <w:sz w:val="32"/>
      <w:szCs w:val="32"/>
    </w:rPr>
  </w:style>
  <w:style w:type="character" w:customStyle="1" w:styleId="65">
    <w:name w:val="标题 6 字符"/>
    <w:basedOn w:val="57"/>
    <w:link w:val="9"/>
    <w:qFormat/>
    <w:uiPriority w:val="9"/>
    <w:rPr>
      <w:rFonts w:ascii="Cambria" w:hAnsi="Cambria" w:eastAsia="宋体" w:cs="Times New Roman"/>
      <w:b/>
      <w:bCs/>
      <w:sz w:val="24"/>
      <w:szCs w:val="24"/>
    </w:rPr>
  </w:style>
  <w:style w:type="character" w:customStyle="1" w:styleId="66">
    <w:name w:val="页眉 字符"/>
    <w:basedOn w:val="57"/>
    <w:link w:val="34"/>
    <w:qFormat/>
    <w:uiPriority w:val="99"/>
    <w:rPr>
      <w:sz w:val="18"/>
      <w:szCs w:val="18"/>
    </w:rPr>
  </w:style>
  <w:style w:type="character" w:customStyle="1" w:styleId="67">
    <w:name w:val="页脚 字符"/>
    <w:basedOn w:val="57"/>
    <w:link w:val="33"/>
    <w:qFormat/>
    <w:uiPriority w:val="99"/>
    <w:rPr>
      <w:sz w:val="18"/>
      <w:szCs w:val="18"/>
    </w:rPr>
  </w:style>
  <w:style w:type="character" w:customStyle="1" w:styleId="68">
    <w:name w:val="批注框文本 字符"/>
    <w:basedOn w:val="57"/>
    <w:link w:val="32"/>
    <w:semiHidden/>
    <w:qFormat/>
    <w:uiPriority w:val="99"/>
    <w:rPr>
      <w:rFonts w:ascii="Times New Roman" w:hAnsi="Times New Roman" w:eastAsia="宋体" w:cs="Times New Roman"/>
      <w:sz w:val="18"/>
      <w:szCs w:val="18"/>
    </w:rPr>
  </w:style>
  <w:style w:type="paragraph" w:styleId="69">
    <w:name w:val="List Paragraph"/>
    <w:basedOn w:val="1"/>
    <w:link w:val="80"/>
    <w:qFormat/>
    <w:uiPriority w:val="0"/>
    <w:pPr>
      <w:ind w:firstLine="420" w:firstLineChars="200"/>
    </w:pPr>
  </w:style>
  <w:style w:type="character" w:customStyle="1" w:styleId="70">
    <w:name w:val="正文文本缩进 字符"/>
    <w:basedOn w:val="57"/>
    <w:link w:val="23"/>
    <w:qFormat/>
    <w:uiPriority w:val="0"/>
    <w:rPr>
      <w:rFonts w:ascii="Times New Roman" w:hAnsi="Times New Roman" w:eastAsia="宋体" w:cs="Times New Roman"/>
      <w:color w:val="000000"/>
      <w:sz w:val="24"/>
      <w:szCs w:val="24"/>
    </w:rPr>
  </w:style>
  <w:style w:type="character" w:customStyle="1" w:styleId="71">
    <w:name w:val="纯文本 Char"/>
    <w:basedOn w:val="57"/>
    <w:qFormat/>
    <w:uiPriority w:val="0"/>
    <w:rPr>
      <w:rFonts w:ascii="宋体" w:hAnsi="Courier New" w:eastAsia="宋体" w:cs="Courier New"/>
      <w:kern w:val="2"/>
      <w:sz w:val="21"/>
      <w:szCs w:val="21"/>
      <w:lang w:val="en-US" w:eastAsia="zh-CN" w:bidi="ar-SA"/>
    </w:rPr>
  </w:style>
  <w:style w:type="character" w:customStyle="1" w:styleId="72">
    <w:name w:val="纯文本 字符"/>
    <w:basedOn w:val="57"/>
    <w:link w:val="28"/>
    <w:qFormat/>
    <w:uiPriority w:val="0"/>
    <w:rPr>
      <w:rFonts w:ascii="宋体" w:hAnsi="Courier New" w:eastAsia="宋体" w:cs="Courier New"/>
      <w:szCs w:val="21"/>
    </w:rPr>
  </w:style>
  <w:style w:type="character" w:customStyle="1" w:styleId="73">
    <w:name w:val="标题 3 Char Char"/>
    <w:qFormat/>
    <w:uiPriority w:val="0"/>
    <w:rPr>
      <w:rFonts w:ascii="黑体" w:eastAsia="黑体"/>
      <w:bCs/>
      <w:sz w:val="30"/>
    </w:rPr>
  </w:style>
  <w:style w:type="character" w:customStyle="1" w:styleId="74">
    <w:name w:val="日期 字符"/>
    <w:basedOn w:val="57"/>
    <w:link w:val="30"/>
    <w:qFormat/>
    <w:uiPriority w:val="0"/>
    <w:rPr>
      <w:rFonts w:ascii="宋体" w:hAnsi="Courier New" w:eastAsia="宋体" w:cs="Times New Roman"/>
      <w:sz w:val="32"/>
      <w:szCs w:val="20"/>
    </w:rPr>
  </w:style>
  <w:style w:type="character" w:customStyle="1" w:styleId="75">
    <w:name w:val="日期 Char"/>
    <w:basedOn w:val="57"/>
    <w:qFormat/>
    <w:uiPriority w:val="0"/>
    <w:rPr>
      <w:rFonts w:ascii="Times New Roman" w:hAnsi="Times New Roman" w:eastAsia="宋体" w:cs="Times New Roman"/>
      <w:szCs w:val="24"/>
    </w:rPr>
  </w:style>
  <w:style w:type="paragraph" w:customStyle="1" w:styleId="76">
    <w:name w:val="表格样式1"/>
    <w:basedOn w:val="1"/>
    <w:link w:val="77"/>
    <w:qFormat/>
    <w:uiPriority w:val="0"/>
    <w:pPr>
      <w:autoSpaceDE w:val="0"/>
      <w:autoSpaceDN w:val="0"/>
      <w:adjustRightInd w:val="0"/>
      <w:spacing w:line="360" w:lineRule="auto"/>
      <w:jc w:val="center"/>
    </w:pPr>
    <w:rPr>
      <w:color w:val="FF0000"/>
      <w:kern w:val="0"/>
      <w:sz w:val="24"/>
      <w:szCs w:val="20"/>
    </w:rPr>
  </w:style>
  <w:style w:type="character" w:customStyle="1" w:styleId="77">
    <w:name w:val="表格样式1 Char"/>
    <w:basedOn w:val="57"/>
    <w:link w:val="76"/>
    <w:qFormat/>
    <w:uiPriority w:val="0"/>
    <w:rPr>
      <w:rFonts w:ascii="Times New Roman" w:hAnsi="Times New Roman" w:eastAsia="宋体" w:cs="Times New Roman"/>
      <w:color w:val="FF0000"/>
      <w:kern w:val="0"/>
      <w:sz w:val="24"/>
      <w:szCs w:val="20"/>
    </w:rPr>
  </w:style>
  <w:style w:type="paragraph" w:customStyle="1" w:styleId="78">
    <w:name w:val="Item List"/>
    <w:qFormat/>
    <w:uiPriority w:val="0"/>
    <w:pPr>
      <w:tabs>
        <w:tab w:val="left" w:pos="709"/>
      </w:tabs>
      <w:adjustRightInd w:val="0"/>
      <w:snapToGrid w:val="0"/>
      <w:spacing w:before="80" w:after="80" w:line="240" w:lineRule="atLeast"/>
      <w:ind w:left="709" w:hanging="425"/>
    </w:pPr>
    <w:rPr>
      <w:rFonts w:hint="eastAsia" w:ascii="Times New Roman" w:hAnsi="Times New Roman" w:eastAsia="宋体" w:cs="Arial"/>
      <w:kern w:val="2"/>
      <w:sz w:val="21"/>
      <w:szCs w:val="21"/>
      <w:lang w:val="en-US" w:eastAsia="zh-CN" w:bidi="ar-SA"/>
    </w:rPr>
  </w:style>
  <w:style w:type="paragraph" w:customStyle="1" w:styleId="79">
    <w:name w:val="6"/>
    <w:basedOn w:val="1"/>
    <w:qFormat/>
    <w:uiPriority w:val="0"/>
    <w:rPr>
      <w:rFonts w:ascii="Tahoma" w:hAnsi="Tahoma"/>
      <w:sz w:val="24"/>
      <w:szCs w:val="20"/>
    </w:rPr>
  </w:style>
  <w:style w:type="character" w:customStyle="1" w:styleId="80">
    <w:name w:val="列表段落 字符"/>
    <w:link w:val="69"/>
    <w:qFormat/>
    <w:locked/>
    <w:uiPriority w:val="0"/>
    <w:rPr>
      <w:rFonts w:ascii="Times New Roman" w:hAnsi="Times New Roman" w:eastAsia="宋体" w:cs="Times New Roman"/>
      <w:szCs w:val="24"/>
    </w:rPr>
  </w:style>
  <w:style w:type="character" w:customStyle="1" w:styleId="81">
    <w:name w:val="标题1"/>
    <w:basedOn w:val="57"/>
    <w:qFormat/>
    <w:uiPriority w:val="0"/>
  </w:style>
  <w:style w:type="character" w:customStyle="1" w:styleId="82">
    <w:name w:val="正文文本缩进 3 字符"/>
    <w:basedOn w:val="57"/>
    <w:link w:val="42"/>
    <w:semiHidden/>
    <w:qFormat/>
    <w:uiPriority w:val="99"/>
    <w:rPr>
      <w:rFonts w:ascii="Times New Roman" w:hAnsi="Times New Roman" w:eastAsia="宋体" w:cs="Times New Roman"/>
      <w:sz w:val="16"/>
      <w:szCs w:val="16"/>
    </w:rPr>
  </w:style>
  <w:style w:type="paragraph" w:customStyle="1" w:styleId="83">
    <w:name w:val="USE 1"/>
    <w:basedOn w:val="1"/>
    <w:qFormat/>
    <w:uiPriority w:val="0"/>
    <w:pPr>
      <w:spacing w:line="200" w:lineRule="atLeast"/>
      <w:jc w:val="left"/>
    </w:pPr>
    <w:rPr>
      <w:rFonts w:ascii="宋体" w:hAnsi="宋体"/>
      <w:b/>
      <w:sz w:val="24"/>
      <w:szCs w:val="28"/>
    </w:rPr>
  </w:style>
  <w:style w:type="paragraph" w:customStyle="1" w:styleId="84">
    <w:name w:val="western"/>
    <w:basedOn w:val="1"/>
    <w:qFormat/>
    <w:uiPriority w:val="0"/>
    <w:pPr>
      <w:widowControl/>
      <w:spacing w:after="115"/>
    </w:pPr>
    <w:rPr>
      <w:rFonts w:ascii="Calibri" w:hAnsi="Calibri" w:cs="Calibri"/>
      <w:color w:val="000000"/>
      <w:kern w:val="0"/>
      <w:sz w:val="20"/>
      <w:szCs w:val="20"/>
    </w:rPr>
  </w:style>
  <w:style w:type="paragraph" w:customStyle="1" w:styleId="85">
    <w:name w:val="样式 行距: 1.5 倍行距"/>
    <w:basedOn w:val="1"/>
    <w:qFormat/>
    <w:uiPriority w:val="0"/>
    <w:pPr>
      <w:spacing w:line="360" w:lineRule="auto"/>
    </w:pPr>
    <w:rPr>
      <w:rFonts w:cs="宋体"/>
      <w:szCs w:val="20"/>
    </w:rPr>
  </w:style>
  <w:style w:type="paragraph" w:customStyle="1" w:styleId="86">
    <w:name w:val="正文1"/>
    <w:link w:val="119"/>
    <w:qFormat/>
    <w:uiPriority w:val="0"/>
    <w:pPr>
      <w:widowControl w:val="0"/>
      <w:adjustRightInd w:val="0"/>
      <w:spacing w:line="313" w:lineRule="atLeast"/>
      <w:ind w:right="-2"/>
      <w:jc w:val="both"/>
      <w:textAlignment w:val="baseline"/>
    </w:pPr>
    <w:rPr>
      <w:rFonts w:ascii="宋体" w:hAnsi="Times New Roman" w:eastAsia="宋体" w:cs="Times New Roman"/>
      <w:sz w:val="24"/>
      <w:lang w:val="en-US" w:eastAsia="zh-CN" w:bidi="ar-SA"/>
    </w:rPr>
  </w:style>
  <w:style w:type="character" w:customStyle="1" w:styleId="87">
    <w:name w:val="标题 4 字符"/>
    <w:basedOn w:val="57"/>
    <w:link w:val="6"/>
    <w:qFormat/>
    <w:uiPriority w:val="0"/>
    <w:rPr>
      <w:rFonts w:ascii="Arial" w:hAnsi="Arial" w:eastAsia="黑体" w:cs="Times New Roman"/>
      <w:b/>
      <w:sz w:val="28"/>
      <w:szCs w:val="20"/>
    </w:rPr>
  </w:style>
  <w:style w:type="character" w:customStyle="1" w:styleId="88">
    <w:name w:val="标题 5 字符"/>
    <w:basedOn w:val="57"/>
    <w:link w:val="8"/>
    <w:qFormat/>
    <w:uiPriority w:val="0"/>
    <w:rPr>
      <w:rFonts w:ascii="Times New Roman" w:hAnsi="Times New Roman" w:eastAsia="宋体" w:cs="Times New Roman"/>
      <w:b/>
      <w:sz w:val="28"/>
      <w:szCs w:val="20"/>
    </w:rPr>
  </w:style>
  <w:style w:type="character" w:customStyle="1" w:styleId="89">
    <w:name w:val="标题 7 字符"/>
    <w:basedOn w:val="57"/>
    <w:link w:val="10"/>
    <w:qFormat/>
    <w:uiPriority w:val="0"/>
    <w:rPr>
      <w:rFonts w:ascii="Times New Roman" w:hAnsi="Times New Roman" w:eastAsia="宋体" w:cs="Times New Roman"/>
      <w:b/>
      <w:sz w:val="24"/>
      <w:szCs w:val="20"/>
    </w:rPr>
  </w:style>
  <w:style w:type="character" w:customStyle="1" w:styleId="90">
    <w:name w:val="标题 8 字符"/>
    <w:basedOn w:val="57"/>
    <w:link w:val="11"/>
    <w:qFormat/>
    <w:uiPriority w:val="0"/>
    <w:rPr>
      <w:rFonts w:ascii="Arial" w:hAnsi="Arial" w:eastAsia="黑体" w:cs="Times New Roman"/>
      <w:sz w:val="24"/>
      <w:szCs w:val="20"/>
    </w:rPr>
  </w:style>
  <w:style w:type="character" w:customStyle="1" w:styleId="91">
    <w:name w:val="标题 9 字符"/>
    <w:basedOn w:val="57"/>
    <w:link w:val="12"/>
    <w:qFormat/>
    <w:uiPriority w:val="0"/>
    <w:rPr>
      <w:rFonts w:ascii="Arial" w:hAnsi="Arial" w:eastAsia="黑体" w:cs="Times New Roman"/>
      <w:szCs w:val="20"/>
    </w:rPr>
  </w:style>
  <w:style w:type="paragraph" w:customStyle="1" w:styleId="92">
    <w:name w:val="Char Char Char Char Char Char Char"/>
    <w:basedOn w:val="1"/>
    <w:qFormat/>
    <w:uiPriority w:val="0"/>
    <w:rPr>
      <w:rFonts w:ascii="Tahoma" w:hAnsi="Tahoma"/>
      <w:sz w:val="24"/>
      <w:szCs w:val="20"/>
    </w:rPr>
  </w:style>
  <w:style w:type="character" w:customStyle="1" w:styleId="93">
    <w:name w:val="文档结构图 字符"/>
    <w:basedOn w:val="57"/>
    <w:link w:val="17"/>
    <w:semiHidden/>
    <w:qFormat/>
    <w:uiPriority w:val="0"/>
    <w:rPr>
      <w:rFonts w:ascii="Times New Roman" w:hAnsi="Times New Roman" w:eastAsia="宋体" w:cs="Times New Roman"/>
      <w:sz w:val="24"/>
      <w:szCs w:val="20"/>
      <w:shd w:val="clear" w:color="auto" w:fill="000080"/>
    </w:rPr>
  </w:style>
  <w:style w:type="character" w:customStyle="1" w:styleId="94">
    <w:name w:val="正文文本缩进 2 字符"/>
    <w:basedOn w:val="57"/>
    <w:link w:val="31"/>
    <w:qFormat/>
    <w:uiPriority w:val="0"/>
    <w:rPr>
      <w:rFonts w:ascii="Times New Roman" w:hAnsi="Times New Roman" w:eastAsia="宋体" w:cs="Times New Roman"/>
      <w:sz w:val="24"/>
      <w:szCs w:val="20"/>
    </w:rPr>
  </w:style>
  <w:style w:type="character" w:customStyle="1" w:styleId="95">
    <w:name w:val="正文文本 字符"/>
    <w:basedOn w:val="57"/>
    <w:link w:val="22"/>
    <w:qFormat/>
    <w:uiPriority w:val="0"/>
    <w:rPr>
      <w:rFonts w:ascii="Times New Roman" w:hAnsi="Times New Roman" w:eastAsia="宋体" w:cs="Times New Roman"/>
      <w:sz w:val="24"/>
      <w:szCs w:val="20"/>
    </w:rPr>
  </w:style>
  <w:style w:type="character" w:customStyle="1" w:styleId="96">
    <w:name w:val="正文文本首行缩进 字符"/>
    <w:basedOn w:val="95"/>
    <w:link w:val="53"/>
    <w:qFormat/>
    <w:uiPriority w:val="0"/>
    <w:rPr>
      <w:rFonts w:ascii="宋体" w:hAnsi="Times New Roman" w:eastAsia="宋体" w:cs="Times New Roman"/>
      <w:kern w:val="0"/>
      <w:sz w:val="24"/>
      <w:szCs w:val="20"/>
    </w:rPr>
  </w:style>
  <w:style w:type="paragraph" w:customStyle="1" w:styleId="97">
    <w:name w:val="表格"/>
    <w:basedOn w:val="1"/>
    <w:qFormat/>
    <w:uiPriority w:val="0"/>
    <w:pPr>
      <w:widowControl/>
      <w:spacing w:line="240" w:lineRule="atLeast"/>
    </w:pPr>
    <w:rPr>
      <w:kern w:val="0"/>
      <w:szCs w:val="20"/>
    </w:rPr>
  </w:style>
  <w:style w:type="paragraph" w:customStyle="1" w:styleId="98">
    <w:name w:val="纯文本1"/>
    <w:basedOn w:val="1"/>
    <w:qFormat/>
    <w:uiPriority w:val="0"/>
    <w:pPr>
      <w:adjustRightInd w:val="0"/>
      <w:spacing w:line="360" w:lineRule="auto"/>
      <w:ind w:right="72" w:firstLine="180"/>
      <w:textAlignment w:val="baseline"/>
    </w:pPr>
    <w:rPr>
      <w:rFonts w:ascii="宋体" w:hAnsi="Courier New"/>
      <w:bCs/>
      <w:sz w:val="24"/>
      <w:szCs w:val="20"/>
    </w:rPr>
  </w:style>
  <w:style w:type="paragraph" w:customStyle="1" w:styleId="99">
    <w:name w:val="小标题"/>
    <w:basedOn w:val="1"/>
    <w:qFormat/>
    <w:uiPriority w:val="0"/>
    <w:pPr>
      <w:tabs>
        <w:tab w:val="left" w:pos="1260"/>
      </w:tabs>
      <w:spacing w:line="500" w:lineRule="exact"/>
      <w:ind w:left="1260" w:hanging="720"/>
    </w:pPr>
    <w:rPr>
      <w:rFonts w:ascii="宋体"/>
      <w:bCs/>
      <w:sz w:val="24"/>
    </w:rPr>
  </w:style>
  <w:style w:type="paragraph" w:customStyle="1" w:styleId="100">
    <w:name w:val="正文缩进2"/>
    <w:basedOn w:val="1"/>
    <w:qFormat/>
    <w:uiPriority w:val="0"/>
    <w:pPr>
      <w:spacing w:before="50" w:afterLines="50" w:line="360" w:lineRule="auto"/>
      <w:ind w:firstLine="200" w:firstLineChars="200"/>
    </w:pPr>
    <w:rPr>
      <w:rFonts w:ascii="Arial" w:hAnsi="Arial" w:eastAsia="幼圆"/>
      <w:sz w:val="24"/>
      <w:szCs w:val="20"/>
    </w:rPr>
  </w:style>
  <w:style w:type="paragraph" w:customStyle="1" w:styleId="101">
    <w:name w:val="标题4"/>
    <w:basedOn w:val="1"/>
    <w:qFormat/>
    <w:uiPriority w:val="0"/>
    <w:pPr>
      <w:keepNext/>
      <w:keepLines/>
      <w:adjustRightInd w:val="0"/>
      <w:spacing w:line="360" w:lineRule="auto"/>
      <w:ind w:left="283" w:hanging="283"/>
      <w:textAlignment w:val="baseline"/>
      <w:outlineLvl w:val="3"/>
    </w:pPr>
    <w:rPr>
      <w:rFonts w:ascii="Arial" w:hAnsi="Arial"/>
      <w:sz w:val="24"/>
      <w:szCs w:val="20"/>
    </w:rPr>
  </w:style>
  <w:style w:type="paragraph" w:customStyle="1" w:styleId="102">
    <w:name w:val="项目符号"/>
    <w:basedOn w:val="1"/>
    <w:qFormat/>
    <w:uiPriority w:val="0"/>
    <w:pPr>
      <w:tabs>
        <w:tab w:val="left" w:pos="840"/>
      </w:tabs>
      <w:adjustRightInd w:val="0"/>
      <w:ind w:left="480"/>
      <w:textAlignment w:val="baseline"/>
    </w:pPr>
    <w:rPr>
      <w:rFonts w:ascii="Arial" w:hAnsi="Arial" w:eastAsia="幼圆"/>
      <w:sz w:val="24"/>
      <w:szCs w:val="20"/>
    </w:rPr>
  </w:style>
  <w:style w:type="paragraph" w:customStyle="1" w:styleId="103">
    <w:name w:val="样式 标题 1 + 段前: 1 行 段后: 0.5 行"/>
    <w:basedOn w:val="3"/>
    <w:qFormat/>
    <w:uiPriority w:val="0"/>
    <w:pPr>
      <w:keepNext w:val="0"/>
      <w:pageBreakBefore/>
      <w:tabs>
        <w:tab w:val="left" w:pos="1188"/>
      </w:tabs>
      <w:spacing w:beforeLines="100" w:afterLines="50" w:line="500" w:lineRule="exact"/>
      <w:jc w:val="left"/>
    </w:pPr>
    <w:rPr>
      <w:rFonts w:ascii="宋体" w:hAnsi="宋体"/>
      <w:sz w:val="32"/>
      <w:szCs w:val="20"/>
    </w:rPr>
  </w:style>
  <w:style w:type="paragraph" w:customStyle="1" w:styleId="104">
    <w:name w:val="样式 标题 3 + 段前: 0.5 行"/>
    <w:basedOn w:val="5"/>
    <w:qFormat/>
    <w:uiPriority w:val="0"/>
    <w:pPr>
      <w:tabs>
        <w:tab w:val="left" w:pos="1102"/>
        <w:tab w:val="left" w:pos="1209"/>
      </w:tabs>
      <w:spacing w:beforeLines="50" w:after="0" w:line="500" w:lineRule="exact"/>
      <w:ind w:left="489" w:hanging="488"/>
    </w:pPr>
    <w:rPr>
      <w:rFonts w:ascii="宋体" w:hAnsi="宋体"/>
      <w:sz w:val="28"/>
      <w:szCs w:val="20"/>
    </w:rPr>
  </w:style>
  <w:style w:type="paragraph" w:customStyle="1" w:styleId="105">
    <w:name w:val="标题 1 + 段前: 1 行 段后: 0.5 行 + 段前: 1 行 段后: 0.5 行"/>
    <w:basedOn w:val="3"/>
    <w:next w:val="3"/>
    <w:qFormat/>
    <w:uiPriority w:val="0"/>
    <w:pPr>
      <w:keepNext w:val="0"/>
      <w:pageBreakBefore/>
      <w:tabs>
        <w:tab w:val="left" w:pos="849"/>
        <w:tab w:val="left" w:pos="1188"/>
      </w:tabs>
      <w:spacing w:beforeLines="100" w:afterLines="50" w:line="500" w:lineRule="exact"/>
      <w:ind w:left="489"/>
      <w:jc w:val="left"/>
    </w:pPr>
    <w:rPr>
      <w:rFonts w:ascii="宋体" w:hAnsi="宋体" w:cs="Arial"/>
      <w:sz w:val="32"/>
      <w:szCs w:val="32"/>
    </w:rPr>
  </w:style>
  <w:style w:type="character" w:customStyle="1" w:styleId="106">
    <w:name w:val="标题 字符"/>
    <w:basedOn w:val="57"/>
    <w:link w:val="51"/>
    <w:qFormat/>
    <w:uiPriority w:val="0"/>
    <w:rPr>
      <w:rFonts w:ascii="Arial" w:hAnsi="Arial" w:eastAsia="仿宋_GB2312" w:cs="Times New Roman"/>
      <w:b/>
      <w:kern w:val="0"/>
      <w:sz w:val="32"/>
      <w:szCs w:val="20"/>
    </w:rPr>
  </w:style>
  <w:style w:type="paragraph" w:customStyle="1" w:styleId="107">
    <w:name w:val="lk2"/>
    <w:basedOn w:val="1"/>
    <w:qFormat/>
    <w:uiPriority w:val="0"/>
    <w:pPr>
      <w:spacing w:line="720" w:lineRule="auto"/>
      <w:jc w:val="center"/>
    </w:pPr>
    <w:rPr>
      <w:rFonts w:ascii="宋体"/>
      <w:b/>
      <w:sz w:val="30"/>
      <w:szCs w:val="36"/>
    </w:rPr>
  </w:style>
  <w:style w:type="paragraph" w:customStyle="1" w:styleId="108">
    <w:name w:val="LK5"/>
    <w:basedOn w:val="109"/>
    <w:qFormat/>
    <w:uiPriority w:val="0"/>
    <w:pPr>
      <w:ind w:left="700" w:leftChars="700"/>
      <w:jc w:val="left"/>
    </w:pPr>
  </w:style>
  <w:style w:type="paragraph" w:customStyle="1" w:styleId="109">
    <w:name w:val="LK1"/>
    <w:basedOn w:val="1"/>
    <w:qFormat/>
    <w:uiPriority w:val="0"/>
    <w:pPr>
      <w:spacing w:line="360" w:lineRule="auto"/>
      <w:jc w:val="center"/>
    </w:pPr>
    <w:rPr>
      <w:rFonts w:ascii="宋体"/>
      <w:b/>
      <w:sz w:val="28"/>
      <w:szCs w:val="28"/>
    </w:rPr>
  </w:style>
  <w:style w:type="paragraph" w:customStyle="1" w:styleId="110">
    <w:name w:val="LK4"/>
    <w:basedOn w:val="1"/>
    <w:qFormat/>
    <w:uiPriority w:val="0"/>
    <w:pPr>
      <w:spacing w:line="360" w:lineRule="auto"/>
      <w:jc w:val="center"/>
    </w:pPr>
    <w:rPr>
      <w:rFonts w:ascii="宋体"/>
      <w:b/>
      <w:spacing w:val="60"/>
      <w:sz w:val="72"/>
      <w:szCs w:val="72"/>
    </w:rPr>
  </w:style>
  <w:style w:type="character" w:customStyle="1" w:styleId="111">
    <w:name w:val="正文文本 3 字符"/>
    <w:basedOn w:val="57"/>
    <w:link w:val="20"/>
    <w:qFormat/>
    <w:uiPriority w:val="0"/>
    <w:rPr>
      <w:rFonts w:ascii="Times New Roman" w:hAnsi="Times New Roman" w:eastAsia="宋体" w:cs="Times New Roman"/>
      <w:sz w:val="16"/>
      <w:szCs w:val="16"/>
    </w:rPr>
  </w:style>
  <w:style w:type="paragraph" w:customStyle="1" w:styleId="112">
    <w:name w:val="1"/>
    <w:basedOn w:val="1"/>
    <w:next w:val="28"/>
    <w:qFormat/>
    <w:uiPriority w:val="0"/>
    <w:rPr>
      <w:rFonts w:ascii="宋体" w:hAnsi="Courier New"/>
      <w:szCs w:val="20"/>
    </w:rPr>
  </w:style>
  <w:style w:type="paragraph" w:customStyle="1" w:styleId="113">
    <w:name w:val="横表格"/>
    <w:basedOn w:val="1"/>
    <w:qFormat/>
    <w:uiPriority w:val="0"/>
    <w:pPr>
      <w:tabs>
        <w:tab w:val="left" w:pos="960"/>
      </w:tabs>
      <w:spacing w:line="300" w:lineRule="exact"/>
      <w:jc w:val="center"/>
    </w:pPr>
    <w:rPr>
      <w:rFonts w:ascii="宋体" w:hAnsi="Arial Narrow"/>
      <w:szCs w:val="21"/>
    </w:rPr>
  </w:style>
  <w:style w:type="paragraph" w:customStyle="1" w:styleId="114">
    <w:name w:val="XW正文"/>
    <w:basedOn w:val="23"/>
    <w:semiHidden/>
    <w:qFormat/>
    <w:uiPriority w:val="0"/>
    <w:pPr>
      <w:adjustRightInd w:val="0"/>
      <w:spacing w:line="360" w:lineRule="auto"/>
      <w:ind w:left="0"/>
      <w:jc w:val="left"/>
      <w:textAlignment w:val="baseline"/>
    </w:pPr>
    <w:rPr>
      <w:color w:val="auto"/>
      <w:kern w:val="0"/>
      <w:szCs w:val="20"/>
    </w:rPr>
  </w:style>
  <w:style w:type="paragraph" w:customStyle="1" w:styleId="115">
    <w:name w:val="章"/>
    <w:basedOn w:val="1"/>
    <w:next w:val="3"/>
    <w:qFormat/>
    <w:uiPriority w:val="0"/>
    <w:pPr>
      <w:autoSpaceDE w:val="0"/>
      <w:autoSpaceDN w:val="0"/>
      <w:adjustRightInd w:val="0"/>
      <w:spacing w:line="400" w:lineRule="exact"/>
      <w:ind w:firstLine="454"/>
      <w:jc w:val="left"/>
      <w:textAlignment w:val="baseline"/>
    </w:pPr>
    <w:rPr>
      <w:kern w:val="0"/>
      <w:sz w:val="24"/>
      <w:szCs w:val="20"/>
    </w:rPr>
  </w:style>
  <w:style w:type="paragraph" w:customStyle="1" w:styleId="116">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117">
    <w:name w:val="样式1"/>
    <w:basedOn w:val="1"/>
    <w:qFormat/>
    <w:uiPriority w:val="0"/>
    <w:pPr>
      <w:tabs>
        <w:tab w:val="left" w:pos="1701"/>
        <w:tab w:val="left" w:pos="2760"/>
        <w:tab w:val="left" w:pos="3402"/>
        <w:tab w:val="left" w:pos="3960"/>
        <w:tab w:val="right" w:pos="7440"/>
        <w:tab w:val="left" w:pos="7920"/>
      </w:tabs>
      <w:adjustRightInd w:val="0"/>
      <w:spacing w:line="300" w:lineRule="auto"/>
      <w:ind w:left="454" w:firstLine="454"/>
      <w:jc w:val="center"/>
      <w:textAlignment w:val="baseline"/>
    </w:pPr>
    <w:rPr>
      <w:b/>
      <w:bCs/>
      <w:kern w:val="0"/>
      <w:sz w:val="36"/>
      <w:szCs w:val="20"/>
    </w:rPr>
  </w:style>
  <w:style w:type="paragraph" w:customStyle="1" w:styleId="118">
    <w:name w:val="样式 标题 2 + 首行缩进:  0 字符1"/>
    <w:basedOn w:val="4"/>
    <w:qFormat/>
    <w:uiPriority w:val="0"/>
    <w:pPr>
      <w:spacing w:before="240" w:after="240" w:line="360" w:lineRule="auto"/>
    </w:pPr>
    <w:rPr>
      <w:rFonts w:eastAsia="宋体" w:cs="宋体"/>
      <w:sz w:val="30"/>
      <w:szCs w:val="30"/>
    </w:rPr>
  </w:style>
  <w:style w:type="character" w:customStyle="1" w:styleId="119">
    <w:name w:val="正文1 Char"/>
    <w:link w:val="86"/>
    <w:qFormat/>
    <w:uiPriority w:val="0"/>
    <w:rPr>
      <w:rFonts w:ascii="宋体" w:hAnsi="Times New Roman" w:eastAsia="宋体" w:cs="Times New Roman"/>
      <w:kern w:val="0"/>
      <w:sz w:val="24"/>
      <w:szCs w:val="20"/>
    </w:rPr>
  </w:style>
  <w:style w:type="character" w:customStyle="1" w:styleId="120">
    <w:name w:val="批注文字 字符"/>
    <w:basedOn w:val="57"/>
    <w:link w:val="18"/>
    <w:semiHidden/>
    <w:qFormat/>
    <w:uiPriority w:val="0"/>
    <w:rPr>
      <w:rFonts w:ascii="Times New Roman" w:hAnsi="Times New Roman" w:eastAsia="宋体" w:cs="Times New Roman"/>
      <w:sz w:val="24"/>
      <w:szCs w:val="20"/>
    </w:rPr>
  </w:style>
  <w:style w:type="character" w:customStyle="1" w:styleId="121">
    <w:name w:val="批注主题 字符"/>
    <w:basedOn w:val="120"/>
    <w:link w:val="52"/>
    <w:semiHidden/>
    <w:qFormat/>
    <w:uiPriority w:val="0"/>
    <w:rPr>
      <w:rFonts w:ascii="Times New Roman" w:hAnsi="Times New Roman" w:eastAsia="宋体" w:cs="Times New Roman"/>
      <w:b/>
      <w:bCs/>
      <w:sz w:val="24"/>
      <w:szCs w:val="20"/>
    </w:rPr>
  </w:style>
  <w:style w:type="paragraph" w:customStyle="1" w:styleId="122">
    <w:name w:val="Char1"/>
    <w:basedOn w:val="1"/>
    <w:qFormat/>
    <w:uiPriority w:val="0"/>
    <w:pPr>
      <w:spacing w:line="400" w:lineRule="exact"/>
    </w:pPr>
    <w:rPr>
      <w:rFonts w:ascii="Tahoma" w:hAnsi="Tahoma"/>
      <w:color w:val="000000"/>
      <w:sz w:val="24"/>
    </w:rPr>
  </w:style>
  <w:style w:type="character" w:customStyle="1" w:styleId="123">
    <w:name w:val="正文文本首行缩进 2 字符"/>
    <w:basedOn w:val="70"/>
    <w:link w:val="54"/>
    <w:qFormat/>
    <w:uiPriority w:val="0"/>
    <w:rPr>
      <w:rFonts w:ascii="Times New Roman" w:hAnsi="Times New Roman" w:eastAsia="宋体" w:cs="Times New Roman"/>
      <w:color w:val="000000"/>
      <w:sz w:val="24"/>
      <w:szCs w:val="20"/>
    </w:rPr>
  </w:style>
  <w:style w:type="character" w:customStyle="1" w:styleId="124">
    <w:name w:val="样式 四号"/>
    <w:qFormat/>
    <w:uiPriority w:val="0"/>
    <w:rPr>
      <w:sz w:val="28"/>
      <w:szCs w:val="28"/>
    </w:rPr>
  </w:style>
  <w:style w:type="paragraph" w:customStyle="1" w:styleId="125">
    <w:name w:val="前言正文"/>
    <w:basedOn w:val="1"/>
    <w:qFormat/>
    <w:uiPriority w:val="0"/>
    <w:pPr>
      <w:adjustRightInd w:val="0"/>
      <w:spacing w:line="400" w:lineRule="exact"/>
      <w:ind w:firstLine="482"/>
    </w:pPr>
    <w:rPr>
      <w:rFonts w:ascii="LinePrinter" w:hAnsi="LinePrinter"/>
      <w:sz w:val="24"/>
    </w:rPr>
  </w:style>
  <w:style w:type="paragraph" w:customStyle="1" w:styleId="126">
    <w:name w:val="BG1"/>
    <w:basedOn w:val="1"/>
    <w:qFormat/>
    <w:uiPriority w:val="0"/>
    <w:pPr>
      <w:tabs>
        <w:tab w:val="left" w:pos="1701"/>
        <w:tab w:val="left" w:pos="2760"/>
        <w:tab w:val="left" w:pos="3402"/>
        <w:tab w:val="left" w:pos="3960"/>
        <w:tab w:val="right" w:pos="7440"/>
        <w:tab w:val="left" w:pos="7920"/>
      </w:tabs>
      <w:adjustRightInd w:val="0"/>
      <w:spacing w:line="320" w:lineRule="atLeast"/>
      <w:jc w:val="center"/>
      <w:textAlignment w:val="baseline"/>
    </w:pPr>
    <w:rPr>
      <w:rFonts w:ascii="LinePrinter"/>
      <w:kern w:val="0"/>
      <w:position w:val="-8"/>
      <w:sz w:val="24"/>
    </w:rPr>
  </w:style>
  <w:style w:type="paragraph" w:customStyle="1" w:styleId="127">
    <w:name w:val="标题3H"/>
    <w:basedOn w:val="5"/>
    <w:qFormat/>
    <w:uiPriority w:val="0"/>
    <w:pPr>
      <w:keepNext w:val="0"/>
      <w:keepLines w:val="0"/>
      <w:tabs>
        <w:tab w:val="left" w:pos="735"/>
      </w:tabs>
      <w:suppressAutoHyphens/>
      <w:adjustRightInd w:val="0"/>
      <w:snapToGrid w:val="0"/>
      <w:spacing w:before="200" w:after="200" w:line="416" w:lineRule="atLeast"/>
      <w:ind w:left="735" w:hanging="315"/>
      <w:jc w:val="left"/>
    </w:pPr>
    <w:rPr>
      <w:rFonts w:ascii="Arial" w:hAnsi="Arial" w:cs="Arial"/>
      <w:bCs w:val="0"/>
      <w:kern w:val="0"/>
      <w:sz w:val="24"/>
      <w:szCs w:val="24"/>
    </w:rPr>
  </w:style>
  <w:style w:type="paragraph" w:customStyle="1" w:styleId="128">
    <w:name w:val="表格1"/>
    <w:qFormat/>
    <w:uiPriority w:val="0"/>
    <w:pPr>
      <w:spacing w:line="400" w:lineRule="exact"/>
      <w:jc w:val="both"/>
    </w:pPr>
    <w:rPr>
      <w:rFonts w:ascii="Times New Roman" w:hAnsi="Times New Roman" w:eastAsia="宋体" w:cs="Times New Roman"/>
      <w:kern w:val="2"/>
      <w:sz w:val="21"/>
      <w:szCs w:val="21"/>
      <w:lang w:val="en-US" w:eastAsia="zh-CN" w:bidi="ar-SA"/>
    </w:rPr>
  </w:style>
  <w:style w:type="paragraph" w:customStyle="1" w:styleId="129">
    <w:name w:val="表头"/>
    <w:basedOn w:val="1"/>
    <w:qFormat/>
    <w:uiPriority w:val="0"/>
    <w:pPr>
      <w:spacing w:line="340" w:lineRule="atLeast"/>
      <w:ind w:left="-57" w:right="-57" w:firstLine="482"/>
      <w:jc w:val="center"/>
    </w:pPr>
    <w:rPr>
      <w:rFonts w:ascii="LinePrinter" w:hAnsi="LinePrinter"/>
      <w:b/>
      <w:sz w:val="24"/>
    </w:rPr>
  </w:style>
  <w:style w:type="paragraph" w:customStyle="1" w:styleId="130">
    <w:name w:val="封面"/>
    <w:basedOn w:val="1"/>
    <w:qFormat/>
    <w:uiPriority w:val="0"/>
    <w:pPr>
      <w:adjustRightInd w:val="0"/>
      <w:spacing w:line="360" w:lineRule="auto"/>
      <w:jc w:val="left"/>
      <w:textAlignment w:val="baseline"/>
    </w:pPr>
    <w:rPr>
      <w:rFonts w:ascii="LinePrinter"/>
      <w:kern w:val="0"/>
      <w:sz w:val="24"/>
    </w:rPr>
  </w:style>
  <w:style w:type="paragraph" w:customStyle="1" w:styleId="131">
    <w:name w:val="签署人姓名"/>
    <w:basedOn w:val="1"/>
    <w:qFormat/>
    <w:uiPriority w:val="0"/>
    <w:pPr>
      <w:adjustRightInd w:val="0"/>
      <w:spacing w:before="120" w:after="120" w:line="400" w:lineRule="exact"/>
      <w:ind w:firstLine="482"/>
      <w:jc w:val="center"/>
    </w:pPr>
    <w:rPr>
      <w:rFonts w:ascii="LinePrinter" w:hAnsi="LinePrinter"/>
      <w:sz w:val="32"/>
    </w:rPr>
  </w:style>
  <w:style w:type="paragraph" w:customStyle="1" w:styleId="132">
    <w:name w:val="目录"/>
    <w:basedOn w:val="131"/>
    <w:qFormat/>
    <w:uiPriority w:val="0"/>
    <w:pPr>
      <w:adjustRightInd/>
    </w:pPr>
    <w:rPr>
      <w:b/>
      <w:sz w:val="36"/>
    </w:rPr>
  </w:style>
  <w:style w:type="paragraph" w:customStyle="1" w:styleId="133">
    <w:name w:val="目录节标题"/>
    <w:basedOn w:val="131"/>
    <w:qFormat/>
    <w:uiPriority w:val="0"/>
    <w:pPr>
      <w:spacing w:before="0" w:after="0"/>
      <w:ind w:left="454" w:hanging="454"/>
      <w:jc w:val="both"/>
    </w:pPr>
    <w:rPr>
      <w:b/>
      <w:sz w:val="24"/>
    </w:rPr>
  </w:style>
  <w:style w:type="paragraph" w:customStyle="1" w:styleId="134">
    <w:name w:val="目录小节标题"/>
    <w:basedOn w:val="131"/>
    <w:qFormat/>
    <w:uiPriority w:val="0"/>
    <w:pPr>
      <w:spacing w:before="0" w:after="0"/>
      <w:ind w:firstLine="680"/>
      <w:jc w:val="both"/>
    </w:pPr>
    <w:rPr>
      <w:sz w:val="24"/>
    </w:rPr>
  </w:style>
  <w:style w:type="paragraph" w:customStyle="1" w:styleId="135">
    <w:name w:val="目录章标题"/>
    <w:basedOn w:val="131"/>
    <w:qFormat/>
    <w:uiPriority w:val="0"/>
    <w:pPr>
      <w:spacing w:before="0" w:after="0"/>
      <w:jc w:val="left"/>
    </w:pPr>
    <w:rPr>
      <w:b/>
      <w:sz w:val="28"/>
    </w:rPr>
  </w:style>
  <w:style w:type="paragraph" w:customStyle="1" w:styleId="136">
    <w:name w:val="签署项"/>
    <w:basedOn w:val="1"/>
    <w:qFormat/>
    <w:uiPriority w:val="0"/>
    <w:pPr>
      <w:spacing w:before="120" w:after="120" w:line="400" w:lineRule="exact"/>
      <w:ind w:firstLine="482"/>
      <w:jc w:val="center"/>
    </w:pPr>
    <w:rPr>
      <w:rFonts w:ascii="LinePrinter" w:hAnsi="LinePrinter"/>
      <w:b/>
      <w:sz w:val="32"/>
    </w:rPr>
  </w:style>
  <w:style w:type="paragraph" w:customStyle="1" w:styleId="137">
    <w:name w:val="前言"/>
    <w:basedOn w:val="131"/>
    <w:qFormat/>
    <w:uiPriority w:val="0"/>
    <w:rPr>
      <w:b/>
    </w:rPr>
  </w:style>
  <w:style w:type="paragraph" w:customStyle="1" w:styleId="138">
    <w:name w:val="样式2"/>
    <w:basedOn w:val="1"/>
    <w:qFormat/>
    <w:uiPriority w:val="0"/>
    <w:pPr>
      <w:spacing w:beforeLines="50" w:afterLines="50"/>
      <w:jc w:val="center"/>
    </w:pPr>
    <w:rPr>
      <w:rFonts w:ascii="仿宋_GB2312" w:hAnsi="华文中宋"/>
      <w:sz w:val="24"/>
    </w:rPr>
  </w:style>
  <w:style w:type="paragraph" w:customStyle="1" w:styleId="139">
    <w:name w:val="样式5"/>
    <w:basedOn w:val="138"/>
    <w:qFormat/>
    <w:uiPriority w:val="0"/>
    <w:pPr>
      <w:spacing w:beforeLines="0" w:after="249"/>
    </w:pPr>
    <w:rPr>
      <w:sz w:val="36"/>
    </w:rPr>
  </w:style>
  <w:style w:type="paragraph" w:customStyle="1" w:styleId="140">
    <w:name w:val="4。9"/>
    <w:basedOn w:val="1"/>
    <w:qFormat/>
    <w:uiPriority w:val="0"/>
    <w:pPr>
      <w:widowControl/>
      <w:adjustRightInd w:val="0"/>
      <w:spacing w:line="360" w:lineRule="auto"/>
      <w:textAlignment w:val="baseline"/>
    </w:pPr>
    <w:rPr>
      <w:rFonts w:ascii="宋体"/>
      <w:b/>
      <w:bCs/>
      <w:sz w:val="24"/>
    </w:rPr>
  </w:style>
  <w:style w:type="paragraph" w:customStyle="1" w:styleId="141">
    <w:name w:val="简单回函地址"/>
    <w:basedOn w:val="1"/>
    <w:qFormat/>
    <w:uiPriority w:val="0"/>
    <w:pPr>
      <w:spacing w:line="500" w:lineRule="exact"/>
      <w:ind w:firstLine="482"/>
    </w:pPr>
    <w:rPr>
      <w:rFonts w:ascii="LinePrinter" w:hAnsi="LinePrinter"/>
      <w:sz w:val="24"/>
    </w:rPr>
  </w:style>
  <w:style w:type="character" w:customStyle="1" w:styleId="142">
    <w:name w:val="签名 字符"/>
    <w:basedOn w:val="57"/>
    <w:link w:val="35"/>
    <w:qFormat/>
    <w:uiPriority w:val="0"/>
    <w:rPr>
      <w:rFonts w:ascii="LinePrinter" w:hAnsi="LinePrinter" w:eastAsia="宋体" w:cs="Times New Roman"/>
      <w:sz w:val="24"/>
      <w:szCs w:val="24"/>
    </w:rPr>
  </w:style>
  <w:style w:type="paragraph" w:customStyle="1" w:styleId="143">
    <w:name w:val="PP 行"/>
    <w:basedOn w:val="35"/>
    <w:qFormat/>
    <w:uiPriority w:val="0"/>
  </w:style>
  <w:style w:type="paragraph" w:customStyle="1" w:styleId="144">
    <w:name w:val="工程"/>
    <w:basedOn w:val="1"/>
    <w:next w:val="1"/>
    <w:qFormat/>
    <w:uiPriority w:val="0"/>
    <w:pPr>
      <w:jc w:val="center"/>
    </w:pPr>
    <w:rPr>
      <w:b/>
      <w:spacing w:val="4"/>
      <w:sz w:val="36"/>
      <w:szCs w:val="20"/>
    </w:rPr>
  </w:style>
  <w:style w:type="paragraph" w:customStyle="1" w:styleId="145">
    <w:name w:val="默认段落字体 Para Char Char Char Char"/>
    <w:basedOn w:val="1"/>
    <w:qFormat/>
    <w:uiPriority w:val="0"/>
    <w:rPr>
      <w:rFonts w:ascii="Arial" w:hAnsi="Arial"/>
      <w:snapToGrid w:val="0"/>
      <w:szCs w:val="21"/>
    </w:rPr>
  </w:style>
  <w:style w:type="paragraph" w:customStyle="1" w:styleId="146">
    <w:name w:val="Char Char Char Char Char Char Char Char Char1 Char"/>
    <w:basedOn w:val="1"/>
    <w:qFormat/>
    <w:uiPriority w:val="0"/>
    <w:rPr>
      <w:rFonts w:ascii="Tahoma" w:hAnsi="Tahoma"/>
      <w:sz w:val="24"/>
      <w:szCs w:val="20"/>
    </w:rPr>
  </w:style>
  <w:style w:type="paragraph" w:customStyle="1" w:styleId="147">
    <w:name w:val="Char Char Char1 Char"/>
    <w:basedOn w:val="1"/>
    <w:qFormat/>
    <w:uiPriority w:val="0"/>
    <w:rPr>
      <w:rFonts w:ascii="Tahoma" w:hAnsi="Tahoma"/>
      <w:sz w:val="24"/>
      <w:szCs w:val="20"/>
    </w:rPr>
  </w:style>
  <w:style w:type="paragraph" w:customStyle="1" w:styleId="148">
    <w:name w:val="font5"/>
    <w:basedOn w:val="1"/>
    <w:qFormat/>
    <w:uiPriority w:val="0"/>
    <w:pPr>
      <w:widowControl/>
      <w:spacing w:before="100" w:beforeAutospacing="1" w:after="100" w:afterAutospacing="1"/>
      <w:jc w:val="left"/>
    </w:pPr>
    <w:rPr>
      <w:color w:val="000000"/>
      <w:kern w:val="0"/>
      <w:szCs w:val="21"/>
    </w:rPr>
  </w:style>
  <w:style w:type="paragraph" w:customStyle="1" w:styleId="149">
    <w:name w:val="font6"/>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1">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52">
    <w:name w:val="xl63"/>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3">
    <w:name w:val="xl64"/>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4">
    <w:name w:val="xl65"/>
    <w:basedOn w:val="1"/>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5">
    <w:name w:val="xl66"/>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56">
    <w:name w:val="xl67"/>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57">
    <w:name w:val="xl68"/>
    <w:basedOn w:val="1"/>
    <w:qFormat/>
    <w:uiPriority w:val="0"/>
    <w:pPr>
      <w:widowControl/>
      <w:pBdr>
        <w:right w:val="single" w:color="auto" w:sz="8" w:space="0"/>
      </w:pBdr>
      <w:spacing w:before="100" w:beforeAutospacing="1" w:after="100" w:afterAutospacing="1"/>
      <w:textAlignment w:val="center"/>
    </w:pPr>
    <w:rPr>
      <w:kern w:val="0"/>
      <w:szCs w:val="21"/>
    </w:rPr>
  </w:style>
  <w:style w:type="paragraph" w:customStyle="1" w:styleId="158">
    <w:name w:val="xl69"/>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59">
    <w:name w:val="xl70"/>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160">
    <w:name w:val="xl71"/>
    <w:basedOn w:val="1"/>
    <w:qFormat/>
    <w:uiPriority w:val="0"/>
    <w:pPr>
      <w:widowControl/>
      <w:pBdr>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1">
    <w:name w:val="xl72"/>
    <w:basedOn w:val="1"/>
    <w:qFormat/>
    <w:uiPriority w:val="0"/>
    <w:pPr>
      <w:widowControl/>
      <w:pBdr>
        <w:right w:val="single" w:color="auto" w:sz="8" w:space="0"/>
      </w:pBdr>
      <w:spacing w:before="100" w:beforeAutospacing="1" w:after="100" w:afterAutospacing="1"/>
      <w:textAlignment w:val="center"/>
    </w:pPr>
    <w:rPr>
      <w:kern w:val="0"/>
      <w:szCs w:val="21"/>
    </w:rPr>
  </w:style>
  <w:style w:type="paragraph" w:customStyle="1" w:styleId="162">
    <w:name w:val="xl73"/>
    <w:basedOn w:val="1"/>
    <w:qFormat/>
    <w:uiPriority w:val="0"/>
    <w:pPr>
      <w:widowControl/>
      <w:pBdr>
        <w:bottom w:val="single" w:color="auto" w:sz="8" w:space="0"/>
        <w:right w:val="single" w:color="auto" w:sz="8" w:space="0"/>
      </w:pBdr>
      <w:spacing w:before="100" w:beforeAutospacing="1" w:after="100" w:afterAutospacing="1"/>
      <w:textAlignment w:val="center"/>
    </w:pPr>
    <w:rPr>
      <w:kern w:val="0"/>
      <w:szCs w:val="21"/>
    </w:rPr>
  </w:style>
  <w:style w:type="paragraph" w:customStyle="1" w:styleId="163">
    <w:name w:val="xl74"/>
    <w:basedOn w:val="1"/>
    <w:qFormat/>
    <w:uiPriority w:val="0"/>
    <w:pPr>
      <w:widowControl/>
      <w:pBdr>
        <w:bottom w:val="single" w:color="auto" w:sz="8" w:space="0"/>
        <w:right w:val="single" w:color="auto" w:sz="8" w:space="0"/>
      </w:pBdr>
      <w:spacing w:before="100" w:beforeAutospacing="1" w:after="100" w:afterAutospacing="1"/>
      <w:jc w:val="left"/>
    </w:pPr>
    <w:rPr>
      <w:rFonts w:ascii="Calibri" w:hAnsi="Calibri" w:cs="Calibri"/>
      <w:kern w:val="0"/>
      <w:szCs w:val="21"/>
    </w:rPr>
  </w:style>
  <w:style w:type="paragraph" w:customStyle="1" w:styleId="164">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5">
    <w:name w:val="xl76"/>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6">
    <w:name w:val="xl7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Calibri" w:hAnsi="Calibri" w:cs="Calibri"/>
      <w:kern w:val="0"/>
      <w:szCs w:val="21"/>
    </w:rPr>
  </w:style>
  <w:style w:type="paragraph" w:customStyle="1" w:styleId="167">
    <w:name w:val="xl78"/>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8">
    <w:name w:val="xl79"/>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69">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0">
    <w:name w:val="xl81"/>
    <w:basedOn w:val="1"/>
    <w:qFormat/>
    <w:uiPriority w:val="0"/>
    <w:pPr>
      <w:widowControl/>
      <w:pBdr>
        <w:left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72">
    <w:name w:val="xl83"/>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kern w:val="0"/>
      <w:szCs w:val="21"/>
    </w:rPr>
  </w:style>
  <w:style w:type="paragraph" w:customStyle="1" w:styleId="173">
    <w:name w:val="xl84"/>
    <w:basedOn w:val="1"/>
    <w:qFormat/>
    <w:uiPriority w:val="0"/>
    <w:pPr>
      <w:widowControl/>
      <w:pBdr>
        <w:left w:val="single" w:color="auto" w:sz="8" w:space="0"/>
        <w:right w:val="single" w:color="auto" w:sz="8" w:space="0"/>
      </w:pBdr>
      <w:spacing w:before="100" w:beforeAutospacing="1" w:after="100" w:afterAutospacing="1"/>
      <w:textAlignment w:val="center"/>
    </w:pPr>
    <w:rPr>
      <w:kern w:val="0"/>
      <w:szCs w:val="21"/>
    </w:rPr>
  </w:style>
  <w:style w:type="paragraph" w:customStyle="1" w:styleId="174">
    <w:name w:val="xl85"/>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5">
    <w:name w:val="xl86"/>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kern w:val="0"/>
      <w:szCs w:val="21"/>
    </w:rPr>
  </w:style>
  <w:style w:type="paragraph" w:customStyle="1" w:styleId="176">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kern w:val="0"/>
      <w:szCs w:val="21"/>
    </w:rPr>
  </w:style>
  <w:style w:type="paragraph" w:customStyle="1" w:styleId="177">
    <w:name w:val="xl88"/>
    <w:basedOn w:val="1"/>
    <w:qFormat/>
    <w:uiPriority w:val="0"/>
    <w:pPr>
      <w:widowControl/>
      <w:pBdr>
        <w:left w:val="single" w:color="auto" w:sz="8" w:space="0"/>
        <w:right w:val="single" w:color="auto" w:sz="8" w:space="0"/>
      </w:pBdr>
      <w:spacing w:before="100" w:beforeAutospacing="1" w:after="100" w:afterAutospacing="1"/>
      <w:textAlignment w:val="center"/>
    </w:pPr>
    <w:rPr>
      <w:kern w:val="0"/>
      <w:szCs w:val="21"/>
    </w:rPr>
  </w:style>
  <w:style w:type="paragraph" w:customStyle="1" w:styleId="178">
    <w:name w:val="xl89"/>
    <w:basedOn w:val="1"/>
    <w:qFormat/>
    <w:uiPriority w:val="0"/>
    <w:pPr>
      <w:widowControl/>
      <w:pBdr>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79">
    <w:name w:val="xl90"/>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0">
    <w:name w:val="xl91"/>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1">
    <w:name w:val="xl92"/>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2">
    <w:name w:val="xl93"/>
    <w:basedOn w:val="1"/>
    <w:qFormat/>
    <w:uiPriority w:val="0"/>
    <w:pPr>
      <w:widowControl/>
      <w:pBdr>
        <w:top w:val="single" w:color="auto" w:sz="8" w:space="0"/>
        <w:left w:val="single" w:color="auto" w:sz="8" w:space="0"/>
      </w:pBdr>
      <w:spacing w:before="100" w:beforeAutospacing="1" w:after="100" w:afterAutospacing="1"/>
      <w:textAlignment w:val="center"/>
    </w:pPr>
    <w:rPr>
      <w:rFonts w:ascii="宋体" w:hAnsi="宋体" w:cs="宋体"/>
      <w:kern w:val="0"/>
      <w:szCs w:val="21"/>
    </w:rPr>
  </w:style>
  <w:style w:type="paragraph" w:customStyle="1" w:styleId="183">
    <w:name w:val="xl94"/>
    <w:basedOn w:val="1"/>
    <w:qFormat/>
    <w:uiPriority w:val="0"/>
    <w:pPr>
      <w:widowControl/>
      <w:pBdr>
        <w:top w:val="single" w:color="auto" w:sz="8" w:space="0"/>
      </w:pBdr>
      <w:spacing w:before="100" w:beforeAutospacing="1" w:after="100" w:afterAutospacing="1"/>
      <w:textAlignment w:val="center"/>
    </w:pPr>
    <w:rPr>
      <w:rFonts w:ascii="宋体" w:hAnsi="宋体" w:cs="宋体"/>
      <w:kern w:val="0"/>
      <w:szCs w:val="21"/>
    </w:rPr>
  </w:style>
  <w:style w:type="paragraph" w:customStyle="1" w:styleId="184">
    <w:name w:val="xl95"/>
    <w:basedOn w:val="1"/>
    <w:qFormat/>
    <w:uiPriority w:val="0"/>
    <w:pPr>
      <w:widowControl/>
      <w:pBdr>
        <w:top w:val="single" w:color="auto" w:sz="8" w:space="0"/>
        <w:right w:val="single" w:color="auto" w:sz="8" w:space="0"/>
      </w:pBdr>
      <w:spacing w:before="100" w:beforeAutospacing="1" w:after="100" w:afterAutospacing="1"/>
      <w:textAlignment w:val="center"/>
    </w:pPr>
    <w:rPr>
      <w:rFonts w:ascii="宋体" w:hAnsi="宋体" w:cs="宋体"/>
      <w:kern w:val="0"/>
      <w:szCs w:val="21"/>
    </w:rPr>
  </w:style>
  <w:style w:type="paragraph" w:customStyle="1" w:styleId="185">
    <w:name w:val="xl96"/>
    <w:basedOn w:val="1"/>
    <w:qFormat/>
    <w:uiPriority w:val="0"/>
    <w:pPr>
      <w:widowControl/>
      <w:pBdr>
        <w:bottom w:val="single" w:color="auto" w:sz="8" w:space="0"/>
      </w:pBdr>
      <w:spacing w:before="100" w:beforeAutospacing="1" w:after="100" w:afterAutospacing="1"/>
      <w:textAlignment w:val="center"/>
    </w:pPr>
    <w:rPr>
      <w:rFonts w:ascii="宋体" w:hAnsi="宋体" w:cs="宋体"/>
      <w:kern w:val="0"/>
      <w:szCs w:val="21"/>
    </w:rPr>
  </w:style>
  <w:style w:type="paragraph" w:customStyle="1" w:styleId="186">
    <w:name w:val="xl9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7">
    <w:name w:val="xl9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Cs w:val="21"/>
    </w:rPr>
  </w:style>
  <w:style w:type="paragraph" w:customStyle="1" w:styleId="188">
    <w:name w:val="xl9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9">
    <w:name w:val="xl100"/>
    <w:basedOn w:val="1"/>
    <w:qFormat/>
    <w:uiPriority w:val="0"/>
    <w:pPr>
      <w:widowControl/>
      <w:pBdr>
        <w:top w:val="single" w:color="auto" w:sz="8" w:space="0"/>
        <w:lef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0">
    <w:name w:val="xl101"/>
    <w:basedOn w:val="1"/>
    <w:qFormat/>
    <w:uiPriority w:val="0"/>
    <w:pPr>
      <w:widowControl/>
      <w:pBdr>
        <w:top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1">
    <w:name w:val="xl102"/>
    <w:basedOn w:val="1"/>
    <w:qFormat/>
    <w:uiPriority w:val="0"/>
    <w:pPr>
      <w:widowControl/>
      <w:pBdr>
        <w:top w:val="single" w:color="auto" w:sz="8" w:space="0"/>
        <w:righ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2">
    <w:name w:val="xl103"/>
    <w:basedOn w:val="1"/>
    <w:qFormat/>
    <w:uiPriority w:val="0"/>
    <w:pPr>
      <w:widowControl/>
      <w:pBdr>
        <w:left w:val="single" w:color="auto" w:sz="8" w:space="0"/>
        <w:bottom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3">
    <w:name w:val="xl104"/>
    <w:basedOn w:val="1"/>
    <w:qFormat/>
    <w:uiPriority w:val="0"/>
    <w:pPr>
      <w:widowControl/>
      <w:pBdr>
        <w:bottom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4">
    <w:name w:val="xl105"/>
    <w:basedOn w:val="1"/>
    <w:qFormat/>
    <w:uiPriority w:val="0"/>
    <w:pPr>
      <w:widowControl/>
      <w:pBdr>
        <w:bottom w:val="single" w:color="auto" w:sz="8" w:space="0"/>
        <w:right w:val="single" w:color="auto" w:sz="8" w:space="0"/>
      </w:pBdr>
      <w:shd w:val="clear" w:color="000000" w:fill="92D050"/>
      <w:spacing w:before="100" w:beforeAutospacing="1" w:after="100" w:afterAutospacing="1"/>
      <w:textAlignment w:val="center"/>
    </w:pPr>
    <w:rPr>
      <w:rFonts w:ascii="宋体" w:hAnsi="宋体" w:cs="宋体"/>
      <w:b/>
      <w:bCs/>
      <w:kern w:val="0"/>
      <w:szCs w:val="21"/>
    </w:rPr>
  </w:style>
  <w:style w:type="paragraph" w:customStyle="1" w:styleId="195">
    <w:name w:val="xl10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196">
    <w:name w:val="xl10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7">
    <w:name w:val="xl108"/>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8">
    <w:name w:val="xl109"/>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Calibri" w:hAnsi="Calibri" w:cs="Calibri"/>
      <w:kern w:val="0"/>
      <w:szCs w:val="21"/>
    </w:rPr>
  </w:style>
  <w:style w:type="paragraph" w:customStyle="1" w:styleId="199">
    <w:name w:val="xl11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kern w:val="0"/>
      <w:szCs w:val="21"/>
    </w:rPr>
  </w:style>
  <w:style w:type="paragraph" w:customStyle="1" w:styleId="200">
    <w:name w:val="xl111"/>
    <w:basedOn w:val="1"/>
    <w:qFormat/>
    <w:uiPriority w:val="0"/>
    <w:pPr>
      <w:widowControl/>
      <w:pBdr>
        <w:left w:val="single" w:color="auto" w:sz="8" w:space="0"/>
        <w:right w:val="single" w:color="auto" w:sz="8" w:space="0"/>
      </w:pBdr>
      <w:spacing w:before="100" w:beforeAutospacing="1" w:after="100" w:afterAutospacing="1"/>
      <w:jc w:val="center"/>
      <w:textAlignment w:val="center"/>
    </w:pPr>
    <w:rPr>
      <w:kern w:val="0"/>
      <w:szCs w:val="21"/>
    </w:rPr>
  </w:style>
  <w:style w:type="character" w:customStyle="1" w:styleId="201">
    <w:name w:val="HTML 预设格式 字符"/>
    <w:basedOn w:val="57"/>
    <w:link w:val="48"/>
    <w:semiHidden/>
    <w:qFormat/>
    <w:uiPriority w:val="99"/>
    <w:rPr>
      <w:rFonts w:ascii="宋体" w:hAnsi="宋体"/>
      <w:sz w:val="24"/>
      <w:szCs w:val="24"/>
    </w:rPr>
  </w:style>
  <w:style w:type="paragraph" w:customStyle="1" w:styleId="202">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CD77A-BEB6-44A0-8519-B9276B690A0B}">
  <ds:schemaRefs/>
</ds:datastoreItem>
</file>

<file path=docProps/app.xml><?xml version="1.0" encoding="utf-8"?>
<Properties xmlns="http://schemas.openxmlformats.org/officeDocument/2006/extended-properties" xmlns:vt="http://schemas.openxmlformats.org/officeDocument/2006/docPropsVTypes">
  <Template>Normal</Template>
  <Company>eachome</Company>
  <Pages>46</Pages>
  <Words>20105</Words>
  <Characters>20921</Characters>
  <Lines>145</Lines>
  <Paragraphs>40</Paragraphs>
  <TotalTime>6</TotalTime>
  <ScaleCrop>false</ScaleCrop>
  <LinksUpToDate>false</LinksUpToDate>
  <CharactersWithSpaces>21348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2022-07-07T09:41:00Z</dcterms:created>
  <dc:creator>chenjun</dc:creator>
  <cp:lastModifiedBy>hhh</cp:lastModifiedBy>
  <cp:lastPrinted>2022-06-29T03:17:00Z</cp:lastPrinted>
  <dcterms:modified xsi:type="dcterms:W3CDTF">2024-05-07T08:48:25Z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7BFB0FE5D2B84CD687AA9E2C8FF3F36B</vt:lpwstr>
  </property>
</Properties>
</file>