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themeColor="text1"/>
          <w:kern w:val="0"/>
          <w:sz w:val="52"/>
          <w:szCs w:val="52"/>
        </w:rPr>
      </w:pPr>
    </w:p>
    <w:p>
      <w:pPr>
        <w:jc w:val="center"/>
        <w:rPr>
          <w:rFonts w:hint="eastAsia" w:ascii="宋体" w:hAnsi="宋体" w:eastAsia="宋体" w:cs="宋体"/>
          <w:b/>
          <w:color w:val="000000" w:themeColor="text1"/>
          <w:kern w:val="0"/>
          <w:sz w:val="52"/>
          <w:szCs w:val="52"/>
        </w:rPr>
      </w:pPr>
    </w:p>
    <w:p>
      <w:pPr>
        <w:pStyle w:val="3"/>
        <w:spacing w:before="0" w:after="0" w:line="240" w:lineRule="auto"/>
        <w:jc w:val="center"/>
        <w:rPr>
          <w:rFonts w:hint="eastAsia" w:ascii="宋体" w:hAnsi="宋体" w:eastAsia="宋体" w:cs="宋体"/>
          <w:sz w:val="52"/>
          <w:szCs w:val="52"/>
        </w:rPr>
      </w:pPr>
      <w:r>
        <w:rPr>
          <w:rFonts w:hint="eastAsia" w:ascii="宋体" w:hAnsi="宋体" w:eastAsia="宋体" w:cs="宋体"/>
          <w:sz w:val="52"/>
          <w:szCs w:val="52"/>
        </w:rPr>
        <w:t>第十三届深圳动漫节</w:t>
      </w:r>
    </w:p>
    <w:p>
      <w:pPr>
        <w:pStyle w:val="3"/>
        <w:spacing w:before="0" w:after="0" w:line="240" w:lineRule="auto"/>
        <w:jc w:val="center"/>
        <w:rPr>
          <w:rFonts w:hint="eastAsia" w:ascii="宋体" w:hAnsi="宋体" w:eastAsia="宋体" w:cs="宋体"/>
          <w:sz w:val="52"/>
          <w:szCs w:val="52"/>
        </w:rPr>
      </w:pPr>
      <w:r>
        <w:rPr>
          <w:rFonts w:hint="eastAsia" w:ascii="宋体" w:hAnsi="宋体" w:eastAsia="宋体" w:cs="宋体"/>
          <w:sz w:val="52"/>
          <w:szCs w:val="52"/>
        </w:rPr>
        <w:t>世纪汇购物中心动漫联名活动</w:t>
      </w:r>
    </w:p>
    <w:p>
      <w:pPr>
        <w:jc w:val="center"/>
        <w:rPr>
          <w:rFonts w:hint="eastAsia" w:ascii="宋体" w:hAnsi="宋体" w:eastAsia="宋体" w:cs="宋体"/>
          <w:b/>
          <w:color w:val="000000" w:themeColor="text1"/>
          <w:kern w:val="0"/>
          <w:sz w:val="52"/>
          <w:szCs w:val="52"/>
        </w:rPr>
      </w:pPr>
      <w:r>
        <w:rPr>
          <w:rFonts w:hint="eastAsia" w:ascii="宋体" w:hAnsi="宋体" w:eastAsia="宋体" w:cs="宋体"/>
          <w:sz w:val="52"/>
          <w:szCs w:val="52"/>
        </w:rPr>
        <w:t>美陈搭建及物料制作项目</w:t>
      </w:r>
    </w:p>
    <w:p>
      <w:pPr>
        <w:jc w:val="center"/>
        <w:rPr>
          <w:rFonts w:hint="eastAsia" w:ascii="宋体" w:hAnsi="宋体" w:eastAsia="宋体" w:cs="宋体"/>
          <w:b/>
          <w:color w:val="000000" w:themeColor="text1"/>
          <w:kern w:val="0"/>
          <w:sz w:val="52"/>
          <w:szCs w:val="52"/>
        </w:rPr>
      </w:pPr>
    </w:p>
    <w:p>
      <w:pPr>
        <w:jc w:val="center"/>
        <w:rPr>
          <w:rFonts w:hint="eastAsia" w:ascii="宋体" w:hAnsi="宋体" w:eastAsia="宋体" w:cs="宋体"/>
          <w:b/>
          <w:color w:val="000000" w:themeColor="text1"/>
          <w:kern w:val="0"/>
          <w:sz w:val="52"/>
          <w:szCs w:val="52"/>
        </w:rPr>
      </w:pPr>
    </w:p>
    <w:p>
      <w:pPr>
        <w:jc w:val="center"/>
        <w:rPr>
          <w:rFonts w:hint="eastAsia" w:ascii="宋体" w:hAnsi="宋体" w:eastAsia="宋体" w:cs="宋体"/>
          <w:b/>
          <w:bCs/>
          <w:color w:val="000000" w:themeColor="text1"/>
          <w:sz w:val="84"/>
          <w:szCs w:val="21"/>
        </w:rPr>
      </w:pPr>
      <w:r>
        <w:rPr>
          <w:rFonts w:hint="eastAsia" w:ascii="宋体" w:hAnsi="宋体" w:eastAsia="宋体" w:cs="宋体"/>
          <w:b/>
          <w:bCs/>
          <w:color w:val="000000" w:themeColor="text1"/>
          <w:sz w:val="84"/>
          <w:szCs w:val="21"/>
        </w:rPr>
        <w:t>竞争性谈判文件</w:t>
      </w:r>
    </w:p>
    <w:p>
      <w:pPr>
        <w:jc w:val="center"/>
        <w:outlineLvl w:val="0"/>
        <w:rPr>
          <w:rFonts w:hint="eastAsia" w:ascii="宋体" w:hAnsi="宋体" w:eastAsia="宋体" w:cs="宋体"/>
          <w:sz w:val="34"/>
          <w:szCs w:val="21"/>
        </w:rPr>
      </w:pPr>
      <w:bookmarkStart w:id="0" w:name="_Toc23836"/>
      <w:bookmarkStart w:id="1" w:name="_Toc13549"/>
      <w:bookmarkStart w:id="2" w:name="_Toc20369"/>
      <w:r>
        <w:rPr>
          <w:rFonts w:hint="eastAsia" w:ascii="宋体" w:hAnsi="宋体" w:eastAsia="宋体" w:cs="宋体"/>
          <w:b/>
          <w:color w:val="000000" w:themeColor="text1"/>
          <w:sz w:val="34"/>
          <w:szCs w:val="21"/>
        </w:rPr>
        <w:t>采购编号</w:t>
      </w:r>
      <w:r>
        <w:rPr>
          <w:rFonts w:hint="eastAsia" w:ascii="宋体" w:hAnsi="宋体" w:eastAsia="宋体" w:cs="宋体"/>
          <w:color w:val="000000" w:themeColor="text1"/>
          <w:sz w:val="34"/>
          <w:szCs w:val="21"/>
        </w:rPr>
        <w:t>：SJZD-202401</w:t>
      </w:r>
      <w:r>
        <w:rPr>
          <w:rFonts w:hint="eastAsia" w:ascii="宋体" w:hAnsi="宋体" w:eastAsia="宋体" w:cs="宋体"/>
          <w:color w:val="000000" w:themeColor="text1"/>
          <w:sz w:val="34"/>
          <w:szCs w:val="21"/>
          <w:lang w:val="en-US" w:eastAsia="zh-CN"/>
        </w:rPr>
        <w:t>6</w:t>
      </w:r>
      <w:bookmarkEnd w:id="0"/>
      <w:bookmarkEnd w:id="1"/>
      <w:bookmarkEnd w:id="2"/>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both"/>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rPr>
          <w:rFonts w:hint="eastAsia" w:ascii="宋体" w:hAnsi="宋体" w:eastAsia="宋体" w:cs="宋体"/>
          <w:color w:val="000000" w:themeColor="text1"/>
        </w:rPr>
      </w:pPr>
    </w:p>
    <w:p>
      <w:pPr>
        <w:jc w:val="center"/>
        <w:outlineLvl w:val="0"/>
        <w:rPr>
          <w:rFonts w:hint="eastAsia" w:ascii="宋体" w:hAnsi="宋体" w:eastAsia="宋体" w:cs="宋体"/>
          <w:color w:val="000000"/>
          <w:sz w:val="48"/>
          <w:szCs w:val="48"/>
        </w:rPr>
      </w:pPr>
      <w:bookmarkStart w:id="3" w:name="_Toc1540"/>
      <w:bookmarkStart w:id="4" w:name="_Toc24712"/>
      <w:bookmarkStart w:id="5" w:name="_Toc24124"/>
      <w:r>
        <w:rPr>
          <w:rFonts w:hint="eastAsia" w:ascii="宋体" w:hAnsi="宋体" w:eastAsia="宋体" w:cs="宋体"/>
          <w:color w:val="000000"/>
          <w:sz w:val="48"/>
          <w:szCs w:val="48"/>
        </w:rPr>
        <w:t>深圳市设计之都运营发展有限公司</w:t>
      </w:r>
      <w:bookmarkEnd w:id="3"/>
      <w:bookmarkEnd w:id="4"/>
      <w:bookmarkEnd w:id="5"/>
    </w:p>
    <w:p>
      <w:pPr>
        <w:pStyle w:val="2"/>
        <w:spacing w:line="240" w:lineRule="auto"/>
        <w:rPr>
          <w:rFonts w:hint="eastAsia" w:ascii="宋体" w:hAnsi="宋体" w:eastAsia="宋体" w:cs="宋体"/>
        </w:rPr>
      </w:pPr>
    </w:p>
    <w:p>
      <w:pPr>
        <w:pStyle w:val="2"/>
        <w:spacing w:line="240" w:lineRule="auto"/>
        <w:rPr>
          <w:rFonts w:hint="eastAsia" w:ascii="宋体" w:hAnsi="宋体" w:eastAsia="宋体" w:cs="宋体"/>
        </w:rPr>
      </w:pPr>
    </w:p>
    <w:sdt>
      <w:sdtPr>
        <w:rPr>
          <w:rFonts w:hint="eastAsia" w:ascii="宋体" w:hAnsi="宋体" w:eastAsia="宋体" w:cs="宋体"/>
        </w:rPr>
        <w:id w:val="147452778"/>
        <w:docPartObj>
          <w:docPartGallery w:val="Table of Contents"/>
          <w:docPartUnique/>
        </w:docPartObj>
      </w:sdtPr>
      <w:sdtEndPr>
        <w:rPr>
          <w:rFonts w:hint="eastAsia" w:ascii="宋体" w:hAnsi="宋体" w:eastAsia="宋体" w:cs="宋体"/>
          <w:b/>
        </w:rPr>
      </w:sdtEndPr>
      <w:sdtContent>
        <w:p>
          <w:pPr>
            <w:jc w:val="center"/>
            <w:rPr>
              <w:rFonts w:hint="eastAsia" w:ascii="宋体" w:hAnsi="宋体" w:eastAsia="宋体" w:cs="宋体"/>
            </w:rPr>
          </w:pPr>
          <w:r>
            <w:rPr>
              <w:rFonts w:hint="eastAsia" w:ascii="宋体" w:hAnsi="宋体" w:eastAsia="宋体" w:cs="宋体"/>
            </w:rPr>
            <w:t>目录</w:t>
          </w:r>
        </w:p>
        <w:p>
          <w:pPr>
            <w:pStyle w:val="37"/>
            <w:tabs>
              <w:tab w:val="right" w:leader="dot" w:pos="8306"/>
            </w:tabs>
            <w:rPr>
              <w:rFonts w:hint="eastAsia" w:ascii="宋体" w:hAnsi="宋体" w:eastAsia="宋体" w:cs="宋体"/>
              <w:b/>
            </w:rPr>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p>
        <w:p>
          <w:pPr>
            <w:pStyle w:val="37"/>
            <w:tabs>
              <w:tab w:val="right" w:leader="dot" w:pos="8306"/>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_Toc783 </w:instrText>
          </w:r>
          <w:r>
            <w:rPr>
              <w:rFonts w:hint="eastAsia" w:ascii="宋体" w:hAnsi="宋体" w:eastAsia="宋体" w:cs="宋体"/>
              <w:b/>
            </w:rPr>
            <w:fldChar w:fldCharType="separate"/>
          </w:r>
          <w:r>
            <w:rPr>
              <w:rFonts w:hint="eastAsia" w:ascii="宋体" w:hAnsi="宋体" w:eastAsia="宋体" w:cs="宋体"/>
              <w:b/>
            </w:rPr>
            <w:t>第一章 竞争性谈判邀请</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_Toc783 \h </w:instrText>
          </w:r>
          <w:r>
            <w:rPr>
              <w:rFonts w:hint="eastAsia" w:ascii="宋体" w:hAnsi="宋体" w:eastAsia="宋体" w:cs="宋体"/>
              <w:b/>
            </w:rPr>
            <w:fldChar w:fldCharType="separate"/>
          </w:r>
          <w:r>
            <w:rPr>
              <w:rFonts w:hint="eastAsia" w:ascii="宋体" w:hAnsi="宋体" w:eastAsia="宋体" w:cs="宋体"/>
              <w:b/>
            </w:rPr>
            <w:t>3</w:t>
          </w:r>
          <w:r>
            <w:rPr>
              <w:rFonts w:hint="eastAsia" w:ascii="宋体" w:hAnsi="宋体" w:eastAsia="宋体" w:cs="宋体"/>
              <w:b/>
            </w:rPr>
            <w:fldChar w:fldCharType="end"/>
          </w:r>
          <w:r>
            <w:rPr>
              <w:rFonts w:hint="eastAsia" w:ascii="宋体" w:hAnsi="宋体" w:eastAsia="宋体" w:cs="宋体"/>
              <w:b/>
            </w:rPr>
            <w:fldChar w:fldCharType="end"/>
          </w:r>
        </w:p>
        <w:p>
          <w:pPr>
            <w:pStyle w:val="37"/>
            <w:tabs>
              <w:tab w:val="right" w:leader="dot" w:pos="8306"/>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_Toc21224 </w:instrText>
          </w:r>
          <w:r>
            <w:rPr>
              <w:rFonts w:hint="eastAsia" w:ascii="宋体" w:hAnsi="宋体" w:eastAsia="宋体" w:cs="宋体"/>
              <w:b/>
            </w:rPr>
            <w:fldChar w:fldCharType="separate"/>
          </w:r>
          <w:r>
            <w:rPr>
              <w:rFonts w:hint="eastAsia" w:ascii="宋体" w:hAnsi="宋体" w:eastAsia="宋体" w:cs="宋体"/>
              <w:b/>
              <w:szCs w:val="44"/>
            </w:rPr>
            <w:t>第二章 竞争性谈判须知</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_Toc21224 \h </w:instrText>
          </w:r>
          <w:r>
            <w:rPr>
              <w:rFonts w:hint="eastAsia" w:ascii="宋体" w:hAnsi="宋体" w:eastAsia="宋体" w:cs="宋体"/>
              <w:b/>
            </w:rPr>
            <w:fldChar w:fldCharType="separate"/>
          </w:r>
          <w:r>
            <w:rPr>
              <w:rFonts w:hint="eastAsia" w:ascii="宋体" w:hAnsi="宋体" w:eastAsia="宋体" w:cs="宋体"/>
              <w:b/>
            </w:rPr>
            <w:t>4</w:t>
          </w:r>
          <w:r>
            <w:rPr>
              <w:rFonts w:hint="eastAsia" w:ascii="宋体" w:hAnsi="宋体" w:eastAsia="宋体" w:cs="宋体"/>
              <w:b/>
            </w:rPr>
            <w:fldChar w:fldCharType="end"/>
          </w:r>
          <w:r>
            <w:rPr>
              <w:rFonts w:hint="eastAsia" w:ascii="宋体" w:hAnsi="宋体" w:eastAsia="宋体" w:cs="宋体"/>
              <w:b/>
            </w:rPr>
            <w:fldChar w:fldCharType="end"/>
          </w:r>
        </w:p>
        <w:p>
          <w:pPr>
            <w:pStyle w:val="37"/>
            <w:tabs>
              <w:tab w:val="right" w:leader="dot" w:pos="8306"/>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_Toc20300 </w:instrText>
          </w:r>
          <w:r>
            <w:rPr>
              <w:rFonts w:hint="eastAsia" w:ascii="宋体" w:hAnsi="宋体" w:eastAsia="宋体" w:cs="宋体"/>
              <w:b/>
            </w:rPr>
            <w:fldChar w:fldCharType="separate"/>
          </w:r>
          <w:r>
            <w:rPr>
              <w:rFonts w:hint="eastAsia" w:ascii="宋体" w:hAnsi="宋体" w:eastAsia="宋体" w:cs="宋体"/>
              <w:b/>
              <w:szCs w:val="44"/>
            </w:rPr>
            <w:t>第三章 用户需求书</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_Toc20300 \h </w:instrText>
          </w:r>
          <w:r>
            <w:rPr>
              <w:rFonts w:hint="eastAsia" w:ascii="宋体" w:hAnsi="宋体" w:eastAsia="宋体" w:cs="宋体"/>
              <w:b/>
            </w:rPr>
            <w:fldChar w:fldCharType="separate"/>
          </w:r>
          <w:r>
            <w:rPr>
              <w:rFonts w:hint="eastAsia" w:ascii="宋体" w:hAnsi="宋体" w:eastAsia="宋体" w:cs="宋体"/>
              <w:b/>
            </w:rPr>
            <w:t>8</w:t>
          </w:r>
          <w:r>
            <w:rPr>
              <w:rFonts w:hint="eastAsia" w:ascii="宋体" w:hAnsi="宋体" w:eastAsia="宋体" w:cs="宋体"/>
              <w:b/>
            </w:rPr>
            <w:fldChar w:fldCharType="end"/>
          </w:r>
          <w:r>
            <w:rPr>
              <w:rFonts w:hint="eastAsia" w:ascii="宋体" w:hAnsi="宋体" w:eastAsia="宋体" w:cs="宋体"/>
              <w:b/>
            </w:rPr>
            <w:fldChar w:fldCharType="end"/>
          </w:r>
        </w:p>
        <w:p>
          <w:pPr>
            <w:pStyle w:val="38"/>
            <w:tabs>
              <w:tab w:val="right" w:leader="dot" w:pos="8306"/>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_Toc1472 </w:instrText>
          </w:r>
          <w:r>
            <w:rPr>
              <w:rFonts w:hint="eastAsia" w:ascii="宋体" w:hAnsi="宋体" w:eastAsia="宋体" w:cs="宋体"/>
            </w:rPr>
            <w:fldChar w:fldCharType="separate"/>
          </w:r>
          <w:r>
            <w:rPr>
              <w:rFonts w:hint="eastAsia" w:ascii="宋体" w:hAnsi="宋体" w:eastAsia="宋体" w:cs="宋体"/>
              <w:szCs w:val="28"/>
            </w:rPr>
            <w:t>第一节 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8"/>
            <w:tabs>
              <w:tab w:val="right" w:leader="dot" w:pos="8306"/>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_Toc11003 </w:instrText>
          </w:r>
          <w:r>
            <w:rPr>
              <w:rFonts w:hint="eastAsia" w:ascii="宋体" w:hAnsi="宋体" w:eastAsia="宋体" w:cs="宋体"/>
            </w:rPr>
            <w:fldChar w:fldCharType="separate"/>
          </w:r>
          <w:r>
            <w:rPr>
              <w:rFonts w:hint="eastAsia" w:ascii="宋体" w:hAnsi="宋体" w:eastAsia="宋体" w:cs="宋体"/>
              <w:szCs w:val="28"/>
            </w:rPr>
            <w:t>第二节 *服务需求及技术要求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_Toc11003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37"/>
            <w:tabs>
              <w:tab w:val="right" w:leader="dot" w:pos="8306"/>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_Toc27447 </w:instrText>
          </w:r>
          <w:r>
            <w:rPr>
              <w:rFonts w:hint="eastAsia" w:ascii="宋体" w:hAnsi="宋体" w:eastAsia="宋体" w:cs="宋体"/>
              <w:b/>
            </w:rPr>
            <w:fldChar w:fldCharType="separate"/>
          </w:r>
          <w:r>
            <w:rPr>
              <w:rFonts w:hint="eastAsia" w:ascii="宋体" w:hAnsi="宋体" w:eastAsia="宋体" w:cs="宋体"/>
              <w:b/>
              <w:szCs w:val="44"/>
            </w:rPr>
            <w:t>第四章 附件</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_Toc27447 \h </w:instrText>
          </w:r>
          <w:r>
            <w:rPr>
              <w:rFonts w:hint="eastAsia" w:ascii="宋体" w:hAnsi="宋体" w:eastAsia="宋体" w:cs="宋体"/>
              <w:b/>
            </w:rPr>
            <w:fldChar w:fldCharType="separate"/>
          </w:r>
          <w:r>
            <w:rPr>
              <w:rFonts w:hint="eastAsia" w:ascii="宋体" w:hAnsi="宋体" w:eastAsia="宋体" w:cs="宋体"/>
              <w:b/>
            </w:rPr>
            <w:t>14</w:t>
          </w:r>
          <w:r>
            <w:rPr>
              <w:rFonts w:hint="eastAsia" w:ascii="宋体" w:hAnsi="宋体" w:eastAsia="宋体" w:cs="宋体"/>
              <w:b/>
            </w:rPr>
            <w:fldChar w:fldCharType="end"/>
          </w:r>
          <w:r>
            <w:rPr>
              <w:rFonts w:hint="eastAsia" w:ascii="宋体" w:hAnsi="宋体" w:eastAsia="宋体" w:cs="宋体"/>
              <w:b/>
            </w:rPr>
            <w:fldChar w:fldCharType="end"/>
          </w:r>
        </w:p>
        <w:p>
          <w:pPr>
            <w:pStyle w:val="38"/>
            <w:tabs>
              <w:tab w:val="right" w:leader="dot" w:pos="8306"/>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_Toc15791 </w:instrText>
          </w:r>
          <w:r>
            <w:rPr>
              <w:rFonts w:hint="eastAsia" w:ascii="宋体" w:hAnsi="宋体" w:eastAsia="宋体" w:cs="宋体"/>
            </w:rPr>
            <w:fldChar w:fldCharType="separate"/>
          </w:r>
          <w:r>
            <w:rPr>
              <w:rFonts w:hint="eastAsia" w:ascii="宋体" w:hAnsi="宋体" w:eastAsia="宋体" w:cs="宋体"/>
              <w:szCs w:val="28"/>
            </w:rPr>
            <w:t>第一节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_Toc15791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8"/>
            <w:tabs>
              <w:tab w:val="right" w:leader="dot" w:pos="8306"/>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_Toc25586 </w:instrText>
          </w:r>
          <w:r>
            <w:rPr>
              <w:rFonts w:hint="eastAsia" w:ascii="宋体" w:hAnsi="宋体" w:eastAsia="宋体" w:cs="宋体"/>
            </w:rPr>
            <w:fldChar w:fldCharType="separate"/>
          </w:r>
          <w:r>
            <w:rPr>
              <w:rFonts w:hint="eastAsia" w:ascii="宋体" w:hAnsi="宋体" w:eastAsia="宋体" w:cs="宋体"/>
              <w:szCs w:val="28"/>
            </w:rPr>
            <w:t>第二节 评标原则与方法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_Toc25586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38"/>
            <w:tabs>
              <w:tab w:val="right" w:leader="dot" w:pos="8306"/>
            </w:tabs>
            <w:ind w:leftChars="0" w:firstLine="40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_Toc32088 </w:instrText>
          </w:r>
          <w:r>
            <w:rPr>
              <w:rFonts w:hint="eastAsia" w:ascii="宋体" w:hAnsi="宋体" w:eastAsia="宋体" w:cs="宋体"/>
            </w:rPr>
            <w:fldChar w:fldCharType="separate"/>
          </w:r>
          <w:r>
            <w:rPr>
              <w:rFonts w:hint="eastAsia" w:ascii="宋体" w:hAnsi="宋体" w:eastAsia="宋体" w:cs="宋体"/>
              <w:szCs w:val="28"/>
            </w:rPr>
            <w:t>第三节 表格样式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_Toc32088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37"/>
            <w:tabs>
              <w:tab w:val="right" w:leader="dot" w:pos="8306"/>
            </w:tabs>
            <w:rPr>
              <w:rFonts w:hint="eastAsia" w:ascii="宋体" w:hAnsi="宋体" w:eastAsia="宋体" w:cs="宋体"/>
              <w:b/>
            </w:rPr>
          </w:pPr>
        </w:p>
        <w:p>
          <w:pPr>
            <w:rPr>
              <w:rFonts w:hint="eastAsia" w:ascii="宋体" w:hAnsi="宋体" w:eastAsia="宋体" w:cs="宋体"/>
            </w:rPr>
          </w:pPr>
          <w:r>
            <w:rPr>
              <w:rFonts w:hint="eastAsia" w:ascii="宋体" w:hAnsi="宋体" w:eastAsia="宋体" w:cs="宋体"/>
              <w:b/>
            </w:rPr>
            <w:fldChar w:fldCharType="end"/>
          </w:r>
        </w:p>
      </w:sdtContent>
    </w:sdt>
    <w:p>
      <w:pPr>
        <w:rPr>
          <w:rFonts w:hint="eastAsia" w:ascii="宋体" w:hAnsi="宋体" w:eastAsia="宋体" w:cs="宋体"/>
        </w:rPr>
      </w:pPr>
      <w:r>
        <w:rPr>
          <w:rFonts w:hint="eastAsia" w:ascii="宋体" w:hAnsi="宋体" w:eastAsia="宋体" w:cs="宋体"/>
        </w:rPr>
        <w:br w:type="page"/>
      </w:r>
    </w:p>
    <w:p>
      <w:pPr>
        <w:pStyle w:val="3"/>
        <w:numPr>
          <w:ilvl w:val="0"/>
          <w:numId w:val="1"/>
        </w:numPr>
        <w:spacing w:line="240" w:lineRule="auto"/>
        <w:jc w:val="center"/>
        <w:rPr>
          <w:rFonts w:hint="eastAsia" w:ascii="宋体" w:hAnsi="宋体" w:eastAsia="宋体" w:cs="宋体"/>
        </w:rPr>
      </w:pPr>
      <w:bookmarkStart w:id="6" w:name="_Toc783"/>
      <w:r>
        <w:rPr>
          <w:rFonts w:hint="eastAsia" w:ascii="宋体" w:hAnsi="宋体" w:eastAsia="宋体" w:cs="宋体"/>
        </w:rPr>
        <w:t>竞争性谈判邀请</w:t>
      </w:r>
      <w:bookmarkEnd w:id="6"/>
    </w:p>
    <w:p>
      <w:pPr>
        <w:autoSpaceDE w:val="0"/>
        <w:autoSpaceDN w:val="0"/>
        <w:adjustRightInd w:val="0"/>
        <w:snapToGrid w:val="0"/>
        <w:ind w:firstLine="422" w:firstLineChars="200"/>
        <w:rPr>
          <w:rFonts w:hint="eastAsia" w:ascii="宋体" w:hAnsi="宋体" w:eastAsia="宋体" w:cs="宋体"/>
          <w:color w:val="000000" w:themeColor="text1"/>
        </w:rPr>
      </w:pPr>
      <w:r>
        <w:rPr>
          <w:rFonts w:hint="eastAsia" w:ascii="宋体" w:hAnsi="宋体" w:eastAsia="宋体" w:cs="宋体"/>
          <w:b/>
          <w:color w:val="000000" w:themeColor="text1"/>
          <w:u w:val="single"/>
        </w:rPr>
        <w:t>深圳市设计之都运营发展有限公司</w:t>
      </w:r>
      <w:r>
        <w:rPr>
          <w:rFonts w:hint="eastAsia" w:ascii="宋体" w:hAnsi="宋体" w:eastAsia="宋体" w:cs="宋体"/>
          <w:color w:val="000000" w:themeColor="text1"/>
        </w:rPr>
        <w:t>对</w:t>
      </w:r>
      <w:r>
        <w:rPr>
          <w:rFonts w:hint="eastAsia" w:ascii="宋体" w:hAnsi="宋体" w:eastAsia="宋体" w:cs="宋体"/>
          <w:b/>
          <w:color w:val="000000" w:themeColor="text1"/>
          <w:u w:val="single"/>
        </w:rPr>
        <w:t>第十三届深圳动漫节世纪汇购物中心动漫联名活动美陈搭建及物料制作项目</w:t>
      </w:r>
      <w:r>
        <w:rPr>
          <w:rFonts w:hint="eastAsia" w:ascii="宋体" w:hAnsi="宋体" w:eastAsia="宋体" w:cs="宋体"/>
          <w:color w:val="000000" w:themeColor="text1"/>
        </w:rPr>
        <w:t>采用竞争性谈判方式。现邀请收到要约邀请书的合格的供应商参加报价和谈判。 </w:t>
      </w:r>
    </w:p>
    <w:p>
      <w:pPr>
        <w:numPr>
          <w:ilvl w:val="0"/>
          <w:numId w:val="2"/>
        </w:numPr>
        <w:autoSpaceDE w:val="0"/>
        <w:autoSpaceDN w:val="0"/>
        <w:adjustRightInd w:val="0"/>
        <w:snapToGrid w:val="0"/>
        <w:rPr>
          <w:rFonts w:hint="eastAsia" w:ascii="宋体" w:hAnsi="宋体" w:eastAsia="宋体" w:cs="宋体"/>
          <w:color w:val="000000" w:themeColor="text1"/>
        </w:rPr>
      </w:pPr>
      <w:r>
        <w:rPr>
          <w:rFonts w:hint="eastAsia" w:ascii="宋体" w:hAnsi="宋体" w:eastAsia="宋体" w:cs="宋体"/>
          <w:color w:val="000000" w:themeColor="text1"/>
        </w:rPr>
        <w:t>项目编号：SJZD-2024016</w:t>
      </w:r>
    </w:p>
    <w:p>
      <w:pPr>
        <w:numPr>
          <w:ilvl w:val="255"/>
          <w:numId w:val="0"/>
        </w:numPr>
        <w:autoSpaceDE w:val="0"/>
        <w:autoSpaceDN w:val="0"/>
        <w:adjustRightInd w:val="0"/>
        <w:snapToGrid w:val="0"/>
        <w:ind w:left="420"/>
        <w:rPr>
          <w:rFonts w:hint="eastAsia" w:ascii="宋体" w:hAnsi="宋体" w:eastAsia="宋体" w:cs="宋体"/>
          <w:color w:val="000000" w:themeColor="text1"/>
        </w:rPr>
      </w:pPr>
    </w:p>
    <w:p>
      <w:pPr>
        <w:numPr>
          <w:ilvl w:val="0"/>
          <w:numId w:val="2"/>
        </w:numPr>
        <w:autoSpaceDE w:val="0"/>
        <w:autoSpaceDN w:val="0"/>
        <w:adjustRightInd w:val="0"/>
        <w:snapToGrid w:val="0"/>
        <w:rPr>
          <w:rFonts w:hint="eastAsia" w:ascii="宋体" w:hAnsi="宋体" w:eastAsia="宋体" w:cs="宋体"/>
          <w:b/>
          <w:color w:val="000000" w:themeColor="text1"/>
          <w:u w:val="single"/>
        </w:rPr>
      </w:pPr>
      <w:r>
        <w:rPr>
          <w:rFonts w:hint="eastAsia" w:ascii="宋体" w:hAnsi="宋体" w:eastAsia="宋体" w:cs="宋体"/>
          <w:color w:val="000000" w:themeColor="text1"/>
        </w:rPr>
        <w:t>项目名称：</w:t>
      </w:r>
      <w:r>
        <w:rPr>
          <w:rFonts w:hint="eastAsia" w:ascii="宋体" w:hAnsi="宋体" w:eastAsia="宋体" w:cs="宋体"/>
          <w:b/>
          <w:color w:val="000000" w:themeColor="text1"/>
          <w:u w:val="single"/>
        </w:rPr>
        <w:t>第十三届深圳动漫节世纪汇购物中心动漫联名活动美陈搭建及物料制作项目</w:t>
      </w:r>
    </w:p>
    <w:p>
      <w:pPr>
        <w:autoSpaceDE w:val="0"/>
        <w:autoSpaceDN w:val="0"/>
        <w:adjustRightInd w:val="0"/>
        <w:snapToGrid w:val="0"/>
        <w:ind w:firstLine="482"/>
        <w:rPr>
          <w:rFonts w:hint="eastAsia" w:ascii="宋体" w:hAnsi="宋体" w:eastAsia="宋体" w:cs="宋体"/>
          <w:b/>
          <w:color w:val="000000" w:themeColor="text1"/>
          <w:u w:val="single"/>
        </w:rPr>
      </w:pPr>
      <w:r>
        <w:rPr>
          <w:rFonts w:hint="eastAsia" w:ascii="宋体" w:hAnsi="宋体" w:eastAsia="宋体" w:cs="宋体"/>
          <w:b/>
          <w:bCs/>
          <w:color w:val="000000"/>
        </w:rPr>
        <w:t>★</w:t>
      </w:r>
      <w:r>
        <w:rPr>
          <w:rFonts w:hint="eastAsia" w:ascii="宋体" w:hAnsi="宋体" w:eastAsia="宋体" w:cs="宋体"/>
          <w:b/>
          <w:color w:val="000000" w:themeColor="text1"/>
          <w:u w:val="single"/>
        </w:rPr>
        <w:t>本项目最高限价：人民币壹拾万元整（</w:t>
      </w:r>
      <w:r>
        <w:rPr>
          <w:rFonts w:hint="eastAsia" w:ascii="宋体" w:hAnsi="宋体" w:eastAsia="宋体" w:cs="宋体"/>
          <w:b/>
          <w:color w:val="000000" w:themeColor="text1"/>
          <w:highlight w:val="none"/>
          <w:u w:val="single"/>
        </w:rPr>
        <w:t>¥100000元）</w:t>
      </w:r>
      <w:r>
        <w:rPr>
          <w:rFonts w:hint="eastAsia" w:ascii="宋体" w:hAnsi="宋体" w:eastAsia="宋体" w:cs="宋体"/>
          <w:b/>
          <w:color w:val="000000" w:themeColor="text1"/>
          <w:u w:val="single"/>
        </w:rPr>
        <w:t>，任何超过此限价的竞标报价，采购人不予接受。（最高限价为控制价）</w:t>
      </w:r>
    </w:p>
    <w:p>
      <w:pPr>
        <w:autoSpaceDE w:val="0"/>
        <w:autoSpaceDN w:val="0"/>
        <w:adjustRightInd w:val="0"/>
        <w:snapToGrid w:val="0"/>
        <w:ind w:firstLine="482"/>
        <w:rPr>
          <w:rFonts w:hint="eastAsia" w:ascii="宋体" w:hAnsi="宋体" w:eastAsia="宋体" w:cs="宋体"/>
          <w:b/>
          <w:color w:val="000000" w:themeColor="text1"/>
          <w:u w:val="single"/>
        </w:rPr>
      </w:pPr>
    </w:p>
    <w:p>
      <w:pPr>
        <w:numPr>
          <w:ilvl w:val="0"/>
          <w:numId w:val="2"/>
        </w:numPr>
        <w:autoSpaceDE w:val="0"/>
        <w:autoSpaceDN w:val="0"/>
        <w:adjustRightInd w:val="0"/>
        <w:snapToGrid w:val="0"/>
        <w:outlineLvl w:val="1"/>
        <w:rPr>
          <w:rFonts w:hint="eastAsia" w:ascii="宋体" w:hAnsi="宋体" w:eastAsia="宋体" w:cs="宋体"/>
          <w:color w:val="000000" w:themeColor="text1"/>
        </w:rPr>
      </w:pPr>
      <w:bookmarkStart w:id="7" w:name="_Toc15227"/>
      <w:bookmarkStart w:id="8" w:name="_Toc18280"/>
      <w:r>
        <w:rPr>
          <w:rFonts w:hint="eastAsia" w:ascii="宋体" w:hAnsi="宋体" w:eastAsia="宋体" w:cs="宋体"/>
          <w:color w:val="000000" w:themeColor="text1"/>
        </w:rPr>
        <w:t>资格要求</w:t>
      </w:r>
      <w:bookmarkEnd w:id="7"/>
      <w:bookmarkEnd w:id="8"/>
    </w:p>
    <w:p>
      <w:pPr>
        <w:autoSpaceDE w:val="0"/>
        <w:autoSpaceDN w:val="0"/>
        <w:adjustRightInd w:val="0"/>
        <w:snapToGrid w:val="0"/>
        <w:rPr>
          <w:rFonts w:hint="eastAsia" w:ascii="宋体" w:hAnsi="宋体" w:eastAsia="宋体" w:cs="宋体"/>
          <w:color w:val="000000" w:themeColor="text1"/>
        </w:rPr>
      </w:pPr>
      <w:r>
        <w:rPr>
          <w:rFonts w:hint="eastAsia" w:ascii="宋体" w:hAnsi="宋体" w:eastAsia="宋体" w:cs="宋体"/>
          <w:color w:val="000000" w:themeColor="text1"/>
        </w:rPr>
        <w:t xml:space="preserve">    （一）行业资质要求：竞争性谈判人必须是在中国境内注册的独立法人企业，具有履行合同的服务能力、专业技术能力、供应保障能力及风险控制能力；</w:t>
      </w:r>
    </w:p>
    <w:p>
      <w:pPr>
        <w:autoSpaceDE w:val="0"/>
        <w:autoSpaceDN w:val="0"/>
        <w:adjustRightInd w:val="0"/>
        <w:snapToGrid w:val="0"/>
        <w:rPr>
          <w:rFonts w:hint="eastAsia" w:ascii="宋体" w:hAnsi="宋体" w:eastAsia="宋体" w:cs="宋体"/>
          <w:color w:val="000000" w:themeColor="text1"/>
        </w:rPr>
      </w:pPr>
      <w:r>
        <w:rPr>
          <w:rFonts w:hint="eastAsia" w:ascii="宋体" w:hAnsi="宋体" w:eastAsia="宋体" w:cs="宋体"/>
          <w:color w:val="000000" w:themeColor="text1"/>
        </w:rPr>
        <w:t xml:space="preserve">    （二）供应商必须具备大型展会展区展览设计与搭建等经营范围，并且是本领域的专业公司；</w:t>
      </w:r>
    </w:p>
    <w:p>
      <w:pPr>
        <w:autoSpaceDE w:val="0"/>
        <w:autoSpaceDN w:val="0"/>
        <w:adjustRightInd w:val="0"/>
        <w:snapToGrid w:val="0"/>
        <w:ind w:firstLine="420"/>
        <w:rPr>
          <w:rFonts w:hint="eastAsia" w:ascii="宋体" w:hAnsi="宋体" w:eastAsia="宋体" w:cs="宋体"/>
          <w:color w:val="000000" w:themeColor="text1"/>
        </w:rPr>
      </w:pPr>
      <w:r>
        <w:rPr>
          <w:rFonts w:hint="eastAsia" w:ascii="宋体" w:hAnsi="宋体" w:eastAsia="宋体" w:cs="宋体"/>
          <w:color w:val="000000" w:themeColor="text1"/>
        </w:rPr>
        <w:t>（三）不接受联合体竞争性谈判，不得分包、转包。</w:t>
      </w:r>
    </w:p>
    <w:p>
      <w:pPr>
        <w:autoSpaceDE w:val="0"/>
        <w:autoSpaceDN w:val="0"/>
        <w:adjustRightInd w:val="0"/>
        <w:snapToGrid w:val="0"/>
        <w:ind w:firstLine="420"/>
        <w:rPr>
          <w:rFonts w:hint="eastAsia" w:ascii="宋体" w:hAnsi="宋体" w:eastAsia="宋体" w:cs="宋体"/>
          <w:color w:val="000000" w:themeColor="text1"/>
        </w:rPr>
      </w:pPr>
    </w:p>
    <w:p>
      <w:pPr>
        <w:numPr>
          <w:ilvl w:val="0"/>
          <w:numId w:val="2"/>
        </w:numPr>
        <w:autoSpaceDE w:val="0"/>
        <w:autoSpaceDN w:val="0"/>
        <w:adjustRightInd w:val="0"/>
        <w:snapToGrid w:val="0"/>
        <w:rPr>
          <w:rFonts w:hint="eastAsia" w:ascii="宋体" w:hAnsi="宋体" w:eastAsia="宋体" w:cs="宋体"/>
          <w:color w:val="000000" w:themeColor="text1"/>
        </w:rPr>
      </w:pPr>
      <w:r>
        <w:rPr>
          <w:rFonts w:hint="eastAsia" w:ascii="宋体" w:hAnsi="宋体" w:eastAsia="宋体" w:cs="宋体"/>
          <w:color w:val="000000" w:themeColor="text1"/>
        </w:rPr>
        <w:t>响应性文件份数：正本壹份、副本伍份。 </w:t>
      </w:r>
    </w:p>
    <w:p>
      <w:pPr>
        <w:numPr>
          <w:ilvl w:val="255"/>
          <w:numId w:val="0"/>
        </w:numPr>
        <w:autoSpaceDE w:val="0"/>
        <w:autoSpaceDN w:val="0"/>
        <w:adjustRightInd w:val="0"/>
        <w:snapToGrid w:val="0"/>
        <w:rPr>
          <w:rFonts w:hint="eastAsia" w:ascii="宋体" w:hAnsi="宋体" w:eastAsia="宋体" w:cs="宋体"/>
          <w:color w:val="000000" w:themeColor="text1"/>
        </w:rPr>
      </w:pPr>
    </w:p>
    <w:p>
      <w:pPr>
        <w:numPr>
          <w:ilvl w:val="0"/>
          <w:numId w:val="2"/>
        </w:numPr>
        <w:autoSpaceDE w:val="0"/>
        <w:autoSpaceDN w:val="0"/>
        <w:adjustRightInd w:val="0"/>
        <w:snapToGrid w:val="0"/>
        <w:spacing w:line="240" w:lineRule="auto"/>
        <w:ind w:firstLine="420"/>
        <w:rPr>
          <w:rFonts w:hint="eastAsia" w:ascii="宋体" w:hAnsi="宋体" w:eastAsia="宋体" w:cs="宋体"/>
          <w:b/>
          <w:bCs/>
          <w:color w:val="FF0000"/>
        </w:rPr>
      </w:pPr>
      <w:r>
        <w:rPr>
          <w:rFonts w:hint="eastAsia" w:ascii="宋体" w:hAnsi="宋体" w:eastAsia="宋体" w:cs="宋体"/>
          <w:b/>
          <w:bCs/>
          <w:color w:val="FF0000"/>
        </w:rPr>
        <w:t>递交响应性文件截止时间：</w:t>
      </w:r>
      <w:r>
        <w:rPr>
          <w:rFonts w:hint="eastAsia" w:ascii="宋体" w:hAnsi="宋体" w:eastAsia="宋体" w:cs="宋体"/>
          <w:b/>
          <w:bCs/>
          <w:color w:val="FF0000"/>
          <w:u w:val="none"/>
          <w:lang w:val="en-US" w:eastAsia="zh-CN"/>
        </w:rPr>
        <w:t>2024</w:t>
      </w:r>
      <w:r>
        <w:rPr>
          <w:rFonts w:hint="eastAsia" w:ascii="宋体" w:hAnsi="宋体" w:eastAsia="宋体" w:cs="宋体"/>
          <w:b/>
          <w:bCs/>
          <w:color w:val="FF0000"/>
          <w:u w:val="none"/>
        </w:rPr>
        <w:t>年</w:t>
      </w:r>
      <w:r>
        <w:rPr>
          <w:rFonts w:hint="eastAsia" w:ascii="宋体" w:hAnsi="宋体" w:eastAsia="宋体" w:cs="宋体"/>
          <w:b/>
          <w:bCs/>
          <w:color w:val="FF0000"/>
          <w:u w:val="none"/>
          <w:lang w:val="en-US" w:eastAsia="zh-CN"/>
        </w:rPr>
        <w:t>6</w:t>
      </w:r>
      <w:r>
        <w:rPr>
          <w:rFonts w:hint="eastAsia" w:ascii="宋体" w:hAnsi="宋体" w:eastAsia="宋体" w:cs="宋体"/>
          <w:b/>
          <w:bCs/>
          <w:color w:val="FF0000"/>
          <w:u w:val="none"/>
        </w:rPr>
        <w:t>月</w:t>
      </w:r>
      <w:r>
        <w:rPr>
          <w:rFonts w:hint="eastAsia" w:ascii="宋体" w:hAnsi="宋体" w:eastAsia="宋体" w:cs="宋体"/>
          <w:b/>
          <w:bCs/>
          <w:color w:val="FF0000"/>
          <w:u w:val="none"/>
          <w:lang w:val="en-US" w:eastAsia="zh-CN"/>
        </w:rPr>
        <w:t>28</w:t>
      </w:r>
      <w:r>
        <w:rPr>
          <w:rFonts w:hint="eastAsia" w:ascii="宋体" w:hAnsi="宋体" w:eastAsia="宋体" w:cs="宋体"/>
          <w:b/>
          <w:bCs/>
          <w:color w:val="FF0000"/>
          <w:u w:val="none"/>
        </w:rPr>
        <w:t>日</w:t>
      </w:r>
      <w:r>
        <w:rPr>
          <w:rFonts w:hint="eastAsia" w:ascii="宋体" w:hAnsi="宋体" w:eastAsia="宋体" w:cs="宋体"/>
          <w:b/>
          <w:bCs/>
          <w:color w:val="FF0000"/>
          <w:u w:val="none"/>
          <w:lang w:val="en-US" w:eastAsia="zh-CN"/>
        </w:rPr>
        <w:t>周五10:00</w:t>
      </w:r>
      <w:r>
        <w:rPr>
          <w:rFonts w:hint="eastAsia" w:ascii="宋体" w:hAnsi="宋体" w:eastAsia="宋体" w:cs="宋体"/>
          <w:b/>
          <w:bCs/>
          <w:color w:val="FF0000"/>
          <w:u w:val="none"/>
        </w:rPr>
        <w:t>。</w:t>
      </w:r>
    </w:p>
    <w:p>
      <w:pPr>
        <w:autoSpaceDE w:val="0"/>
        <w:autoSpaceDN w:val="0"/>
        <w:adjustRightInd w:val="0"/>
        <w:snapToGrid w:val="0"/>
        <w:spacing w:line="240" w:lineRule="auto"/>
        <w:ind w:firstLine="482"/>
        <w:rPr>
          <w:rFonts w:hint="eastAsia" w:ascii="宋体" w:hAnsi="宋体" w:eastAsia="宋体" w:cs="宋体"/>
          <w:b/>
          <w:color w:val="FF0000"/>
          <w:u w:val="single"/>
        </w:rPr>
      </w:pPr>
      <w:r>
        <w:rPr>
          <w:rFonts w:hint="eastAsia" w:ascii="宋体" w:hAnsi="宋体" w:eastAsia="宋体" w:cs="宋体"/>
          <w:b/>
          <w:color w:val="FF0000"/>
          <w:u w:val="single"/>
        </w:rPr>
        <w:t>递交地点：</w:t>
      </w:r>
      <w:r>
        <w:rPr>
          <w:rFonts w:hint="eastAsia" w:ascii="宋体" w:hAnsi="宋体" w:eastAsia="宋体" w:cs="宋体"/>
          <w:b w:val="0"/>
          <w:bCs/>
          <w:color w:val="FF0000"/>
          <w:szCs w:val="21"/>
          <w:highlight w:val="none"/>
          <w:u w:val="single"/>
        </w:rPr>
        <w:t>深圳市福田区鹏程一路广电金融中心48楼</w:t>
      </w:r>
      <w:r>
        <w:rPr>
          <w:rFonts w:hint="eastAsia" w:ascii="宋体" w:hAnsi="宋体" w:eastAsia="宋体" w:cs="宋体"/>
          <w:b/>
          <w:color w:val="FF0000"/>
          <w:u w:val="single"/>
        </w:rPr>
        <w:t>。</w:t>
      </w:r>
    </w:p>
    <w:p>
      <w:pPr>
        <w:autoSpaceDE w:val="0"/>
        <w:autoSpaceDN w:val="0"/>
        <w:adjustRightInd w:val="0"/>
        <w:snapToGrid w:val="0"/>
        <w:spacing w:line="240" w:lineRule="auto"/>
        <w:ind w:firstLine="482"/>
        <w:rPr>
          <w:rFonts w:hint="eastAsia" w:ascii="宋体" w:hAnsi="宋体" w:eastAsia="宋体" w:cs="宋体"/>
          <w:b/>
          <w:color w:val="FF0000"/>
          <w:highlight w:val="none"/>
          <w:u w:val="single"/>
          <w:lang w:eastAsia="zh-CN"/>
        </w:rPr>
      </w:pPr>
      <w:r>
        <w:rPr>
          <w:rFonts w:hint="eastAsia" w:ascii="宋体" w:hAnsi="宋体" w:eastAsia="宋体" w:cs="宋体"/>
          <w:b/>
          <w:color w:val="FF0000"/>
          <w:u w:val="single"/>
        </w:rPr>
        <w:t>响应性文件接收人：</w:t>
      </w:r>
      <w:r>
        <w:rPr>
          <w:rFonts w:hint="eastAsia" w:ascii="宋体" w:hAnsi="宋体" w:eastAsia="宋体" w:cs="宋体"/>
          <w:b w:val="0"/>
          <w:bCs/>
          <w:color w:val="FF0000"/>
          <w:highlight w:val="none"/>
          <w:u w:val="single"/>
          <w:lang w:eastAsia="zh-CN"/>
        </w:rPr>
        <w:t>深圳市设计之都运营发展有限公司</w:t>
      </w:r>
    </w:p>
    <w:p>
      <w:pPr>
        <w:autoSpaceDE w:val="0"/>
        <w:autoSpaceDN w:val="0"/>
        <w:adjustRightInd w:val="0"/>
        <w:snapToGrid w:val="0"/>
        <w:ind w:firstLine="482"/>
        <w:rPr>
          <w:rFonts w:hint="eastAsia" w:ascii="宋体" w:hAnsi="宋体" w:eastAsia="宋体" w:cs="宋体"/>
          <w:b/>
          <w:color w:val="FF0000"/>
          <w:highlight w:val="yellow"/>
          <w:u w:val="single"/>
        </w:rPr>
      </w:pPr>
    </w:p>
    <w:p>
      <w:pPr>
        <w:numPr>
          <w:ilvl w:val="0"/>
          <w:numId w:val="2"/>
        </w:numPr>
        <w:autoSpaceDE w:val="0"/>
        <w:autoSpaceDN w:val="0"/>
        <w:adjustRightInd w:val="0"/>
        <w:snapToGrid w:val="0"/>
        <w:outlineLvl w:val="1"/>
        <w:rPr>
          <w:rFonts w:hint="eastAsia" w:ascii="宋体" w:hAnsi="宋体" w:eastAsia="宋体" w:cs="宋体"/>
          <w:color w:val="000000" w:themeColor="text1"/>
        </w:rPr>
      </w:pPr>
      <w:bookmarkStart w:id="9" w:name="_Toc18735"/>
      <w:bookmarkStart w:id="10" w:name="_Toc25284"/>
      <w:r>
        <w:rPr>
          <w:rFonts w:hint="eastAsia" w:ascii="宋体" w:hAnsi="宋体" w:eastAsia="宋体" w:cs="宋体"/>
          <w:color w:val="000000" w:themeColor="text1"/>
        </w:rPr>
        <w:t>竞争性谈判方式：</w:t>
      </w:r>
      <w:bookmarkEnd w:id="9"/>
      <w:bookmarkEnd w:id="10"/>
    </w:p>
    <w:p>
      <w:pPr>
        <w:numPr>
          <w:ilvl w:val="255"/>
          <w:numId w:val="0"/>
        </w:numPr>
        <w:autoSpaceDE w:val="0"/>
        <w:autoSpaceDN w:val="0"/>
        <w:adjustRightInd w:val="0"/>
        <w:snapToGrid w:val="0"/>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谈判小组所有成员集中，与供应商就技术参数、售后服务等分别进行谈判，谈判小组要求符合条件所有供应商在规定的时间内提出最终的报价。本次谈判将进行两轮三次报价。</w:t>
      </w:r>
    </w:p>
    <w:p>
      <w:pPr>
        <w:autoSpaceDE w:val="0"/>
        <w:autoSpaceDN w:val="0"/>
        <w:adjustRightInd w:val="0"/>
        <w:snapToGrid w:val="0"/>
        <w:ind w:firstLine="482"/>
        <w:rPr>
          <w:rFonts w:hint="eastAsia" w:ascii="宋体" w:hAnsi="宋体" w:eastAsia="宋体" w:cs="宋体"/>
          <w:color w:val="000000" w:themeColor="text1"/>
        </w:rPr>
      </w:pPr>
      <w:r>
        <w:rPr>
          <w:rFonts w:hint="eastAsia" w:ascii="宋体" w:hAnsi="宋体" w:eastAsia="宋体" w:cs="宋体"/>
          <w:color w:val="000000" w:themeColor="text1"/>
        </w:rPr>
        <w:t>谈判小组及有关当事人严格遵循保密原则，任何人不得透露除报价排名外的一切与谈判有关的供应商的技术、价格等影响公平竞争的信息。</w:t>
      </w:r>
    </w:p>
    <w:p>
      <w:pPr>
        <w:pStyle w:val="2"/>
        <w:spacing w:line="240" w:lineRule="auto"/>
        <w:rPr>
          <w:rFonts w:hint="eastAsia" w:ascii="宋体" w:hAnsi="宋体" w:eastAsia="宋体" w:cs="宋体"/>
          <w:color w:val="000000" w:themeColor="text1"/>
        </w:rPr>
      </w:pPr>
      <w:r>
        <w:rPr>
          <w:rFonts w:hint="eastAsia" w:ascii="宋体" w:hAnsi="宋体" w:eastAsia="宋体" w:cs="宋体"/>
        </w:rPr>
        <w:t xml:space="preserve">    </w:t>
      </w:r>
      <w:r>
        <w:rPr>
          <w:rFonts w:hint="eastAsia" w:ascii="宋体" w:hAnsi="宋体" w:eastAsia="宋体" w:cs="宋体"/>
          <w:color w:val="000000" w:themeColor="text1"/>
          <w:kern w:val="2"/>
          <w:sz w:val="21"/>
        </w:rPr>
        <w:t>采购项目特别紧急，只够一次公开采购时间的，根据需求部门申请的紧急预案：经第一次公开招标或公开竞争性谈判，因合格投标人不足法定要求而采购失败的，若合格投标人只有两家，现场可转用竞争性谈判；若合格投标人仅一家，现场可转用单一来源谈判。本项目按照最后有效投标单位家数，</w:t>
      </w:r>
      <w:bookmarkStart w:id="181" w:name="_GoBack"/>
      <w:bookmarkEnd w:id="181"/>
      <w:r>
        <w:rPr>
          <w:rFonts w:hint="eastAsia" w:ascii="宋体" w:hAnsi="宋体" w:eastAsia="宋体" w:cs="宋体"/>
          <w:color w:val="000000" w:themeColor="text1"/>
          <w:kern w:val="2"/>
          <w:sz w:val="21"/>
        </w:rPr>
        <w:t>现场转为单一来源谈判。</w:t>
      </w:r>
    </w:p>
    <w:p>
      <w:pPr>
        <w:autoSpaceDE w:val="0"/>
        <w:autoSpaceDN w:val="0"/>
        <w:adjustRightInd w:val="0"/>
        <w:snapToGrid w:val="0"/>
        <w:spacing w:line="24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谈判时间：</w:t>
      </w:r>
      <w:r>
        <w:rPr>
          <w:rFonts w:hint="eastAsia" w:ascii="宋体" w:hAnsi="宋体" w:eastAsia="宋体" w:cs="宋体"/>
          <w:b/>
          <w:bCs/>
          <w:color w:val="FF0000"/>
          <w:u w:val="none"/>
          <w:lang w:val="en-US" w:eastAsia="zh-CN"/>
        </w:rPr>
        <w:t>2024</w:t>
      </w:r>
      <w:r>
        <w:rPr>
          <w:rFonts w:hint="eastAsia" w:ascii="宋体" w:hAnsi="宋体" w:eastAsia="宋体" w:cs="宋体"/>
          <w:b/>
          <w:bCs/>
          <w:color w:val="FF0000"/>
          <w:u w:val="none"/>
        </w:rPr>
        <w:t>年</w:t>
      </w:r>
      <w:r>
        <w:rPr>
          <w:rFonts w:hint="eastAsia" w:ascii="宋体" w:hAnsi="宋体" w:eastAsia="宋体" w:cs="宋体"/>
          <w:b/>
          <w:bCs/>
          <w:color w:val="FF0000"/>
          <w:u w:val="none"/>
          <w:lang w:val="en-US" w:eastAsia="zh-CN"/>
        </w:rPr>
        <w:t>6</w:t>
      </w:r>
      <w:r>
        <w:rPr>
          <w:rFonts w:hint="eastAsia" w:ascii="宋体" w:hAnsi="宋体" w:eastAsia="宋体" w:cs="宋体"/>
          <w:b/>
          <w:bCs/>
          <w:color w:val="FF0000"/>
          <w:u w:val="none"/>
        </w:rPr>
        <w:t>月</w:t>
      </w:r>
      <w:r>
        <w:rPr>
          <w:rFonts w:hint="eastAsia" w:ascii="宋体" w:hAnsi="宋体" w:eastAsia="宋体" w:cs="宋体"/>
          <w:b/>
          <w:bCs/>
          <w:color w:val="FF0000"/>
          <w:u w:val="none"/>
          <w:lang w:val="en-US" w:eastAsia="zh-CN"/>
        </w:rPr>
        <w:t>28</w:t>
      </w:r>
      <w:r>
        <w:rPr>
          <w:rFonts w:hint="eastAsia" w:ascii="宋体" w:hAnsi="宋体" w:eastAsia="宋体" w:cs="宋体"/>
          <w:b/>
          <w:bCs/>
          <w:color w:val="FF0000"/>
          <w:u w:val="none"/>
        </w:rPr>
        <w:t>日</w:t>
      </w:r>
      <w:r>
        <w:rPr>
          <w:rFonts w:hint="eastAsia" w:ascii="宋体" w:hAnsi="宋体" w:eastAsia="宋体" w:cs="宋体"/>
          <w:b/>
          <w:bCs/>
          <w:color w:val="FF0000"/>
          <w:u w:val="none"/>
          <w:lang w:val="en-US" w:eastAsia="zh-CN"/>
        </w:rPr>
        <w:t>周五10:00</w:t>
      </w:r>
      <w:r>
        <w:rPr>
          <w:rFonts w:hint="eastAsia" w:ascii="宋体" w:hAnsi="宋体" w:eastAsia="宋体" w:cs="宋体"/>
          <w:b/>
          <w:color w:val="FF0000"/>
          <w:highlight w:val="none"/>
          <w:u w:val="none"/>
        </w:rPr>
        <w:t>。</w:t>
      </w:r>
    </w:p>
    <w:p>
      <w:pPr>
        <w:autoSpaceDE w:val="0"/>
        <w:autoSpaceDN w:val="0"/>
        <w:adjustRightInd w:val="0"/>
        <w:snapToGrid w:val="0"/>
        <w:spacing w:line="240" w:lineRule="auto"/>
        <w:ind w:firstLine="482"/>
        <w:rPr>
          <w:rFonts w:hint="eastAsia" w:ascii="宋体" w:hAnsi="宋体" w:eastAsia="宋体" w:cs="宋体"/>
          <w:b/>
          <w:color w:val="FF0000"/>
          <w:u w:val="single"/>
          <w:lang w:val="en-US" w:eastAsia="zh-CN"/>
        </w:rPr>
      </w:pPr>
      <w:r>
        <w:rPr>
          <w:rFonts w:hint="eastAsia" w:ascii="宋体" w:hAnsi="宋体" w:eastAsia="宋体" w:cs="宋体"/>
          <w:color w:val="000000" w:themeColor="text1"/>
          <w:highlight w:val="none"/>
          <w14:textFill>
            <w14:solidFill>
              <w14:schemeClr w14:val="tx1"/>
            </w14:solidFill>
          </w14:textFill>
        </w:rPr>
        <w:t>谈判地点：</w:t>
      </w:r>
      <w:r>
        <w:rPr>
          <w:rFonts w:hint="eastAsia" w:ascii="宋体" w:hAnsi="宋体" w:eastAsia="宋体" w:cs="宋体"/>
          <w:color w:val="000000" w:themeColor="text1"/>
          <w:highlight w:val="none"/>
          <w:lang w:eastAsia="zh-CN"/>
          <w14:textFill>
            <w14:solidFill>
              <w14:schemeClr w14:val="tx1"/>
            </w14:solidFill>
          </w14:textFill>
        </w:rPr>
        <w:t>深圳市福田区广电金融</w:t>
      </w:r>
      <w:r>
        <w:rPr>
          <w:rFonts w:hint="eastAsia" w:ascii="宋体" w:hAnsi="宋体" w:eastAsia="宋体" w:cs="宋体"/>
          <w:color w:val="000000" w:themeColor="text1"/>
          <w:highlight w:val="none"/>
          <w:lang w:val="en-US" w:eastAsia="zh-CN"/>
          <w14:textFill>
            <w14:solidFill>
              <w14:schemeClr w14:val="tx1"/>
            </w14:solidFill>
          </w14:textFill>
        </w:rPr>
        <w:t>48楼核心筒会议室。</w:t>
      </w:r>
    </w:p>
    <w:p>
      <w:pPr>
        <w:autoSpaceDE w:val="0"/>
        <w:autoSpaceDN w:val="0"/>
        <w:adjustRightInd w:val="0"/>
        <w:snapToGrid w:val="0"/>
        <w:spacing w:line="24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届时请参加谈判的单位法定代表人或法人委托人参与谈判。</w:t>
      </w:r>
    </w:p>
    <w:p>
      <w:pPr>
        <w:autoSpaceDE w:val="0"/>
        <w:autoSpaceDN w:val="0"/>
        <w:adjustRightInd w:val="0"/>
        <w:snapToGrid w:val="0"/>
        <w:spacing w:line="240" w:lineRule="auto"/>
        <w:ind w:firstLine="48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lang w:val="en-US" w:eastAsia="zh-CN"/>
          <w14:textFill>
            <w14:solidFill>
              <w14:schemeClr w14:val="tx1"/>
            </w14:solidFill>
          </w14:textFill>
        </w:rPr>
        <w:t>赖女士</w:t>
      </w:r>
    </w:p>
    <w:p>
      <w:pPr>
        <w:autoSpaceDE w:val="0"/>
        <w:autoSpaceDN w:val="0"/>
        <w:adjustRightInd w:val="0"/>
        <w:snapToGrid w:val="0"/>
        <w:spacing w:line="240" w:lineRule="auto"/>
        <w:ind w:firstLine="48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highlight w:val="none"/>
          <w:lang w:val="en-US" w:eastAsia="zh-CN"/>
          <w14:textFill>
            <w14:solidFill>
              <w14:schemeClr w14:val="tx1"/>
            </w14:solidFill>
          </w14:textFill>
        </w:rPr>
        <w:t>13924658185</w:t>
      </w:r>
    </w:p>
    <w:p>
      <w:pPr>
        <w:autoSpaceDE w:val="0"/>
        <w:autoSpaceDN w:val="0"/>
        <w:adjustRightInd w:val="0"/>
        <w:snapToGrid w:val="0"/>
        <w:spacing w:line="240" w:lineRule="auto"/>
        <w:ind w:firstLine="480"/>
        <w:rPr>
          <w:rFonts w:hint="eastAsia"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t>邮箱地址：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"mailto:service@designcities.cn" </w:instrText>
      </w:r>
      <w:r>
        <w:rPr>
          <w:rFonts w:hint="eastAsia" w:ascii="宋体" w:hAnsi="宋体" w:eastAsia="宋体" w:cs="宋体"/>
          <w:highlight w:val="none"/>
        </w:rPr>
        <w:fldChar w:fldCharType="separate"/>
      </w:r>
      <w:r>
        <w:rPr>
          <w:rStyle w:val="18"/>
          <w:rFonts w:hint="eastAsia" w:ascii="宋体" w:hAnsi="宋体" w:eastAsia="宋体" w:cs="宋体"/>
          <w:highlight w:val="none"/>
        </w:rPr>
        <w:t>service@designcities.cn</w:t>
      </w:r>
      <w:r>
        <w:rPr>
          <w:rFonts w:hint="eastAsia" w:ascii="宋体" w:hAnsi="宋体" w:eastAsia="宋体" w:cs="宋体"/>
          <w:highlight w:val="none"/>
        </w:rPr>
        <w:fldChar w:fldCharType="end"/>
      </w:r>
    </w:p>
    <w:p>
      <w:pPr>
        <w:autoSpaceDE w:val="0"/>
        <w:autoSpaceDN w:val="0"/>
        <w:adjustRightInd w:val="0"/>
        <w:snapToGrid w:val="0"/>
        <w:spacing w:line="240" w:lineRule="auto"/>
        <w:ind w:firstLine="480"/>
        <w:rPr>
          <w:rFonts w:hint="eastAsia"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t>公司地址：</w:t>
      </w:r>
      <w:r>
        <w:rPr>
          <w:rFonts w:hint="eastAsia" w:ascii="宋体" w:hAnsi="宋体" w:eastAsia="宋体" w:cs="宋体"/>
          <w:highlight w:val="none"/>
        </w:rPr>
        <w:t>深圳市福田区广电金融中心48楼</w:t>
      </w:r>
    </w:p>
    <w:p>
      <w:pPr>
        <w:pStyle w:val="7"/>
        <w:ind w:firstLine="420" w:firstLineChars="200"/>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本招标文件解释权归</w:t>
      </w:r>
      <w:r>
        <w:rPr>
          <w:rFonts w:hint="eastAsia" w:ascii="宋体" w:hAnsi="宋体" w:eastAsia="宋体" w:cs="宋体"/>
          <w:b/>
          <w:bCs/>
          <w:color w:val="000000" w:themeColor="text1"/>
          <w:sz w:val="21"/>
          <w:highlight w:val="none"/>
          <w:u w:val="single"/>
          <w:lang w:val="en-US" w:eastAsia="zh-CN"/>
          <w14:textFill>
            <w14:solidFill>
              <w14:schemeClr w14:val="tx1"/>
            </w14:solidFill>
          </w14:textFill>
        </w:rPr>
        <w:t>深圳市设计之都运营发展有限公司</w:t>
      </w:r>
      <w:r>
        <w:rPr>
          <w:rFonts w:hint="eastAsia" w:ascii="宋体" w:hAnsi="宋体" w:eastAsia="宋体" w:cs="宋体"/>
          <w:color w:val="000000" w:themeColor="text1"/>
          <w:sz w:val="21"/>
          <w:highlight w:val="none"/>
          <w:lang w:val="en-US" w:eastAsia="zh-CN"/>
          <w14:textFill>
            <w14:solidFill>
              <w14:schemeClr w14:val="tx1"/>
            </w14:solidFill>
          </w14:textFill>
        </w:rPr>
        <w:t>所有。</w:t>
      </w:r>
    </w:p>
    <w:p>
      <w:pPr>
        <w:rPr>
          <w:rFonts w:hint="eastAsia" w:ascii="宋体" w:hAnsi="宋体" w:eastAsia="宋体" w:cs="宋体"/>
          <w:b/>
          <w:sz w:val="44"/>
          <w:szCs w:val="44"/>
        </w:rPr>
      </w:pPr>
      <w:r>
        <w:rPr>
          <w:rFonts w:hint="eastAsia" w:ascii="宋体" w:hAnsi="宋体" w:eastAsia="宋体" w:cs="宋体"/>
          <w:b/>
          <w:sz w:val="44"/>
          <w:szCs w:val="44"/>
        </w:rPr>
        <w:br w:type="page"/>
      </w:r>
    </w:p>
    <w:p>
      <w:pPr>
        <w:pStyle w:val="3"/>
        <w:numPr>
          <w:ilvl w:val="0"/>
          <w:numId w:val="1"/>
        </w:numPr>
        <w:spacing w:line="240" w:lineRule="auto"/>
        <w:jc w:val="center"/>
        <w:rPr>
          <w:rFonts w:hint="eastAsia" w:ascii="宋体" w:hAnsi="宋体" w:eastAsia="宋体" w:cs="宋体"/>
        </w:rPr>
      </w:pPr>
      <w:bookmarkStart w:id="11" w:name="_Toc21224"/>
      <w:r>
        <w:rPr>
          <w:rFonts w:hint="eastAsia" w:ascii="宋体" w:hAnsi="宋体" w:eastAsia="宋体" w:cs="宋体"/>
        </w:rPr>
        <w:t>竞争性谈判须知</w:t>
      </w:r>
      <w:bookmarkEnd w:id="11"/>
    </w:p>
    <w:p>
      <w:pPr>
        <w:adjustRightInd w:val="0"/>
        <w:snapToGrid w:val="0"/>
        <w:ind w:firstLine="435"/>
        <w:rPr>
          <w:rFonts w:hint="eastAsia" w:ascii="宋体" w:hAnsi="宋体" w:eastAsia="宋体" w:cs="宋体"/>
          <w:color w:val="000000"/>
          <w:szCs w:val="21"/>
        </w:rPr>
      </w:pPr>
      <w:r>
        <w:rPr>
          <w:rFonts w:hint="eastAsia" w:ascii="宋体" w:hAnsi="宋体" w:eastAsia="宋体" w:cs="宋体"/>
          <w:color w:val="000000"/>
          <w:szCs w:val="21"/>
        </w:rPr>
        <w:t>供应商必须认真阅读以下内容，以免造成竞争性谈判失败。</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rPr>
      </w:pPr>
      <w:bookmarkStart w:id="12" w:name="_Toc27570"/>
      <w:bookmarkStart w:id="13" w:name="_Toc2437"/>
      <w:bookmarkStart w:id="14" w:name="_Toc142370531"/>
      <w:bookmarkStart w:id="15" w:name="_Toc271798792"/>
      <w:r>
        <w:rPr>
          <w:rFonts w:hint="eastAsia" w:ascii="宋体" w:hAnsi="宋体" w:eastAsia="宋体" w:cs="宋体"/>
          <w:color w:val="000000" w:themeColor="text1"/>
          <w:sz w:val="21"/>
          <w:szCs w:val="21"/>
        </w:rPr>
        <w:t>关于定标方式</w:t>
      </w:r>
      <w:bookmarkEnd w:id="12"/>
      <w:bookmarkEnd w:id="13"/>
      <w:bookmarkEnd w:id="14"/>
      <w:bookmarkEnd w:id="15"/>
      <w:bookmarkStart w:id="16" w:name="_Toc271798793"/>
      <w:bookmarkStart w:id="17" w:name="_Toc142370532"/>
    </w:p>
    <w:p>
      <w:pPr>
        <w:pStyle w:val="23"/>
        <w:snapToGrid w:val="0"/>
        <w:spacing w:beforeLines="0" w:afterLines="0" w:line="240" w:lineRule="auto"/>
        <w:rPr>
          <w:rFonts w:hint="eastAsia" w:ascii="宋体" w:hAnsi="宋体" w:eastAsia="宋体" w:cs="宋体"/>
          <w:color w:val="FF0000"/>
          <w:sz w:val="21"/>
          <w:szCs w:val="21"/>
        </w:rPr>
      </w:pPr>
      <w:r>
        <w:rPr>
          <w:rFonts w:hint="eastAsia" w:ascii="宋体" w:hAnsi="宋体" w:eastAsia="宋体" w:cs="宋体"/>
          <w:sz w:val="21"/>
          <w:szCs w:val="21"/>
        </w:rPr>
        <w:t>本项目的评标办法为综合评估法。</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rPr>
      </w:pPr>
      <w:bookmarkStart w:id="18" w:name="_Toc10114"/>
      <w:bookmarkStart w:id="19" w:name="_Toc12016"/>
      <w:r>
        <w:rPr>
          <w:rFonts w:hint="eastAsia" w:ascii="宋体" w:hAnsi="宋体" w:eastAsia="宋体" w:cs="宋体"/>
          <w:color w:val="000000" w:themeColor="text1"/>
          <w:sz w:val="21"/>
          <w:szCs w:val="21"/>
        </w:rPr>
        <w:t>关于谈判文件</w:t>
      </w:r>
      <w:bookmarkEnd w:id="16"/>
      <w:bookmarkEnd w:id="17"/>
      <w:bookmarkEnd w:id="18"/>
      <w:bookmarkEnd w:id="19"/>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2.1 本谈判文件仅适用于本次谈判公告中所叙述的项目。</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 xml:space="preserve">2.2 </w:t>
      </w:r>
      <w:r>
        <w:rPr>
          <w:rFonts w:hint="eastAsia" w:ascii="宋体" w:hAnsi="宋体" w:eastAsia="宋体" w:cs="宋体"/>
          <w:b/>
          <w:bCs/>
          <w:color w:val="000000"/>
          <w:szCs w:val="21"/>
        </w:rPr>
        <w:t>本谈判文件要求中，凡标有“★”的地方均被视为重要的技术指标要求或性能要求。谈判供应商要特别加以注意，必须对此回答并完全满足这些要求。否则若有一项“★”的指标未响应或不满足，将按投标无效处理，即废标。</w:t>
      </w:r>
    </w:p>
    <w:p>
      <w:pPr>
        <w:adjustRightInd w:val="0"/>
        <w:snapToGrid w:val="0"/>
        <w:rPr>
          <w:rFonts w:hint="eastAsia" w:ascii="宋体" w:hAnsi="宋体" w:eastAsia="宋体" w:cs="宋体"/>
          <w:b/>
          <w:color w:val="000000"/>
          <w:szCs w:val="21"/>
        </w:rPr>
      </w:pPr>
      <w:bookmarkStart w:id="20" w:name="_Toc142370533"/>
      <w:r>
        <w:rPr>
          <w:rFonts w:hint="eastAsia" w:ascii="宋体" w:hAnsi="宋体" w:eastAsia="宋体" w:cs="宋体"/>
          <w:b/>
          <w:color w:val="000000"/>
          <w:szCs w:val="21"/>
        </w:rPr>
        <w:t xml:space="preserve">2.3 </w:t>
      </w:r>
      <w:r>
        <w:rPr>
          <w:rFonts w:hint="eastAsia" w:ascii="宋体" w:hAnsi="宋体" w:eastAsia="宋体" w:cs="宋体"/>
          <w:b/>
          <w:bCs/>
          <w:color w:val="000000"/>
          <w:szCs w:val="21"/>
        </w:rPr>
        <w:t>谈判文件</w:t>
      </w:r>
      <w:r>
        <w:rPr>
          <w:rFonts w:hint="eastAsia" w:ascii="宋体" w:hAnsi="宋体" w:eastAsia="宋体" w:cs="宋体"/>
          <w:b/>
          <w:color w:val="000000"/>
          <w:szCs w:val="21"/>
        </w:rPr>
        <w:t>的修改</w:t>
      </w:r>
    </w:p>
    <w:p>
      <w:pPr>
        <w:adjustRightInd w:val="0"/>
        <w:snapToGrid w:val="0"/>
        <w:ind w:firstLine="412" w:firstLineChars="200"/>
        <w:rPr>
          <w:rFonts w:hint="eastAsia" w:ascii="宋体" w:hAnsi="宋体" w:eastAsia="宋体" w:cs="宋体"/>
          <w:color w:val="000000"/>
          <w:spacing w:val="-2"/>
          <w:szCs w:val="21"/>
        </w:rPr>
      </w:pPr>
      <w:r>
        <w:rPr>
          <w:rFonts w:hint="eastAsia" w:ascii="宋体" w:hAnsi="宋体" w:eastAsia="宋体" w:cs="宋体"/>
          <w:color w:val="000000"/>
          <w:spacing w:val="-2"/>
          <w:szCs w:val="21"/>
        </w:rPr>
        <w:t>2.3.1采购人对已发出的</w:t>
      </w:r>
      <w:r>
        <w:rPr>
          <w:rFonts w:hint="eastAsia" w:ascii="宋体" w:hAnsi="宋体" w:eastAsia="宋体" w:cs="宋体"/>
          <w:color w:val="000000"/>
          <w:szCs w:val="21"/>
        </w:rPr>
        <w:t>谈判文件</w:t>
      </w:r>
      <w:r>
        <w:rPr>
          <w:rFonts w:hint="eastAsia" w:ascii="宋体" w:hAnsi="宋体" w:eastAsia="宋体" w:cs="宋体"/>
          <w:color w:val="000000"/>
          <w:spacing w:val="-2"/>
          <w:szCs w:val="21"/>
        </w:rPr>
        <w:t>进行必要的澄清或者修改的，该澄清或者修改的内容为竞争性谈判文件的组成部分。</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2.3.2 谈判文件的修改将以电话或邮件（补充更正或重要通知）形式通知所有已得到谈判文件的谈判供应商，并对其具有约束力。谈判供应商在知悉更改内容后，应立即向采购人回函确认。</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2.3.3为使谈判供应商在准备谈判响应文件时有合理的时间考虑谈判文件的修改，采购人可酌情推迟投标截止日期的开标时间，并以电话或邮件的形式通知已得到谈判文件的每一谈判供应商。</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2.3.4 谈判文件的澄清（修改）将构成谈判文件的一部分，对谈判供应商有约束力。</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2.3.6 如谈判供应商认为本谈判文件中存在不合理的条件对谈判供应商构成差别待遇或者歧视待遇，或对其它条款有异议的，均请谈判公告规定的时间内采购人提出；逾期未提出的，视为无异议，对此后因谈判文件的异议提出的投诉亦不予受理。</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2.3.7谈判供应商</w:t>
      </w:r>
      <w:r>
        <w:rPr>
          <w:rFonts w:hint="eastAsia" w:ascii="宋体" w:hAnsi="宋体" w:eastAsia="宋体" w:cs="宋体"/>
          <w:color w:val="000000"/>
          <w:szCs w:val="21"/>
          <w:lang w:val="zh-CN"/>
        </w:rPr>
        <w:t>得到了谈判文件后不参加竞争性谈判的，</w:t>
      </w:r>
      <w:r>
        <w:rPr>
          <w:rFonts w:hint="eastAsia" w:ascii="宋体" w:hAnsi="宋体" w:eastAsia="宋体" w:cs="宋体"/>
          <w:b/>
          <w:color w:val="000000"/>
          <w:szCs w:val="21"/>
          <w:lang w:val="zh-CN"/>
        </w:rPr>
        <w:t>请在谈判前3日以书面形式通知采购人</w:t>
      </w:r>
      <w:r>
        <w:rPr>
          <w:rFonts w:hint="eastAsia" w:ascii="宋体" w:hAnsi="宋体" w:eastAsia="宋体" w:cs="宋体"/>
          <w:b/>
          <w:color w:val="000000"/>
          <w:spacing w:val="-2"/>
          <w:szCs w:val="21"/>
        </w:rPr>
        <w:t>（谈判当日不计算在内）</w:t>
      </w:r>
      <w:r>
        <w:rPr>
          <w:rFonts w:hint="eastAsia" w:ascii="宋体" w:hAnsi="宋体" w:eastAsia="宋体" w:cs="宋体"/>
          <w:color w:val="000000"/>
          <w:szCs w:val="21"/>
          <w:lang w:val="zh-CN"/>
        </w:rPr>
        <w:t>。</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rPr>
      </w:pPr>
      <w:bookmarkStart w:id="21" w:name="_Toc28134"/>
      <w:bookmarkStart w:id="22" w:name="_Toc17213"/>
      <w:bookmarkStart w:id="23" w:name="_Toc271798794"/>
      <w:r>
        <w:rPr>
          <w:rFonts w:hint="eastAsia" w:ascii="宋体" w:hAnsi="宋体" w:eastAsia="宋体" w:cs="宋体"/>
          <w:color w:val="000000" w:themeColor="text1"/>
          <w:sz w:val="21"/>
          <w:szCs w:val="21"/>
        </w:rPr>
        <w:t>关于谈判供应商</w:t>
      </w:r>
      <w:bookmarkEnd w:id="20"/>
      <w:bookmarkEnd w:id="21"/>
      <w:bookmarkEnd w:id="22"/>
      <w:bookmarkEnd w:id="23"/>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3.1谈判供应商须提供资质证明文件：</w:t>
      </w:r>
      <w:r>
        <w:rPr>
          <w:rFonts w:hint="eastAsia" w:ascii="宋体" w:hAnsi="宋体" w:eastAsia="宋体" w:cs="宋体"/>
          <w:color w:val="000000"/>
          <w:szCs w:val="21"/>
        </w:rPr>
        <w:t xml:space="preserve">见《竞争性谈判文件》附件。 </w:t>
      </w:r>
    </w:p>
    <w:p>
      <w:pPr>
        <w:adjustRightInd w:val="0"/>
        <w:snapToGrid w:val="0"/>
        <w:rPr>
          <w:rFonts w:hint="eastAsia" w:ascii="宋体" w:hAnsi="宋体" w:eastAsia="宋体" w:cs="宋体"/>
          <w:bCs/>
          <w:color w:val="000000"/>
          <w:szCs w:val="21"/>
        </w:rPr>
      </w:pPr>
      <w:bookmarkStart w:id="24" w:name="OLE_LINK1"/>
      <w:r>
        <w:rPr>
          <w:rFonts w:hint="eastAsia" w:ascii="宋体" w:hAnsi="宋体" w:eastAsia="宋体" w:cs="宋体"/>
          <w:b/>
          <w:color w:val="000000"/>
          <w:szCs w:val="21"/>
        </w:rPr>
        <w:t>3.2</w:t>
      </w:r>
      <w:r>
        <w:rPr>
          <w:rFonts w:hint="eastAsia" w:ascii="宋体" w:hAnsi="宋体" w:eastAsia="宋体" w:cs="宋体"/>
          <w:bCs/>
          <w:color w:val="000000"/>
          <w:szCs w:val="21"/>
        </w:rPr>
        <w:t>参加谈判会议的</w:t>
      </w:r>
      <w:r>
        <w:rPr>
          <w:rFonts w:hint="eastAsia" w:ascii="宋体" w:hAnsi="宋体" w:eastAsia="宋体" w:cs="宋体"/>
          <w:color w:val="000000"/>
          <w:szCs w:val="21"/>
        </w:rPr>
        <w:t>谈判供应商</w:t>
      </w:r>
      <w:r>
        <w:rPr>
          <w:rFonts w:hint="eastAsia" w:ascii="宋体" w:hAnsi="宋体" w:eastAsia="宋体" w:cs="宋体"/>
          <w:bCs/>
          <w:color w:val="000000"/>
          <w:szCs w:val="21"/>
        </w:rPr>
        <w:t>的法定代表人或其委托代理人应随身携带法人代表授权委托书及法定代表人证明书及有效身份证明，以证明其身份。</w:t>
      </w:r>
      <w:r>
        <w:rPr>
          <w:rFonts w:hint="eastAsia" w:ascii="宋体" w:hAnsi="宋体" w:eastAsia="宋体" w:cs="宋体"/>
          <w:color w:val="000000"/>
          <w:szCs w:val="21"/>
        </w:rPr>
        <w:t>在评标过程中随时接受评委就谈判响应文件内容提出的质询，并予以解答。</w:t>
      </w:r>
    </w:p>
    <w:bookmarkEnd w:id="24"/>
    <w:p>
      <w:pPr>
        <w:adjustRightInd w:val="0"/>
        <w:snapToGrid w:val="0"/>
        <w:rPr>
          <w:rFonts w:hint="eastAsia" w:ascii="宋体" w:hAnsi="宋体" w:eastAsia="宋体" w:cs="宋体"/>
          <w:color w:val="000000"/>
          <w:szCs w:val="21"/>
        </w:rPr>
      </w:pPr>
      <w:r>
        <w:rPr>
          <w:rFonts w:hint="eastAsia" w:ascii="宋体" w:hAnsi="宋体" w:eastAsia="宋体" w:cs="宋体"/>
          <w:b/>
          <w:color w:val="000000"/>
          <w:szCs w:val="21"/>
        </w:rPr>
        <w:t>3.3 关于联合体竞争性谈判（本项目不允许）</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rPr>
      </w:pPr>
      <w:bookmarkStart w:id="25" w:name="_Toc142370534"/>
      <w:bookmarkStart w:id="26" w:name="_Toc7529"/>
      <w:bookmarkStart w:id="27" w:name="_Toc271798795"/>
      <w:bookmarkStart w:id="28" w:name="_Toc14885"/>
      <w:bookmarkStart w:id="29" w:name="OLE_LINK2"/>
      <w:r>
        <w:rPr>
          <w:rFonts w:hint="eastAsia" w:ascii="宋体" w:hAnsi="宋体" w:eastAsia="宋体" w:cs="宋体"/>
          <w:color w:val="000000" w:themeColor="text1"/>
          <w:sz w:val="21"/>
          <w:szCs w:val="21"/>
        </w:rPr>
        <w:t>关于谈判响应文件</w:t>
      </w:r>
      <w:bookmarkEnd w:id="25"/>
      <w:bookmarkEnd w:id="26"/>
      <w:bookmarkEnd w:id="27"/>
      <w:bookmarkEnd w:id="28"/>
    </w:p>
    <w:bookmarkEnd w:id="29"/>
    <w:p>
      <w:pPr>
        <w:adjustRightInd w:val="0"/>
        <w:snapToGrid w:val="0"/>
        <w:rPr>
          <w:rFonts w:hint="eastAsia" w:ascii="宋体" w:hAnsi="宋体" w:eastAsia="宋体" w:cs="宋体"/>
          <w:b/>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4.1谈判响应文件的组成和格式</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4.1.1谈判响应文件应包括下列部分：</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投标书（格式见附件）；</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开标一览表（格式见附件）；</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谈判供应商基本情况表（格式见附件）；</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经年审合格的有效营业执照副本复印件（加盖公章）；</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法定代表人证明书原件（加盖公章的复印件）；</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法定代表人委托授权书原件（加盖公章）；</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公司社保参保证明；</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近三年财务报表/审计报告/所得税汇算清缴报表（纳税申报表），投标人成立不足三年的可从成立之日起，加盖公章的复印件；</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近三年经营业绩简介（投标人成立不足三年的可从成立之日起）；</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提供技术文响应/偏离表、提供商务响应/偏离表；</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项目服务方案；</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异常事件的应急保障方案；</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项目质量的保证措施；</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项目培训方案；</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详细服务报价清单（格式见附件）；</w:t>
      </w:r>
    </w:p>
    <w:p>
      <w:pPr>
        <w:numPr>
          <w:ilvl w:val="0"/>
          <w:numId w:val="4"/>
        </w:numPr>
        <w:tabs>
          <w:tab w:val="left" w:pos="1260"/>
          <w:tab w:val="left" w:pos="1498"/>
        </w:tabs>
        <w:adjustRightInd w:val="0"/>
        <w:snapToGrid w:val="0"/>
        <w:ind w:firstLine="240"/>
        <w:rPr>
          <w:rFonts w:hint="eastAsia" w:ascii="宋体" w:hAnsi="宋体" w:eastAsia="宋体" w:cs="宋体"/>
          <w:b/>
          <w:szCs w:val="21"/>
        </w:rPr>
      </w:pPr>
      <w:r>
        <w:rPr>
          <w:rFonts w:hint="eastAsia" w:ascii="宋体" w:hAnsi="宋体" w:eastAsia="宋体" w:cs="宋体"/>
          <w:b/>
          <w:szCs w:val="21"/>
        </w:rPr>
        <w:t>本谈判文件要求提供的或谈判供应商认为必要的其他材料（如宣传彩页等）。</w:t>
      </w:r>
    </w:p>
    <w:p>
      <w:pPr>
        <w:adjustRightInd w:val="0"/>
        <w:snapToGrid w:val="0"/>
        <w:rPr>
          <w:rFonts w:hint="eastAsia" w:ascii="宋体" w:hAnsi="宋体" w:eastAsia="宋体" w:cs="宋体"/>
          <w:color w:val="000000"/>
          <w:szCs w:val="21"/>
        </w:rPr>
      </w:pPr>
      <w:bookmarkStart w:id="30" w:name="OLE_LINK3"/>
      <w:r>
        <w:rPr>
          <w:rFonts w:hint="eastAsia" w:ascii="宋体" w:hAnsi="宋体" w:eastAsia="宋体" w:cs="宋体"/>
          <w:color w:val="000000"/>
          <w:szCs w:val="21"/>
        </w:rPr>
        <w:t>4.1.2 谈判供应商必须保证所提供的全部资料的真实性、有效性、合法性。</w:t>
      </w:r>
      <w:bookmarkEnd w:id="30"/>
    </w:p>
    <w:p>
      <w:pPr>
        <w:adjustRightInd w:val="0"/>
        <w:snapToGrid w:val="0"/>
        <w:rPr>
          <w:rFonts w:hint="eastAsia" w:ascii="宋体" w:hAnsi="宋体" w:eastAsia="宋体" w:cs="宋体"/>
          <w:b/>
          <w:color w:val="000000"/>
          <w:szCs w:val="21"/>
        </w:rPr>
      </w:pPr>
      <w:r>
        <w:rPr>
          <w:rFonts w:hint="eastAsia" w:ascii="宋体" w:hAnsi="宋体" w:eastAsia="宋体" w:cs="宋体"/>
          <w:b/>
          <w:color w:val="000000"/>
          <w:szCs w:val="21"/>
        </w:rPr>
        <w:t>4.2 谈判响应文件的编写</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4.2.1谈判供应商必须对本竞争性谈判文件的每一项要求给予实质性、唯一的响应。否则其投标将被拒绝。</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4.2.2 谈判响应文件和来往函件用中文书写，除非“技术规格”中另有规定。计量单位应使用国际单位。</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4.2.3 谈判供应商应以人民币报价。</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4.2.4 提交的谈判响应文件、技术文件和资料,应提交中文本, 谈判供应商如提交英文本时应附中文详译本, 并以中文本为准。</w:t>
      </w:r>
    </w:p>
    <w:p>
      <w:pPr>
        <w:adjustRightInd w:val="0"/>
        <w:snapToGrid w:val="0"/>
        <w:outlineLvl w:val="0"/>
        <w:rPr>
          <w:rFonts w:hint="eastAsia" w:ascii="宋体" w:hAnsi="宋体" w:eastAsia="宋体" w:cs="宋体"/>
          <w:b/>
          <w:color w:val="000000"/>
          <w:szCs w:val="21"/>
        </w:rPr>
      </w:pPr>
      <w:bookmarkStart w:id="31" w:name="_Toc243212905"/>
      <w:bookmarkStart w:id="32" w:name="_Toc17511"/>
      <w:bookmarkStart w:id="33" w:name="_Toc188959589"/>
      <w:bookmarkStart w:id="34" w:name="_Toc4209"/>
      <w:bookmarkStart w:id="35" w:name="_Toc7036"/>
      <w:bookmarkStart w:id="36" w:name="_Toc243201839"/>
      <w:bookmarkStart w:id="37" w:name="_Toc271608971"/>
      <w:bookmarkStart w:id="38" w:name="_Toc142881997"/>
      <w:bookmarkStart w:id="39" w:name="_Toc271798798"/>
      <w:r>
        <w:rPr>
          <w:rFonts w:hint="eastAsia" w:ascii="宋体" w:hAnsi="宋体" w:eastAsia="宋体" w:cs="宋体"/>
          <w:b/>
          <w:color w:val="000000"/>
          <w:szCs w:val="21"/>
        </w:rPr>
        <w:t>4.3 谈判响应文件的签署和印刷规定</w:t>
      </w:r>
      <w:bookmarkEnd w:id="31"/>
      <w:bookmarkEnd w:id="32"/>
      <w:bookmarkEnd w:id="33"/>
      <w:bookmarkEnd w:id="34"/>
      <w:bookmarkEnd w:id="35"/>
      <w:bookmarkEnd w:id="36"/>
      <w:bookmarkEnd w:id="37"/>
      <w:bookmarkEnd w:id="38"/>
      <w:bookmarkEnd w:id="39"/>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4.3.1谈判响应文件须打印并由谈判供应商法定代表人或其委托代理人（具有法定代表人签署的授权书）在正本封面上签字、加盖公章。谈判响应文件须加盖骑缝章。</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4.3.2谈判响应文件除签字外必须是印刷形式，其中不许有加行、涂抹或改写。若有修改须由签署谈判响应文件的授权人在修改处旁签字。副本可采用正本的复印件。</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4.3.3电报、电话、传真形式的竞争性谈判概不接受。</w:t>
      </w:r>
    </w:p>
    <w:p>
      <w:pPr>
        <w:adjustRightInd w:val="0"/>
        <w:snapToGrid w:val="0"/>
        <w:outlineLvl w:val="0"/>
        <w:rPr>
          <w:rFonts w:hint="eastAsia" w:ascii="宋体" w:hAnsi="宋体" w:eastAsia="宋体" w:cs="宋体"/>
          <w:b/>
          <w:color w:val="000000"/>
          <w:szCs w:val="21"/>
        </w:rPr>
      </w:pPr>
      <w:bookmarkStart w:id="40" w:name="_Toc6438"/>
      <w:bookmarkStart w:id="41" w:name="_Toc32109"/>
      <w:bookmarkStart w:id="42" w:name="_Toc271608972"/>
      <w:bookmarkStart w:id="43" w:name="_Toc188959590"/>
      <w:bookmarkStart w:id="44" w:name="_Toc243212906"/>
      <w:bookmarkStart w:id="45" w:name="_Toc142881998"/>
      <w:bookmarkStart w:id="46" w:name="_Toc243201840"/>
      <w:bookmarkStart w:id="47" w:name="_Toc271798799"/>
      <w:bookmarkStart w:id="48" w:name="_Toc22359"/>
      <w:r>
        <w:rPr>
          <w:rFonts w:hint="eastAsia" w:ascii="宋体" w:hAnsi="宋体" w:eastAsia="宋体" w:cs="宋体"/>
          <w:b/>
          <w:color w:val="000000"/>
          <w:szCs w:val="21"/>
        </w:rPr>
        <w:t>★4.4 谈判响应文件的装订、密封和标记</w:t>
      </w:r>
      <w:bookmarkEnd w:id="40"/>
      <w:bookmarkEnd w:id="41"/>
      <w:bookmarkEnd w:id="42"/>
      <w:bookmarkEnd w:id="43"/>
      <w:bookmarkEnd w:id="44"/>
      <w:bookmarkEnd w:id="45"/>
      <w:bookmarkEnd w:id="46"/>
      <w:bookmarkEnd w:id="47"/>
      <w:bookmarkEnd w:id="48"/>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4.4.1谈判供应商应准备谈判响应文件</w:t>
      </w:r>
      <w:r>
        <w:rPr>
          <w:rFonts w:hint="eastAsia" w:ascii="宋体" w:hAnsi="宋体" w:eastAsia="宋体" w:cs="宋体"/>
          <w:b/>
          <w:color w:val="000000"/>
          <w:szCs w:val="21"/>
          <w:u w:val="single"/>
        </w:rPr>
        <w:t>正本一份</w:t>
      </w:r>
      <w:r>
        <w:rPr>
          <w:rFonts w:hint="eastAsia" w:ascii="宋体" w:hAnsi="宋体" w:eastAsia="宋体" w:cs="宋体"/>
          <w:color w:val="000000"/>
          <w:szCs w:val="21"/>
          <w:u w:val="single"/>
        </w:rPr>
        <w:t>，</w:t>
      </w:r>
      <w:r>
        <w:rPr>
          <w:rFonts w:hint="eastAsia" w:ascii="宋体" w:hAnsi="宋体" w:eastAsia="宋体" w:cs="宋体"/>
          <w:b/>
          <w:color w:val="000000"/>
          <w:szCs w:val="21"/>
          <w:u w:val="single"/>
        </w:rPr>
        <w:t>副本五份</w:t>
      </w:r>
      <w:r>
        <w:rPr>
          <w:rFonts w:hint="eastAsia" w:ascii="宋体" w:hAnsi="宋体" w:eastAsia="宋体" w:cs="宋体"/>
          <w:color w:val="000000"/>
          <w:szCs w:val="21"/>
        </w:rPr>
        <w:t>，在每一份谈判响应文件封面上要明确注明采购编号、项目名称、谈判供应商名称、“正本”或“副本”字样。一旦正本和副本内容有差异，以正本为准；</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4.4.2谈判供应商应将谈判响应文件“正本”和“副本”中的文件应按顺序分别编制。</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4.4.3正本封装于一个包装内，所有副本一齐封装于另一包装内，所有包装的封面须注明“正本”或“副本”，包装的封口密封处加盖公章，并注明“于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日开标之前不得启封”的字样，并在包装面作具体标识：采购编号、项目名称、谈判时间、谈判地点、采购人名称、谈判供应商名称。</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4.4.4为方便谈判，谈判供应商应将谈判响应文件中的“</w:t>
      </w:r>
      <w:r>
        <w:rPr>
          <w:rFonts w:hint="eastAsia" w:ascii="宋体" w:hAnsi="宋体" w:eastAsia="宋体" w:cs="宋体"/>
          <w:b/>
          <w:color w:val="000000"/>
          <w:szCs w:val="21"/>
        </w:rPr>
        <w:t>开标一览表”另外单独密封于一个</w:t>
      </w:r>
      <w:bookmarkStart w:id="49" w:name="OLE_LINK7"/>
      <w:r>
        <w:rPr>
          <w:rFonts w:hint="eastAsia" w:ascii="宋体" w:hAnsi="宋体" w:eastAsia="宋体" w:cs="宋体"/>
          <w:b/>
          <w:color w:val="000000"/>
          <w:szCs w:val="21"/>
        </w:rPr>
        <w:t>包装袋</w:t>
      </w:r>
      <w:bookmarkEnd w:id="49"/>
      <w:r>
        <w:rPr>
          <w:rFonts w:hint="eastAsia" w:ascii="宋体" w:hAnsi="宋体" w:eastAsia="宋体" w:cs="宋体"/>
          <w:b/>
          <w:color w:val="000000"/>
          <w:szCs w:val="21"/>
        </w:rPr>
        <w:t>内（此包装袋单独递交）</w:t>
      </w:r>
      <w:r>
        <w:rPr>
          <w:rFonts w:hint="eastAsia" w:ascii="宋体" w:hAnsi="宋体" w:eastAsia="宋体" w:cs="宋体"/>
          <w:color w:val="000000"/>
          <w:szCs w:val="21"/>
        </w:rPr>
        <w:t>。在封口密封处加盖公章，并注明“于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日开标之前不得启封”的字样，在该信封上标明“开标一览表”字样，并作具体标识：采购编号、项目名称、谈判时间、谈判地点、采购人名称、谈判供应商名称。</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4.4.5为方便专家评标整本标书请标注统一的页码，非电子文档（各种资质、成功案例合同、财务报表等复印件）可以手工填上统一的页码。</w:t>
      </w:r>
    </w:p>
    <w:p>
      <w:pPr>
        <w:adjustRightInd w:val="0"/>
        <w:snapToGrid w:val="0"/>
        <w:rPr>
          <w:rFonts w:hint="eastAsia" w:ascii="宋体" w:hAnsi="宋体" w:eastAsia="宋体" w:cs="宋体"/>
          <w:b/>
          <w:color w:val="000000"/>
          <w:szCs w:val="21"/>
        </w:rPr>
      </w:pPr>
      <w:r>
        <w:rPr>
          <w:rFonts w:hint="eastAsia" w:ascii="宋体" w:hAnsi="宋体" w:eastAsia="宋体" w:cs="宋体"/>
          <w:b/>
          <w:color w:val="000000"/>
          <w:szCs w:val="21"/>
        </w:rPr>
        <w:t>4.5谈判响应文件的递交</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谈判供应商将谈判响应文件按上述规定进行密封和标记后，按谈判时间，由谈判供应商亲自带到谈判地点。</w:t>
      </w:r>
    </w:p>
    <w:p>
      <w:pPr>
        <w:adjustRightInd w:val="0"/>
        <w:snapToGrid w:val="0"/>
        <w:rPr>
          <w:rFonts w:hint="eastAsia" w:ascii="宋体" w:hAnsi="宋体" w:eastAsia="宋体" w:cs="宋体"/>
          <w:b/>
          <w:color w:val="000000"/>
          <w:szCs w:val="21"/>
        </w:rPr>
      </w:pPr>
      <w:r>
        <w:rPr>
          <w:rFonts w:hint="eastAsia" w:ascii="宋体" w:hAnsi="宋体" w:eastAsia="宋体" w:cs="宋体"/>
          <w:b/>
          <w:color w:val="000000"/>
          <w:szCs w:val="21"/>
        </w:rPr>
        <w:t>4.6谈判响应文件的有效期</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谈判响应文件从投标截止之日起，有效期为90天。</w:t>
      </w:r>
    </w:p>
    <w:p>
      <w:pPr>
        <w:pStyle w:val="23"/>
        <w:snapToGrid w:val="0"/>
        <w:spacing w:beforeLines="0" w:afterLines="0" w:line="240" w:lineRule="auto"/>
        <w:rPr>
          <w:rFonts w:hint="eastAsia" w:ascii="宋体" w:hAnsi="宋体" w:eastAsia="宋体" w:cs="宋体"/>
          <w:color w:val="000000"/>
          <w:sz w:val="21"/>
          <w:szCs w:val="21"/>
        </w:rPr>
      </w:pPr>
      <w:bookmarkStart w:id="50" w:name="_Toc271798800"/>
      <w:bookmarkStart w:id="51" w:name="_Toc142370535"/>
      <w:r>
        <w:rPr>
          <w:rFonts w:hint="eastAsia" w:ascii="宋体" w:hAnsi="宋体" w:eastAsia="宋体" w:cs="宋体"/>
          <w:b/>
          <w:color w:val="000000"/>
          <w:sz w:val="21"/>
          <w:szCs w:val="21"/>
        </w:rPr>
        <w:t>★</w:t>
      </w:r>
      <w:r>
        <w:rPr>
          <w:rFonts w:hint="eastAsia" w:ascii="宋体" w:hAnsi="宋体" w:eastAsia="宋体" w:cs="宋体"/>
          <w:color w:val="000000"/>
          <w:sz w:val="21"/>
          <w:szCs w:val="21"/>
        </w:rPr>
        <w:t>5．关于谈判保证金</w:t>
      </w:r>
      <w:bookmarkEnd w:id="50"/>
      <w:bookmarkEnd w:id="51"/>
      <w:r>
        <w:rPr>
          <w:rFonts w:hint="eastAsia" w:ascii="宋体" w:hAnsi="宋体" w:eastAsia="宋体" w:cs="宋体"/>
          <w:b/>
          <w:color w:val="FF0000"/>
          <w:sz w:val="21"/>
          <w:szCs w:val="21"/>
          <w:u w:val="single"/>
        </w:rPr>
        <w:t>（本项目不要求谈判保证金）</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5.1 竞争性谈判保证金为谈判响应文件的组成部分。</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5.2 谈判供应商须在</w:t>
      </w:r>
      <w:r>
        <w:rPr>
          <w:rFonts w:hint="eastAsia" w:ascii="宋体" w:hAnsi="宋体" w:eastAsia="宋体" w:cs="宋体"/>
          <w:b/>
          <w:color w:val="000000"/>
          <w:szCs w:val="21"/>
        </w:rPr>
        <w:t>XXXX年</w:t>
      </w:r>
      <w:r>
        <w:rPr>
          <w:rFonts w:hint="eastAsia" w:ascii="宋体" w:hAnsi="宋体" w:eastAsia="宋体" w:cs="宋体"/>
          <w:b/>
          <w:color w:val="000000"/>
          <w:szCs w:val="21"/>
          <w:lang w:val="zh-CN"/>
        </w:rPr>
        <w:t>XX</w:t>
      </w:r>
      <w:r>
        <w:rPr>
          <w:rFonts w:hint="eastAsia" w:ascii="宋体" w:hAnsi="宋体" w:eastAsia="宋体" w:cs="宋体"/>
          <w:b/>
          <w:color w:val="000000"/>
          <w:szCs w:val="21"/>
        </w:rPr>
        <w:t>月XX日X时XX分</w:t>
      </w:r>
      <w:r>
        <w:rPr>
          <w:rFonts w:hint="eastAsia" w:ascii="宋体" w:hAnsi="宋体" w:eastAsia="宋体" w:cs="宋体"/>
          <w:color w:val="000000"/>
          <w:szCs w:val="21"/>
        </w:rPr>
        <w:t>前递交投标保证金</w:t>
      </w:r>
      <w:r>
        <w:rPr>
          <w:rFonts w:hint="eastAsia" w:ascii="宋体" w:hAnsi="宋体" w:eastAsia="宋体" w:cs="宋体"/>
          <w:b/>
          <w:color w:val="000000"/>
          <w:szCs w:val="21"/>
        </w:rPr>
        <w:t xml:space="preserve">人民币  </w:t>
      </w:r>
      <w:r>
        <w:rPr>
          <w:rFonts w:hint="eastAsia" w:ascii="宋体" w:hAnsi="宋体" w:eastAsia="宋体" w:cs="宋体"/>
          <w:b/>
          <w:color w:val="000000"/>
          <w:szCs w:val="21"/>
          <w:u w:val="single"/>
        </w:rPr>
        <w:t>元整</w:t>
      </w:r>
      <w:r>
        <w:rPr>
          <w:rFonts w:hint="eastAsia" w:ascii="宋体" w:hAnsi="宋体" w:eastAsia="宋体" w:cs="宋体"/>
          <w:b/>
          <w:color w:val="000000"/>
          <w:szCs w:val="21"/>
        </w:rPr>
        <w:t>（￥  元）</w:t>
      </w:r>
      <w:r>
        <w:rPr>
          <w:rFonts w:hint="eastAsia" w:ascii="宋体" w:hAnsi="宋体" w:eastAsia="宋体" w:cs="宋体"/>
          <w:color w:val="000000"/>
          <w:szCs w:val="21"/>
        </w:rPr>
        <w:t>，以投标保证金到达采购人指定帐户，并经采购人确认为准。</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5.3投标保证金以银行本票、汇票、保付支票、汇款或现金等形式交纳。</w:t>
      </w:r>
    </w:p>
    <w:p>
      <w:pPr>
        <w:snapToGrid w:val="0"/>
        <w:ind w:left="709"/>
        <w:rPr>
          <w:rFonts w:hint="eastAsia" w:ascii="宋体" w:hAnsi="宋体" w:eastAsia="宋体" w:cs="宋体"/>
          <w:b/>
          <w:color w:val="000000"/>
          <w:szCs w:val="21"/>
          <w:u w:val="single"/>
        </w:rPr>
      </w:pPr>
      <w:r>
        <w:rPr>
          <w:rFonts w:hint="eastAsia" w:ascii="宋体" w:hAnsi="宋体" w:eastAsia="宋体" w:cs="宋体"/>
          <w:b/>
          <w:color w:val="000000"/>
          <w:szCs w:val="21"/>
          <w:u w:val="single"/>
        </w:rPr>
        <w:t>账户名称：深圳市设计之都运营发展有限公司</w:t>
      </w:r>
      <w:r>
        <w:rPr>
          <w:rFonts w:hint="eastAsia" w:ascii="宋体" w:hAnsi="宋体" w:eastAsia="宋体" w:cs="宋体"/>
          <w:b/>
          <w:color w:val="000000"/>
          <w:szCs w:val="21"/>
          <w:u w:val="single"/>
        </w:rPr>
        <w:br w:type="textWrapping"/>
      </w:r>
      <w:r>
        <w:rPr>
          <w:rFonts w:hint="eastAsia" w:ascii="宋体" w:hAnsi="宋体" w:eastAsia="宋体" w:cs="宋体"/>
          <w:b/>
          <w:color w:val="000000"/>
          <w:szCs w:val="21"/>
          <w:u w:val="single"/>
        </w:rPr>
        <w:t>账户号码：338200100100051632</w:t>
      </w:r>
      <w:r>
        <w:rPr>
          <w:rFonts w:hint="eastAsia" w:ascii="宋体" w:hAnsi="宋体" w:eastAsia="宋体" w:cs="宋体"/>
          <w:b/>
          <w:color w:val="000000"/>
          <w:szCs w:val="21"/>
          <w:u w:val="single"/>
        </w:rPr>
        <w:br w:type="textWrapping"/>
      </w:r>
      <w:r>
        <w:rPr>
          <w:rFonts w:hint="eastAsia" w:ascii="宋体" w:hAnsi="宋体" w:eastAsia="宋体" w:cs="宋体"/>
          <w:b/>
          <w:color w:val="000000"/>
          <w:szCs w:val="21"/>
          <w:u w:val="single"/>
        </w:rPr>
        <w:t>开户银行：兴业银行深圳民治支行 </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5.4未按规定提交谈判保证金的投标，将被视为无效竞争性谈判。</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5.5未中标的谈判供应商的保证金，在中标通知书发出后 5 个工作日内予以无息退还。</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5.6中标的谈判供应商的投标保证金，在采购合同签订后 5个工作日内无息退还，同时结算中标服务费。</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5.7 谈判供应商因自身因素逾期未向采购人办理退还保证金手续的，采购人不承担任何利率费用。</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5.8下列情况之一发生，保证金将被不予退回：</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5.8.1谈判供应商已递交投标书，并在投标截止时间之后，谈判响应文件有效期满之前，撤回其谈判响应文件；</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5.8.2中标后，成交供应商不按中标的谈判结果签订合同，视为放弃成交；</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5.8.3</w:t>
      </w:r>
      <w:r>
        <w:rPr>
          <w:rFonts w:hint="eastAsia" w:ascii="宋体" w:hAnsi="宋体" w:eastAsia="宋体" w:cs="宋体"/>
          <w:bCs/>
          <w:color w:val="000000"/>
          <w:szCs w:val="21"/>
        </w:rPr>
        <w:t>放弃竞争性谈判的</w:t>
      </w:r>
      <w:r>
        <w:rPr>
          <w:rFonts w:hint="eastAsia" w:ascii="宋体" w:hAnsi="宋体" w:eastAsia="宋体" w:cs="宋体"/>
          <w:color w:val="000000"/>
          <w:szCs w:val="21"/>
        </w:rPr>
        <w:t>谈判供应商</w:t>
      </w:r>
      <w:r>
        <w:rPr>
          <w:rFonts w:hint="eastAsia" w:ascii="宋体" w:hAnsi="宋体" w:eastAsia="宋体" w:cs="宋体"/>
          <w:bCs/>
          <w:color w:val="000000"/>
          <w:szCs w:val="21"/>
        </w:rPr>
        <w:t>在开标前三日未书面通知采购人的</w:t>
      </w:r>
      <w:r>
        <w:rPr>
          <w:rFonts w:hint="eastAsia" w:ascii="宋体" w:hAnsi="宋体" w:eastAsia="宋体" w:cs="宋体"/>
          <w:color w:val="000000"/>
          <w:szCs w:val="21"/>
        </w:rPr>
        <w:t>；</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5.8.4在竞争性谈判期间用不正当手段影响评标结果。</w:t>
      </w:r>
    </w:p>
    <w:p>
      <w:pPr>
        <w:pStyle w:val="23"/>
        <w:snapToGrid w:val="0"/>
        <w:spacing w:beforeLines="0" w:afterLines="0" w:line="240" w:lineRule="auto"/>
        <w:outlineLvl w:val="1"/>
        <w:rPr>
          <w:rFonts w:hint="eastAsia" w:ascii="宋体" w:hAnsi="宋体" w:eastAsia="宋体" w:cs="宋体"/>
          <w:color w:val="000000"/>
          <w:sz w:val="21"/>
          <w:szCs w:val="21"/>
        </w:rPr>
      </w:pPr>
      <w:bookmarkStart w:id="52" w:name="_Toc26154"/>
      <w:bookmarkStart w:id="53" w:name="_Toc271798801"/>
      <w:bookmarkStart w:id="54" w:name="_Toc142370536"/>
      <w:bookmarkStart w:id="55" w:name="_Toc32079"/>
      <w:r>
        <w:rPr>
          <w:rFonts w:hint="eastAsia" w:ascii="宋体" w:hAnsi="宋体" w:eastAsia="宋体" w:cs="宋体"/>
          <w:color w:val="000000"/>
          <w:sz w:val="21"/>
          <w:szCs w:val="21"/>
        </w:rPr>
        <w:t>6</w:t>
      </w:r>
      <w:r>
        <w:rPr>
          <w:rFonts w:hint="eastAsia" w:ascii="宋体" w:hAnsi="宋体" w:eastAsia="宋体" w:cs="宋体"/>
          <w:color w:val="000000"/>
          <w:kern w:val="2"/>
          <w:sz w:val="21"/>
          <w:szCs w:val="21"/>
        </w:rPr>
        <w:t>．关于竞争性谈判和竞争性谈判费用</w:t>
      </w:r>
      <w:bookmarkEnd w:id="52"/>
      <w:bookmarkEnd w:id="53"/>
      <w:bookmarkEnd w:id="54"/>
      <w:bookmarkEnd w:id="55"/>
    </w:p>
    <w:p>
      <w:pPr>
        <w:adjustRightInd w:val="0"/>
        <w:snapToGrid w:val="0"/>
        <w:ind w:left="476"/>
        <w:rPr>
          <w:rFonts w:hint="eastAsia" w:ascii="宋体" w:hAnsi="宋体" w:eastAsia="宋体" w:cs="宋体"/>
          <w:b/>
          <w:color w:val="000000"/>
          <w:szCs w:val="21"/>
        </w:rPr>
      </w:pPr>
      <w:r>
        <w:rPr>
          <w:rFonts w:hint="eastAsia" w:ascii="宋体" w:hAnsi="宋体" w:eastAsia="宋体" w:cs="宋体"/>
          <w:color w:val="000000"/>
          <w:szCs w:val="21"/>
        </w:rPr>
        <w:t>谈判供应商自行承担各种原因所致的所有参加竞争性谈判有关的费用。</w:t>
      </w:r>
      <w:r>
        <w:rPr>
          <w:rFonts w:hint="eastAsia" w:ascii="宋体" w:hAnsi="宋体" w:eastAsia="宋体" w:cs="宋体"/>
          <w:b/>
          <w:color w:val="000000"/>
          <w:szCs w:val="21"/>
        </w:rPr>
        <w:tab/>
      </w:r>
    </w:p>
    <w:p>
      <w:pPr>
        <w:pStyle w:val="23"/>
        <w:snapToGrid w:val="0"/>
        <w:spacing w:beforeLines="0" w:afterLines="0" w:line="240" w:lineRule="auto"/>
        <w:outlineLvl w:val="1"/>
        <w:rPr>
          <w:rFonts w:hint="eastAsia" w:ascii="宋体" w:hAnsi="宋体" w:eastAsia="宋体" w:cs="宋体"/>
          <w:color w:val="000000"/>
          <w:sz w:val="21"/>
          <w:szCs w:val="21"/>
        </w:rPr>
      </w:pPr>
      <w:bookmarkStart w:id="56" w:name="_Toc271798802"/>
      <w:bookmarkStart w:id="57" w:name="_Toc142370537"/>
      <w:bookmarkStart w:id="58" w:name="_Toc27622"/>
      <w:bookmarkStart w:id="59" w:name="_Toc7673"/>
      <w:r>
        <w:rPr>
          <w:rFonts w:hint="eastAsia" w:ascii="宋体" w:hAnsi="宋体" w:eastAsia="宋体" w:cs="宋体"/>
          <w:color w:val="000000"/>
          <w:sz w:val="21"/>
          <w:szCs w:val="21"/>
        </w:rPr>
        <w:t>7．关于</w:t>
      </w:r>
      <w:bookmarkEnd w:id="56"/>
      <w:bookmarkEnd w:id="57"/>
      <w:r>
        <w:rPr>
          <w:rFonts w:hint="eastAsia" w:ascii="宋体" w:hAnsi="宋体" w:eastAsia="宋体" w:cs="宋体"/>
          <w:color w:val="000000"/>
          <w:sz w:val="21"/>
          <w:szCs w:val="21"/>
        </w:rPr>
        <w:t>竞争性谈判</w:t>
      </w:r>
      <w:bookmarkEnd w:id="58"/>
      <w:bookmarkEnd w:id="59"/>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7.1采购人按竞争性谈判文件中规定的时间和地点谈判。</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 xml:space="preserve">7.2竞争性谈判截止时如前来参加竞争性谈判的谈判供应商少于二家，采购人有权宣布此次竞争性谈判无效，重新组织采购； </w:t>
      </w:r>
    </w:p>
    <w:p>
      <w:pPr>
        <w:pStyle w:val="23"/>
        <w:snapToGrid w:val="0"/>
        <w:spacing w:beforeLines="0" w:afterLines="0" w:line="240" w:lineRule="auto"/>
        <w:outlineLvl w:val="1"/>
        <w:rPr>
          <w:rFonts w:hint="eastAsia" w:ascii="宋体" w:hAnsi="宋体" w:eastAsia="宋体" w:cs="宋体"/>
          <w:color w:val="000000"/>
          <w:sz w:val="21"/>
          <w:szCs w:val="21"/>
        </w:rPr>
      </w:pPr>
      <w:bookmarkStart w:id="60" w:name="_Toc28108"/>
      <w:bookmarkStart w:id="61" w:name="_Toc26300"/>
      <w:bookmarkStart w:id="62" w:name="_Toc271798803"/>
      <w:bookmarkStart w:id="63" w:name="_Toc142370538"/>
      <w:r>
        <w:rPr>
          <w:rFonts w:hint="eastAsia" w:ascii="宋体" w:hAnsi="宋体" w:eastAsia="宋体" w:cs="宋体"/>
          <w:color w:val="000000"/>
          <w:sz w:val="21"/>
          <w:szCs w:val="21"/>
        </w:rPr>
        <w:t>8．关于评标</w:t>
      </w:r>
      <w:bookmarkEnd w:id="60"/>
      <w:bookmarkEnd w:id="61"/>
      <w:bookmarkEnd w:id="62"/>
      <w:bookmarkEnd w:id="63"/>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8.1评标是谈判工作的重要环节，评标工作在谈判小组内独立进行。</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8.2在竞争性谈判期间，谈判供应商不得向谈判小组询问情况，不得进行旨在影响评标结果的活动。</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8.3谈判小组不向落标方解释落标原因，不退还谈判响应文件。</w:t>
      </w:r>
    </w:p>
    <w:p>
      <w:pPr>
        <w:pStyle w:val="23"/>
        <w:snapToGrid w:val="0"/>
        <w:spacing w:beforeLines="0" w:afterLines="0" w:line="240" w:lineRule="auto"/>
        <w:outlineLvl w:val="1"/>
        <w:rPr>
          <w:rFonts w:hint="eastAsia" w:ascii="宋体" w:hAnsi="宋体" w:eastAsia="宋体" w:cs="宋体"/>
          <w:color w:val="000000"/>
          <w:sz w:val="21"/>
          <w:szCs w:val="21"/>
        </w:rPr>
      </w:pPr>
      <w:bookmarkStart w:id="64" w:name="_Toc25214"/>
      <w:bookmarkStart w:id="65" w:name="_Toc142370539"/>
      <w:bookmarkStart w:id="66" w:name="_Toc271798804"/>
      <w:bookmarkStart w:id="67" w:name="_Toc10524"/>
      <w:r>
        <w:rPr>
          <w:rFonts w:hint="eastAsia" w:ascii="宋体" w:hAnsi="宋体" w:eastAsia="宋体" w:cs="宋体"/>
          <w:color w:val="000000"/>
          <w:sz w:val="21"/>
          <w:szCs w:val="21"/>
        </w:rPr>
        <w:t>9．关于定标</w:t>
      </w:r>
      <w:bookmarkEnd w:id="64"/>
      <w:bookmarkEnd w:id="65"/>
      <w:bookmarkEnd w:id="66"/>
      <w:bookmarkEnd w:id="67"/>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9.1谈判小组根据符合性审查、报价部分、商务、技术方案说明部分的评估结果进行综合评比。</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9.5成交供应商确定后，将发布公示，公示无异议后，向成交供应商发出中标通知书。</w:t>
      </w:r>
    </w:p>
    <w:p>
      <w:pPr>
        <w:pStyle w:val="23"/>
        <w:snapToGrid w:val="0"/>
        <w:spacing w:beforeLines="0" w:afterLines="0" w:line="240" w:lineRule="auto"/>
        <w:outlineLvl w:val="1"/>
        <w:rPr>
          <w:rFonts w:hint="eastAsia" w:ascii="宋体" w:hAnsi="宋体" w:eastAsia="宋体" w:cs="宋体"/>
          <w:color w:val="000000"/>
          <w:sz w:val="21"/>
          <w:szCs w:val="21"/>
        </w:rPr>
      </w:pPr>
      <w:bookmarkStart w:id="68" w:name="_Toc14889"/>
      <w:bookmarkStart w:id="69" w:name="_Toc142370540"/>
      <w:bookmarkStart w:id="70" w:name="_Toc30004"/>
      <w:bookmarkStart w:id="71" w:name="_Toc271798805"/>
      <w:r>
        <w:rPr>
          <w:rFonts w:hint="eastAsia" w:ascii="宋体" w:hAnsi="宋体" w:eastAsia="宋体" w:cs="宋体"/>
          <w:color w:val="000000"/>
          <w:sz w:val="21"/>
          <w:szCs w:val="21"/>
        </w:rPr>
        <w:t>10．关于废标和竞争性谈判失败</w:t>
      </w:r>
      <w:bookmarkEnd w:id="68"/>
      <w:bookmarkEnd w:id="69"/>
      <w:bookmarkEnd w:id="70"/>
      <w:bookmarkEnd w:id="71"/>
    </w:p>
    <w:p>
      <w:pPr>
        <w:adjustRightInd w:val="0"/>
        <w:snapToGrid w:val="0"/>
        <w:rPr>
          <w:rFonts w:hint="eastAsia" w:ascii="宋体" w:hAnsi="宋体" w:eastAsia="宋体" w:cs="宋体"/>
          <w:b/>
          <w:color w:val="000000"/>
          <w:szCs w:val="21"/>
        </w:rPr>
      </w:pPr>
      <w:r>
        <w:rPr>
          <w:rFonts w:hint="eastAsia" w:ascii="宋体" w:hAnsi="宋体" w:eastAsia="宋体" w:cs="宋体"/>
          <w:b/>
          <w:color w:val="000000"/>
          <w:szCs w:val="21"/>
        </w:rPr>
        <w:t>10.1有下列情况之一出现的谈判响应文件，将做废标处理：</w:t>
      </w:r>
    </w:p>
    <w:p>
      <w:pPr>
        <w:pStyle w:val="10"/>
        <w:snapToGrid w:val="0"/>
        <w:ind w:left="1155" w:leftChars="200" w:hanging="735" w:hangingChars="350"/>
        <w:rPr>
          <w:rFonts w:hint="eastAsia" w:ascii="宋体" w:hAnsi="宋体" w:eastAsia="宋体" w:cs="宋体"/>
          <w:color w:val="000000"/>
          <w:sz w:val="21"/>
          <w:szCs w:val="21"/>
        </w:rPr>
      </w:pPr>
      <w:bookmarkStart w:id="72" w:name="_Toc142882005"/>
      <w:r>
        <w:rPr>
          <w:rFonts w:hint="eastAsia" w:ascii="宋体" w:hAnsi="宋体" w:eastAsia="宋体" w:cs="宋体"/>
          <w:color w:val="000000"/>
          <w:sz w:val="21"/>
          <w:szCs w:val="21"/>
        </w:rPr>
        <w:t>10.1.1 谈判响应文件未按谈判文件第二部分“谈判供应商须知”第4.4条款的内容密封和标记；</w:t>
      </w:r>
      <w:bookmarkEnd w:id="72"/>
    </w:p>
    <w:p>
      <w:pPr>
        <w:pStyle w:val="10"/>
        <w:snapToGrid w:val="0"/>
        <w:ind w:left="1155" w:leftChars="200" w:hanging="735" w:hangingChars="350"/>
        <w:rPr>
          <w:rFonts w:hint="eastAsia" w:ascii="宋体" w:hAnsi="宋体" w:eastAsia="宋体" w:cs="宋体"/>
          <w:color w:val="000000"/>
          <w:sz w:val="21"/>
          <w:szCs w:val="21"/>
        </w:rPr>
      </w:pPr>
      <w:r>
        <w:rPr>
          <w:rFonts w:hint="eastAsia" w:ascii="宋体" w:hAnsi="宋体" w:eastAsia="宋体" w:cs="宋体"/>
          <w:color w:val="000000"/>
          <w:sz w:val="21"/>
          <w:szCs w:val="21"/>
        </w:rPr>
        <w:t>10.1.2 未按谈判文件要求的规定提供法定代表人或法定代表人委托的代理人的私人印鉴或签字；</w:t>
      </w:r>
    </w:p>
    <w:p>
      <w:pPr>
        <w:pStyle w:val="10"/>
        <w:snapToGrid w:val="0"/>
        <w:ind w:firstLine="420" w:firstLineChars="200"/>
        <w:rPr>
          <w:rFonts w:hint="eastAsia" w:ascii="宋体" w:hAnsi="宋体" w:eastAsia="宋体" w:cs="宋体"/>
          <w:color w:val="000000"/>
          <w:sz w:val="21"/>
          <w:szCs w:val="21"/>
        </w:rPr>
      </w:pPr>
      <w:bookmarkStart w:id="73" w:name="_Toc142882006"/>
      <w:r>
        <w:rPr>
          <w:rFonts w:hint="eastAsia" w:ascii="宋体" w:hAnsi="宋体" w:eastAsia="宋体" w:cs="宋体"/>
          <w:color w:val="000000"/>
          <w:sz w:val="21"/>
          <w:szCs w:val="21"/>
        </w:rPr>
        <w:t>10.1.3 未按谈判文件要求的规定加盖公章的；</w:t>
      </w:r>
      <w:bookmarkEnd w:id="73"/>
    </w:p>
    <w:p>
      <w:pPr>
        <w:pStyle w:val="10"/>
        <w:snapToGrid w:val="0"/>
        <w:ind w:firstLine="420" w:firstLineChars="200"/>
        <w:rPr>
          <w:rFonts w:hint="eastAsia" w:ascii="宋体" w:hAnsi="宋体" w:eastAsia="宋体" w:cs="宋体"/>
          <w:color w:val="000000"/>
          <w:sz w:val="21"/>
          <w:szCs w:val="21"/>
        </w:rPr>
      </w:pPr>
      <w:bookmarkStart w:id="74" w:name="_Toc142882007"/>
      <w:r>
        <w:rPr>
          <w:rFonts w:hint="eastAsia" w:ascii="宋体" w:hAnsi="宋体" w:eastAsia="宋体" w:cs="宋体"/>
          <w:color w:val="000000"/>
          <w:sz w:val="21"/>
          <w:szCs w:val="21"/>
        </w:rPr>
        <w:t>10.1.4 谈判响应文件未对竞争性谈判文件作出完全的响应导致无效；</w:t>
      </w:r>
      <w:bookmarkEnd w:id="74"/>
    </w:p>
    <w:p>
      <w:pPr>
        <w:pStyle w:val="10"/>
        <w:snapToGrid w:val="0"/>
        <w:ind w:firstLine="420" w:firstLineChars="200"/>
        <w:rPr>
          <w:rFonts w:hint="eastAsia" w:ascii="宋体" w:hAnsi="宋体" w:eastAsia="宋体" w:cs="宋体"/>
          <w:color w:val="000000"/>
          <w:sz w:val="21"/>
          <w:szCs w:val="21"/>
        </w:rPr>
      </w:pPr>
      <w:bookmarkStart w:id="75" w:name="_Toc142882008"/>
      <w:r>
        <w:rPr>
          <w:rFonts w:hint="eastAsia" w:ascii="宋体" w:hAnsi="宋体" w:eastAsia="宋体" w:cs="宋体"/>
          <w:color w:val="000000"/>
          <w:sz w:val="21"/>
          <w:szCs w:val="21"/>
        </w:rPr>
        <w:t>10.1.5 竞争性谈判报价超过最高限价或低于合理成本价；</w:t>
      </w:r>
      <w:bookmarkEnd w:id="75"/>
    </w:p>
    <w:p>
      <w:pPr>
        <w:pStyle w:val="10"/>
        <w:snapToGrid w:val="0"/>
        <w:ind w:firstLine="420" w:firstLineChars="200"/>
        <w:rPr>
          <w:rFonts w:hint="eastAsia" w:ascii="宋体" w:hAnsi="宋体" w:eastAsia="宋体" w:cs="宋体"/>
          <w:color w:val="000000"/>
          <w:sz w:val="21"/>
          <w:szCs w:val="21"/>
        </w:rPr>
      </w:pPr>
      <w:bookmarkStart w:id="76" w:name="_Toc142882009"/>
      <w:r>
        <w:rPr>
          <w:rFonts w:hint="eastAsia" w:ascii="宋体" w:hAnsi="宋体" w:eastAsia="宋体" w:cs="宋体"/>
          <w:color w:val="000000"/>
          <w:sz w:val="21"/>
          <w:szCs w:val="21"/>
        </w:rPr>
        <w:t>10.1.6 谈判供应商未按规定提交投标保证金的；</w:t>
      </w:r>
      <w:bookmarkEnd w:id="76"/>
    </w:p>
    <w:p>
      <w:pPr>
        <w:pStyle w:val="10"/>
        <w:snapToGrid w:val="0"/>
        <w:ind w:firstLine="420" w:firstLineChars="200"/>
        <w:rPr>
          <w:rFonts w:hint="eastAsia" w:ascii="宋体" w:hAnsi="宋体" w:eastAsia="宋体" w:cs="宋体"/>
          <w:color w:val="000000"/>
          <w:sz w:val="21"/>
          <w:szCs w:val="21"/>
        </w:rPr>
      </w:pPr>
      <w:bookmarkStart w:id="77" w:name="_Toc142882010"/>
      <w:r>
        <w:rPr>
          <w:rFonts w:hint="eastAsia" w:ascii="宋体" w:hAnsi="宋体" w:eastAsia="宋体" w:cs="宋体"/>
          <w:color w:val="000000"/>
          <w:sz w:val="21"/>
          <w:szCs w:val="21"/>
        </w:rPr>
        <w:t>10.1.7 未通过符合性审查的；</w:t>
      </w:r>
      <w:bookmarkEnd w:id="77"/>
    </w:p>
    <w:p>
      <w:pPr>
        <w:pStyle w:val="10"/>
        <w:snapToGrid w:val="0"/>
        <w:ind w:firstLine="420" w:firstLineChars="200"/>
        <w:rPr>
          <w:rFonts w:hint="eastAsia" w:ascii="宋体" w:hAnsi="宋体" w:eastAsia="宋体" w:cs="宋体"/>
          <w:color w:val="000000"/>
          <w:sz w:val="21"/>
          <w:szCs w:val="21"/>
        </w:rPr>
      </w:pPr>
      <w:bookmarkStart w:id="78" w:name="_Toc142882012"/>
      <w:r>
        <w:rPr>
          <w:rFonts w:hint="eastAsia" w:ascii="宋体" w:hAnsi="宋体" w:eastAsia="宋体" w:cs="宋体"/>
          <w:color w:val="000000"/>
          <w:sz w:val="21"/>
          <w:szCs w:val="21"/>
        </w:rPr>
        <w:t>10.1.8谈判文件中标有“★”项不响应或不满足的；</w:t>
      </w:r>
      <w:bookmarkEnd w:id="78"/>
    </w:p>
    <w:p>
      <w:pPr>
        <w:pStyle w:val="10"/>
        <w:snapToGrid w:val="0"/>
        <w:ind w:firstLine="420" w:firstLineChars="200"/>
        <w:rPr>
          <w:rFonts w:hint="eastAsia" w:ascii="宋体" w:hAnsi="宋体" w:eastAsia="宋体" w:cs="宋体"/>
          <w:color w:val="000000"/>
          <w:sz w:val="21"/>
          <w:szCs w:val="21"/>
        </w:rPr>
      </w:pPr>
      <w:bookmarkStart w:id="79" w:name="_Toc142882015"/>
      <w:r>
        <w:rPr>
          <w:rFonts w:hint="eastAsia" w:ascii="宋体" w:hAnsi="宋体" w:eastAsia="宋体" w:cs="宋体"/>
          <w:color w:val="000000"/>
          <w:sz w:val="21"/>
          <w:szCs w:val="21"/>
        </w:rPr>
        <w:t>10.1.9 不符合法律、法规和竞争性谈判文件中规定的其他实质性要求的</w:t>
      </w:r>
      <w:bookmarkEnd w:id="79"/>
      <w:r>
        <w:rPr>
          <w:rFonts w:hint="eastAsia" w:ascii="宋体" w:hAnsi="宋体" w:eastAsia="宋体" w:cs="宋体"/>
          <w:color w:val="000000"/>
          <w:sz w:val="21"/>
          <w:szCs w:val="21"/>
        </w:rPr>
        <w:t>。</w:t>
      </w:r>
    </w:p>
    <w:p>
      <w:pPr>
        <w:adjustRightInd w:val="0"/>
        <w:snapToGrid w:val="0"/>
        <w:rPr>
          <w:rFonts w:hint="eastAsia" w:ascii="宋体" w:hAnsi="宋体" w:eastAsia="宋体" w:cs="宋体"/>
          <w:b/>
          <w:color w:val="000000"/>
          <w:szCs w:val="21"/>
        </w:rPr>
      </w:pPr>
      <w:r>
        <w:rPr>
          <w:rFonts w:hint="eastAsia" w:ascii="宋体" w:hAnsi="宋体" w:eastAsia="宋体" w:cs="宋体"/>
          <w:b/>
          <w:color w:val="000000"/>
          <w:szCs w:val="21"/>
        </w:rPr>
        <w:t>10.2下列情况之一出现，将视为谈判失败，采购人将重新组织采购：</w:t>
      </w:r>
    </w:p>
    <w:p>
      <w:pPr>
        <w:pStyle w:val="10"/>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10.2.1 投标截止时供应商少于二家；</w:t>
      </w:r>
    </w:p>
    <w:p>
      <w:pPr>
        <w:adjustRightInd w:val="0"/>
        <w:snapToGrid w:val="0"/>
        <w:ind w:firstLine="435"/>
        <w:rPr>
          <w:rFonts w:hint="eastAsia" w:ascii="宋体" w:hAnsi="宋体" w:eastAsia="宋体" w:cs="宋体"/>
          <w:color w:val="000000"/>
          <w:szCs w:val="21"/>
        </w:rPr>
      </w:pPr>
      <w:r>
        <w:rPr>
          <w:rFonts w:hint="eastAsia" w:ascii="宋体" w:hAnsi="宋体" w:eastAsia="宋体" w:cs="宋体"/>
          <w:color w:val="000000"/>
          <w:kern w:val="0"/>
          <w:szCs w:val="21"/>
        </w:rPr>
        <w:t>10.2.2</w:t>
      </w:r>
      <w:r>
        <w:rPr>
          <w:rFonts w:hint="eastAsia" w:ascii="宋体" w:hAnsi="宋体" w:eastAsia="宋体" w:cs="宋体"/>
          <w:color w:val="000000"/>
          <w:szCs w:val="21"/>
        </w:rPr>
        <w:t>评标时发现废标，致使有效谈判少于二家，谈判小组有权宣布此次谈判无效。</w:t>
      </w:r>
    </w:p>
    <w:p>
      <w:pPr>
        <w:adjustRightInd w:val="0"/>
        <w:snapToGrid w:val="0"/>
        <w:rPr>
          <w:rFonts w:hint="eastAsia" w:ascii="宋体" w:hAnsi="宋体" w:eastAsia="宋体" w:cs="宋体"/>
          <w:b/>
          <w:color w:val="000000"/>
          <w:szCs w:val="21"/>
        </w:rPr>
      </w:pPr>
      <w:r>
        <w:rPr>
          <w:rFonts w:hint="eastAsia" w:ascii="宋体" w:hAnsi="宋体" w:eastAsia="宋体" w:cs="宋体"/>
          <w:b/>
          <w:color w:val="000000"/>
          <w:szCs w:val="21"/>
        </w:rPr>
        <w:t>10.3 如本项目竞争性谈判失败，</w:t>
      </w:r>
      <w:r>
        <w:rPr>
          <w:rFonts w:hint="eastAsia" w:ascii="宋体" w:hAnsi="宋体" w:eastAsia="宋体" w:cs="宋体"/>
          <w:color w:val="000000"/>
          <w:szCs w:val="21"/>
        </w:rPr>
        <w:t>根据情况，采购人将决定采用以下形式继续组织采购：</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 xml:space="preserve">    10.3.1 重新组织竞争性谈判</w:t>
      </w:r>
    </w:p>
    <w:p>
      <w:pPr>
        <w:numPr>
          <w:ilvl w:val="2"/>
          <w:numId w:val="5"/>
        </w:num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综合评分法</w:t>
      </w:r>
    </w:p>
    <w:p>
      <w:pPr>
        <w:numPr>
          <w:ilvl w:val="2"/>
          <w:numId w:val="5"/>
        </w:num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最低价法</w:t>
      </w:r>
    </w:p>
    <w:p>
      <w:pPr>
        <w:numPr>
          <w:ilvl w:val="2"/>
          <w:numId w:val="5"/>
        </w:num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性价比法</w:t>
      </w:r>
    </w:p>
    <w:p>
      <w:pPr>
        <w:adjustRightInd w:val="0"/>
        <w:snapToGrid w:val="0"/>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10.3.3.1 邀请邀请招标失败项目少于</w:t>
      </w:r>
      <w:r>
        <w:rPr>
          <w:rFonts w:hint="eastAsia" w:ascii="宋体" w:hAnsi="宋体" w:eastAsia="宋体" w:cs="宋体"/>
          <w:color w:val="000000"/>
          <w:szCs w:val="21"/>
          <w:u w:val="single"/>
        </w:rPr>
        <w:t>3</w:t>
      </w:r>
      <w:r>
        <w:rPr>
          <w:rFonts w:hint="eastAsia" w:ascii="宋体" w:hAnsi="宋体" w:eastAsia="宋体" w:cs="宋体"/>
          <w:color w:val="000000"/>
          <w:szCs w:val="21"/>
        </w:rPr>
        <w:t>家的原谈判供应商进行竞争性谈判；</w:t>
      </w:r>
    </w:p>
    <w:p>
      <w:pPr>
        <w:adjustRightInd w:val="0"/>
        <w:snapToGrid w:val="0"/>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10.3.3.2 推荐不少于</w:t>
      </w:r>
      <w:r>
        <w:rPr>
          <w:rFonts w:hint="eastAsia" w:ascii="宋体" w:hAnsi="宋体" w:eastAsia="宋体" w:cs="宋体"/>
          <w:color w:val="000000"/>
          <w:szCs w:val="21"/>
          <w:u w:val="single"/>
        </w:rPr>
        <w:t>3</w:t>
      </w:r>
      <w:r>
        <w:rPr>
          <w:rFonts w:hint="eastAsia" w:ascii="宋体" w:hAnsi="宋体" w:eastAsia="宋体" w:cs="宋体"/>
          <w:color w:val="000000"/>
          <w:szCs w:val="21"/>
        </w:rPr>
        <w:t>家谈判供应商进行竞争性谈判；</w:t>
      </w:r>
    </w:p>
    <w:p>
      <w:pPr>
        <w:adjustRightInd w:val="0"/>
        <w:snapToGrid w:val="0"/>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10.3.3.3 公开征集谈判供应商进行竞争性谈判；</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 xml:space="preserve">     10.3.4 询价采购；</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 xml:space="preserve">     10.3.5 单一来源谈判。</w:t>
      </w:r>
    </w:p>
    <w:p>
      <w:pPr>
        <w:adjustRightInd w:val="0"/>
        <w:snapToGrid w:val="0"/>
        <w:outlineLvl w:val="1"/>
        <w:rPr>
          <w:rFonts w:hint="eastAsia" w:ascii="宋体" w:hAnsi="宋体" w:eastAsia="宋体" w:cs="宋体"/>
          <w:b/>
          <w:color w:val="000000"/>
          <w:szCs w:val="21"/>
        </w:rPr>
      </w:pPr>
      <w:bookmarkStart w:id="80" w:name="_Toc23479"/>
      <w:bookmarkStart w:id="81" w:name="_Toc25361"/>
      <w:r>
        <w:rPr>
          <w:rFonts w:hint="eastAsia" w:ascii="宋体" w:hAnsi="宋体" w:eastAsia="宋体" w:cs="宋体"/>
          <w:b/>
          <w:color w:val="000000"/>
          <w:szCs w:val="21"/>
        </w:rPr>
        <w:t>11.谈判程序</w:t>
      </w:r>
      <w:bookmarkEnd w:id="80"/>
      <w:bookmarkEnd w:id="81"/>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11.1采取两轮谈判、三次报价方式。</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themeColor="text1"/>
          <w:szCs w:val="21"/>
        </w:rPr>
        <w:t>在谈判中，谈判小组会在每一轮谈判前向所有供应商</w:t>
      </w:r>
      <w:r>
        <w:rPr>
          <w:rFonts w:hint="eastAsia" w:ascii="宋体" w:hAnsi="宋体" w:eastAsia="宋体" w:cs="宋体"/>
          <w:b/>
          <w:color w:val="000000" w:themeColor="text1"/>
          <w:szCs w:val="21"/>
          <w:u w:val="single"/>
        </w:rPr>
        <w:t>公布各供应商最新的承诺及报价排名</w:t>
      </w:r>
      <w:r>
        <w:rPr>
          <w:rFonts w:hint="eastAsia" w:ascii="宋体" w:hAnsi="宋体" w:eastAsia="宋体" w:cs="宋体"/>
          <w:color w:val="000000" w:themeColor="text1"/>
          <w:szCs w:val="21"/>
        </w:rPr>
        <w:t>。谈判小组及有关当事人严格遵循保密原则，任何人不得透露除报价排名外的一切与谈判有关的供应商的技术、价格等影响公平竞争的信息。</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11.2第一轮谈判</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谈判小组按已确定的谈判顺序，与单一供应商分别就符合采购需求、质量和服务等进行谈判，并了解其报价组成情况。</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谈判中，谈判的任何一方不得透露与谈判有关的其它供应商的技术资料、价格与其它信息。</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重点确定谈判样品（每个供应商带有几款不同材质、式样、工艺样品）。</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11.3第二轮谈判</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谈判小组就第一轮谈判后合议，根据第一轮谈判掌握的情况，可对谈判文件进行修改，确定采购内容的详细规格或具体要求，优化采购方案。并明确告知谈判供应商，并给予谈判供应商一定的修正时间。</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谈判小组就修正后的内容与谈判供应商分别谈判。</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11.4最后报价</w:t>
      </w:r>
    </w:p>
    <w:p>
      <w:pPr>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供应商作最后报价，递交谈判小组。谈判小组就谈判内容对谈判供应商评分。按谈判文件规定的评定标准，对供应商提供最后报价及有关承诺进行评审，按照符合采购需求，性价比最高的原则推选成交供应商。</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11.5响应供应商的报价均超过公司的采购上线价格，谈判活动终止。终止后采购人需调整预算或配置标准等，再次组织竞争性谈判或采取其它方式采购。</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11.6谈判工作后，企业管理部根据谈判结果出具谈判报告，推荐成效候选人，报公司批准后确定成交供应商。</w:t>
      </w:r>
    </w:p>
    <w:p>
      <w:pPr>
        <w:pStyle w:val="23"/>
        <w:snapToGrid w:val="0"/>
        <w:spacing w:beforeLines="0" w:afterLines="0" w:line="240" w:lineRule="auto"/>
        <w:outlineLvl w:val="1"/>
        <w:rPr>
          <w:rFonts w:hint="eastAsia" w:ascii="宋体" w:hAnsi="宋体" w:eastAsia="宋体" w:cs="宋体"/>
          <w:color w:val="000000"/>
          <w:sz w:val="21"/>
          <w:szCs w:val="21"/>
        </w:rPr>
      </w:pPr>
      <w:bookmarkStart w:id="82" w:name="_Toc9488"/>
      <w:bookmarkStart w:id="83" w:name="_Toc31351"/>
      <w:bookmarkStart w:id="84" w:name="_Toc142370542"/>
      <w:bookmarkStart w:id="85" w:name="_Toc271798807"/>
      <w:r>
        <w:rPr>
          <w:rFonts w:hint="eastAsia" w:ascii="宋体" w:hAnsi="宋体" w:eastAsia="宋体" w:cs="宋体"/>
          <w:color w:val="000000"/>
          <w:sz w:val="21"/>
          <w:szCs w:val="21"/>
        </w:rPr>
        <w:t>12．名词解释</w:t>
      </w:r>
      <w:bookmarkEnd w:id="82"/>
      <w:bookmarkEnd w:id="83"/>
      <w:bookmarkEnd w:id="84"/>
      <w:bookmarkEnd w:id="85"/>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12.1采购人：深圳市设计之都运营发展有限公司</w:t>
      </w:r>
    </w:p>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12.2 谈判供应商：向采购人提交谈判响应文件的供货商。</w:t>
      </w:r>
    </w:p>
    <w:p>
      <w:pPr>
        <w:rPr>
          <w:rFonts w:hint="eastAsia" w:ascii="宋体" w:hAnsi="宋体" w:eastAsia="宋体" w:cs="宋体"/>
          <w:color w:val="000000"/>
        </w:rPr>
      </w:pPr>
    </w:p>
    <w:p>
      <w:pPr>
        <w:adjustRightInd w:val="0"/>
        <w:snapToGrid w:val="0"/>
        <w:rPr>
          <w:rFonts w:hint="eastAsia" w:ascii="宋体" w:hAnsi="宋体" w:eastAsia="宋体" w:cs="宋体"/>
          <w:color w:val="000000"/>
        </w:rPr>
      </w:pPr>
    </w:p>
    <w:p>
      <w:pPr>
        <w:rPr>
          <w:rFonts w:hint="eastAsia" w:ascii="宋体" w:hAnsi="宋体" w:eastAsia="宋体" w:cs="宋体"/>
          <w:b/>
          <w:sz w:val="44"/>
          <w:szCs w:val="44"/>
        </w:rPr>
      </w:pPr>
      <w:bookmarkStart w:id="86" w:name="_Toc271798808"/>
      <w:r>
        <w:rPr>
          <w:rFonts w:hint="eastAsia" w:ascii="宋体" w:hAnsi="宋体" w:eastAsia="宋体" w:cs="宋体"/>
          <w:b/>
          <w:sz w:val="44"/>
          <w:szCs w:val="44"/>
        </w:rPr>
        <w:br w:type="page"/>
      </w:r>
    </w:p>
    <w:p>
      <w:pPr>
        <w:pStyle w:val="3"/>
        <w:numPr>
          <w:ilvl w:val="0"/>
          <w:numId w:val="1"/>
        </w:numPr>
        <w:spacing w:line="240" w:lineRule="auto"/>
        <w:jc w:val="center"/>
        <w:rPr>
          <w:rFonts w:hint="eastAsia" w:ascii="宋体" w:hAnsi="宋体" w:eastAsia="宋体" w:cs="宋体"/>
        </w:rPr>
      </w:pPr>
      <w:bookmarkStart w:id="87" w:name="_Toc20300"/>
      <w:r>
        <w:rPr>
          <w:rFonts w:hint="eastAsia" w:ascii="宋体" w:hAnsi="宋体" w:eastAsia="宋体" w:cs="宋体"/>
        </w:rPr>
        <w:t>用户需求</w:t>
      </w:r>
      <w:bookmarkEnd w:id="86"/>
      <w:r>
        <w:rPr>
          <w:rFonts w:hint="eastAsia" w:ascii="宋体" w:hAnsi="宋体" w:eastAsia="宋体" w:cs="宋体"/>
        </w:rPr>
        <w:t>书</w:t>
      </w:r>
      <w:bookmarkEnd w:id="87"/>
    </w:p>
    <w:p>
      <w:pPr>
        <w:numPr>
          <w:ilvl w:val="1"/>
          <w:numId w:val="6"/>
        </w:numPr>
        <w:jc w:val="center"/>
        <w:outlineLvl w:val="1"/>
        <w:rPr>
          <w:rFonts w:hint="eastAsia" w:ascii="宋体" w:hAnsi="宋体" w:eastAsia="宋体" w:cs="宋体"/>
          <w:color w:val="000000" w:themeColor="text1"/>
          <w:sz w:val="28"/>
          <w:szCs w:val="28"/>
        </w:rPr>
      </w:pPr>
      <w:bookmarkStart w:id="88" w:name="_Toc1472"/>
      <w:r>
        <w:rPr>
          <w:rFonts w:hint="eastAsia" w:ascii="宋体" w:hAnsi="宋体" w:eastAsia="宋体" w:cs="宋体"/>
          <w:color w:val="000000" w:themeColor="text1"/>
          <w:sz w:val="28"/>
          <w:szCs w:val="28"/>
        </w:rPr>
        <w:t>商务要求</w:t>
      </w:r>
      <w:bookmarkEnd w:id="88"/>
    </w:p>
    <w:p>
      <w:pPr>
        <w:numPr>
          <w:ilvl w:val="0"/>
          <w:numId w:val="7"/>
        </w:numPr>
        <w:rPr>
          <w:rFonts w:hint="eastAsia" w:ascii="宋体" w:hAnsi="宋体" w:eastAsia="宋体" w:cs="宋体"/>
          <w:b/>
          <w:color w:val="000000" w:themeColor="text1"/>
          <w:szCs w:val="21"/>
        </w:rPr>
      </w:pPr>
      <w:r>
        <w:rPr>
          <w:rFonts w:hint="eastAsia" w:ascii="宋体" w:hAnsi="宋体" w:eastAsia="宋体" w:cs="宋体"/>
          <w:color w:val="000000"/>
          <w:szCs w:val="21"/>
        </w:rPr>
        <w:t>★</w:t>
      </w:r>
      <w:r>
        <w:rPr>
          <w:rFonts w:hint="eastAsia" w:ascii="宋体" w:hAnsi="宋体" w:eastAsia="宋体" w:cs="宋体"/>
          <w:b/>
          <w:color w:val="000000" w:themeColor="text1"/>
          <w:szCs w:val="21"/>
        </w:rPr>
        <w:t>资格标准：</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（谈判供应商编制的谈判响应文件中须包含以下资格证明文件）</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*1.1、谈判供应商法人代表证明书；</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*1.2、谈判供应商法人代表授权书；</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*1.3、谈判供应商必须是在中华人民共和国境内注册并合法运作的独立法人机构。谈判供应商须提供营业执照副本的复印件（加盖公章）。</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*1.5、投标供应商应根据对项目的具体要求提交应标方案、设备清单（包括技术规格）和单项价格及总体价格。</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*1.6、投标单位要求是有多年从事本行业的专业公司，须具有相当的工作经验和工程案例，须提交2021年1月1日至今同类或同等规模相关项目合同或中标通知书或验收报告（复印件加盖公章）。</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*1.7、公司社保参保证明；</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*1.8、近三年财务报表/审计报告/所得税汇算清缴报表（纳税申报表），投标人成立不足三年的可从成立之日起，加盖公章的复印件；</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*1.9、近三年经营业绩简介（投标人成立不足三年的可从成立之日起）；</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*1.10、谈判供应商必须具有实施本项目所需能力，在国内具有良好的服务记录、项目实例和信誉。</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*1.11、各谈判供应商必须提供全新、符合标准的设备。</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r>
        <w:rPr>
          <w:rFonts w:hint="eastAsia" w:ascii="宋体" w:hAnsi="宋体" w:eastAsia="宋体" w:cs="宋体"/>
          <w:color w:val="000000" w:themeColor="text1"/>
          <w:szCs w:val="21"/>
        </w:rPr>
        <w:t>*1.12、本项目不接受联合体投标。</w:t>
      </w:r>
    </w:p>
    <w:p>
      <w:pPr>
        <w:rPr>
          <w:rFonts w:hint="eastAsia" w:ascii="宋体" w:hAnsi="宋体" w:eastAsia="宋体" w:cs="宋体"/>
          <w:color w:val="000000" w:themeColor="text1"/>
          <w:szCs w:val="21"/>
        </w:rPr>
      </w:pPr>
    </w:p>
    <w:p>
      <w:pPr>
        <w:numPr>
          <w:ilvl w:val="0"/>
          <w:numId w:val="7"/>
        </w:numPr>
        <w:rPr>
          <w:rFonts w:hint="eastAsia" w:ascii="宋体" w:hAnsi="宋体" w:eastAsia="宋体" w:cs="宋体"/>
          <w:b/>
          <w:bCs/>
          <w:color w:val="000000"/>
          <w:szCs w:val="21"/>
        </w:rPr>
      </w:pPr>
      <w:r>
        <w:rPr>
          <w:rFonts w:hint="eastAsia" w:ascii="宋体" w:hAnsi="宋体" w:eastAsia="宋体" w:cs="宋体"/>
          <w:b/>
          <w:bCs/>
          <w:color w:val="000000"/>
          <w:szCs w:val="21"/>
        </w:rPr>
        <w:t>项目工期及地点：</w:t>
      </w:r>
    </w:p>
    <w:p>
      <w:pPr>
        <w:tabs>
          <w:tab w:val="left" w:pos="945"/>
        </w:tabs>
        <w:autoSpaceDE w:val="0"/>
        <w:autoSpaceDN w:val="0"/>
        <w:adjustRightInd w:val="0"/>
        <w:ind w:firstLine="422" w:firstLineChars="200"/>
        <w:jc w:val="left"/>
        <w:textAlignment w:val="baseline"/>
        <w:rPr>
          <w:rFonts w:hint="eastAsia" w:ascii="宋体" w:hAnsi="宋体" w:eastAsia="宋体" w:cs="宋体"/>
          <w:b/>
          <w:color w:val="FF0000"/>
          <w:szCs w:val="21"/>
        </w:rPr>
      </w:pPr>
      <w:r>
        <w:rPr>
          <w:rFonts w:hint="eastAsia" w:ascii="宋体" w:hAnsi="宋体" w:eastAsia="宋体" w:cs="宋体"/>
          <w:b/>
          <w:color w:val="FF0000"/>
          <w:szCs w:val="21"/>
        </w:rPr>
        <w:t>*确定中标后，中标人组织项目实施。</w:t>
      </w:r>
    </w:p>
    <w:p>
      <w:pPr>
        <w:rPr>
          <w:rFonts w:hint="eastAsia" w:ascii="宋体" w:hAnsi="宋体" w:eastAsia="宋体" w:cs="宋体"/>
        </w:rPr>
      </w:pPr>
      <w:r>
        <w:rPr>
          <w:rFonts w:hint="eastAsia" w:ascii="宋体" w:hAnsi="宋体" w:eastAsia="宋体" w:cs="宋体"/>
        </w:rPr>
        <w:t>（一）项目名称：第十三届深圳动漫节世纪汇购物中心动漫联名活动美陈搭建及物料制作项目。</w:t>
      </w:r>
    </w:p>
    <w:p>
      <w:pPr>
        <w:rPr>
          <w:rFonts w:hint="eastAsia" w:ascii="宋体" w:hAnsi="宋体" w:eastAsia="宋体" w:cs="宋体"/>
        </w:rPr>
      </w:pPr>
      <w:r>
        <w:rPr>
          <w:rFonts w:hint="eastAsia" w:ascii="宋体" w:hAnsi="宋体" w:eastAsia="宋体" w:cs="宋体"/>
        </w:rPr>
        <w:t>（二）项目地点：深圳世纪汇购物中心</w:t>
      </w:r>
    </w:p>
    <w:p>
      <w:pPr>
        <w:rPr>
          <w:rFonts w:hint="eastAsia" w:ascii="宋体" w:hAnsi="宋体" w:eastAsia="宋体" w:cs="宋体"/>
        </w:rPr>
      </w:pPr>
      <w:r>
        <w:rPr>
          <w:rFonts w:hint="eastAsia" w:ascii="宋体" w:hAnsi="宋体" w:eastAsia="宋体" w:cs="宋体"/>
        </w:rPr>
        <w:t>（三）布、撤展时间安排</w:t>
      </w:r>
    </w:p>
    <w:tbl>
      <w:tblPr>
        <w:tblStyle w:val="1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473"/>
        <w:gridCol w:w="1356"/>
        <w:gridCol w:w="175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rPr>
                <w:rFonts w:hint="eastAsia" w:ascii="宋体" w:hAnsi="宋体" w:eastAsia="宋体" w:cs="宋体"/>
              </w:rPr>
            </w:pPr>
            <w:r>
              <w:rPr>
                <w:rFonts w:hint="eastAsia" w:ascii="宋体" w:hAnsi="宋体" w:eastAsia="宋体" w:cs="宋体"/>
              </w:rPr>
              <w:t>布撤展</w:t>
            </w:r>
          </w:p>
        </w:tc>
        <w:tc>
          <w:tcPr>
            <w:tcW w:w="2473" w:type="dxa"/>
          </w:tcPr>
          <w:p>
            <w:pPr>
              <w:rPr>
                <w:rFonts w:hint="eastAsia" w:ascii="宋体" w:hAnsi="宋体" w:eastAsia="宋体" w:cs="宋体"/>
              </w:rPr>
            </w:pPr>
            <w:r>
              <w:rPr>
                <w:rFonts w:hint="eastAsia" w:ascii="宋体" w:hAnsi="宋体" w:eastAsia="宋体" w:cs="宋体"/>
              </w:rPr>
              <w:t>工作日期</w:t>
            </w:r>
          </w:p>
        </w:tc>
        <w:tc>
          <w:tcPr>
            <w:tcW w:w="1356" w:type="dxa"/>
          </w:tcPr>
          <w:p>
            <w:pPr>
              <w:rPr>
                <w:rFonts w:hint="eastAsia" w:ascii="宋体" w:hAnsi="宋体" w:eastAsia="宋体" w:cs="宋体"/>
              </w:rPr>
            </w:pPr>
            <w:r>
              <w:rPr>
                <w:rFonts w:hint="eastAsia" w:ascii="宋体" w:hAnsi="宋体" w:eastAsia="宋体" w:cs="宋体"/>
              </w:rPr>
              <w:t>项目地点</w:t>
            </w:r>
          </w:p>
        </w:tc>
        <w:tc>
          <w:tcPr>
            <w:tcW w:w="1750" w:type="dxa"/>
          </w:tcPr>
          <w:p>
            <w:pPr>
              <w:rPr>
                <w:rFonts w:hint="eastAsia" w:ascii="宋体" w:hAnsi="宋体" w:eastAsia="宋体" w:cs="宋体"/>
              </w:rPr>
            </w:pPr>
            <w:r>
              <w:rPr>
                <w:rFonts w:hint="eastAsia" w:ascii="宋体" w:hAnsi="宋体" w:eastAsia="宋体" w:cs="宋体"/>
              </w:rPr>
              <w:t>工作时间</w:t>
            </w:r>
          </w:p>
        </w:tc>
        <w:tc>
          <w:tcPr>
            <w:tcW w:w="1468" w:type="dxa"/>
          </w:tcPr>
          <w:p>
            <w:pPr>
              <w:rPr>
                <w:rFonts w:hint="eastAsia" w:ascii="宋体" w:hAnsi="宋体" w:eastAsia="宋体" w:cs="宋体"/>
              </w:rPr>
            </w:pPr>
            <w:r>
              <w:rPr>
                <w:rFonts w:hint="eastAsia" w:ascii="宋体" w:hAnsi="宋体" w:eastAsia="宋体" w:cs="宋体"/>
              </w:rPr>
              <w:t>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rPr>
                <w:rFonts w:hint="eastAsia" w:ascii="宋体" w:hAnsi="宋体" w:eastAsia="宋体" w:cs="宋体"/>
              </w:rPr>
            </w:pPr>
            <w:r>
              <w:rPr>
                <w:rFonts w:hint="eastAsia" w:ascii="宋体" w:hAnsi="宋体" w:eastAsia="宋体" w:cs="宋体"/>
              </w:rPr>
              <w:t>布展</w:t>
            </w:r>
          </w:p>
        </w:tc>
        <w:tc>
          <w:tcPr>
            <w:tcW w:w="2473" w:type="dxa"/>
            <w:vAlign w:val="center"/>
          </w:tcPr>
          <w:p>
            <w:pPr>
              <w:rPr>
                <w:rFonts w:hint="eastAsia" w:ascii="宋体" w:hAnsi="宋体" w:eastAsia="宋体" w:cs="宋体"/>
              </w:rPr>
            </w:pPr>
            <w:r>
              <w:rPr>
                <w:rFonts w:hint="eastAsia" w:ascii="宋体" w:hAnsi="宋体" w:eastAsia="宋体" w:cs="宋体"/>
              </w:rPr>
              <w:t>2024年7月10日-12日08:00前完成</w:t>
            </w:r>
          </w:p>
        </w:tc>
        <w:tc>
          <w:tcPr>
            <w:tcW w:w="1356" w:type="dxa"/>
            <w:vAlign w:val="center"/>
          </w:tcPr>
          <w:p>
            <w:pPr>
              <w:rPr>
                <w:rFonts w:hint="eastAsia" w:ascii="宋体" w:hAnsi="宋体" w:eastAsia="宋体" w:cs="宋体"/>
              </w:rPr>
            </w:pPr>
            <w:r>
              <w:rPr>
                <w:rFonts w:hint="eastAsia" w:ascii="宋体" w:hAnsi="宋体" w:eastAsia="宋体" w:cs="宋体"/>
              </w:rPr>
              <w:t>深圳世纪汇购物中心</w:t>
            </w:r>
          </w:p>
        </w:tc>
        <w:tc>
          <w:tcPr>
            <w:tcW w:w="1750" w:type="dxa"/>
          </w:tcPr>
          <w:p>
            <w:pPr>
              <w:rPr>
                <w:rFonts w:hint="eastAsia" w:ascii="宋体" w:hAnsi="宋体" w:eastAsia="宋体" w:cs="宋体"/>
              </w:rPr>
            </w:pPr>
            <w:r>
              <w:rPr>
                <w:rFonts w:hint="eastAsia" w:ascii="宋体" w:hAnsi="宋体" w:eastAsia="宋体" w:cs="宋体"/>
              </w:rPr>
              <w:t>2024年7月10日-12日08:00前完成</w:t>
            </w:r>
          </w:p>
        </w:tc>
        <w:tc>
          <w:tcPr>
            <w:tcW w:w="1468" w:type="dxa"/>
            <w:vAlign w:val="center"/>
          </w:tcPr>
          <w:p>
            <w:pPr>
              <w:rPr>
                <w:rFonts w:hint="eastAsia" w:ascii="宋体" w:hAnsi="宋体" w:eastAsia="宋体" w:cs="宋体"/>
              </w:rPr>
            </w:pPr>
            <w:r>
              <w:rPr>
                <w:rFonts w:hint="eastAsia" w:ascii="宋体" w:hAnsi="宋体" w:eastAsia="宋体" w:cs="宋体"/>
              </w:rPr>
              <w:t>星期三-星期五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rPr>
                <w:rFonts w:hint="eastAsia" w:ascii="宋体" w:hAnsi="宋体" w:eastAsia="宋体" w:cs="宋体"/>
              </w:rPr>
            </w:pPr>
            <w:r>
              <w:rPr>
                <w:rFonts w:hint="eastAsia" w:ascii="宋体" w:hAnsi="宋体" w:eastAsia="宋体" w:cs="宋体"/>
              </w:rPr>
              <w:t>撤展</w:t>
            </w:r>
          </w:p>
        </w:tc>
        <w:tc>
          <w:tcPr>
            <w:tcW w:w="2473" w:type="dxa"/>
            <w:vAlign w:val="center"/>
          </w:tcPr>
          <w:p>
            <w:pPr>
              <w:rPr>
                <w:rFonts w:hint="eastAsia" w:ascii="宋体" w:hAnsi="宋体" w:eastAsia="宋体" w:cs="宋体"/>
              </w:rPr>
            </w:pPr>
            <w:r>
              <w:rPr>
                <w:rFonts w:hint="eastAsia" w:ascii="宋体" w:hAnsi="宋体" w:eastAsia="宋体" w:cs="宋体"/>
              </w:rPr>
              <w:t>2024年8月31日-9月1日</w:t>
            </w:r>
          </w:p>
        </w:tc>
        <w:tc>
          <w:tcPr>
            <w:tcW w:w="1356" w:type="dxa"/>
            <w:vAlign w:val="center"/>
          </w:tcPr>
          <w:p>
            <w:pPr>
              <w:rPr>
                <w:rFonts w:hint="eastAsia" w:ascii="宋体" w:hAnsi="宋体" w:eastAsia="宋体" w:cs="宋体"/>
              </w:rPr>
            </w:pPr>
            <w:r>
              <w:rPr>
                <w:rFonts w:hint="eastAsia" w:ascii="宋体" w:hAnsi="宋体" w:eastAsia="宋体" w:cs="宋体"/>
              </w:rPr>
              <w:t>深圳世纪汇购物中心</w:t>
            </w:r>
          </w:p>
        </w:tc>
        <w:tc>
          <w:tcPr>
            <w:tcW w:w="1750" w:type="dxa"/>
          </w:tcPr>
          <w:p>
            <w:pPr>
              <w:rPr>
                <w:rFonts w:hint="eastAsia" w:ascii="宋体" w:hAnsi="宋体" w:eastAsia="宋体" w:cs="宋体"/>
              </w:rPr>
            </w:pPr>
            <w:r>
              <w:rPr>
                <w:rFonts w:hint="eastAsia" w:ascii="宋体" w:hAnsi="宋体" w:eastAsia="宋体" w:cs="宋体"/>
              </w:rPr>
              <w:t>22:00-08:00(撤展施工人员进馆时间为 17:30)</w:t>
            </w:r>
          </w:p>
        </w:tc>
        <w:tc>
          <w:tcPr>
            <w:tcW w:w="1468" w:type="dxa"/>
            <w:vAlign w:val="center"/>
          </w:tcPr>
          <w:p>
            <w:pPr>
              <w:rPr>
                <w:rFonts w:hint="eastAsia" w:ascii="宋体" w:hAnsi="宋体" w:eastAsia="宋体" w:cs="宋体"/>
              </w:rPr>
            </w:pPr>
            <w:r>
              <w:rPr>
                <w:rFonts w:hint="eastAsia" w:ascii="宋体" w:hAnsi="宋体" w:eastAsia="宋体" w:cs="宋体"/>
              </w:rPr>
              <w:t>星期六</w:t>
            </w:r>
          </w:p>
        </w:tc>
      </w:tr>
    </w:tbl>
    <w:p>
      <w:pPr>
        <w:rPr>
          <w:rFonts w:hint="eastAsia" w:ascii="宋体" w:hAnsi="宋体" w:eastAsia="宋体" w:cs="宋体"/>
        </w:rPr>
      </w:pPr>
      <w:r>
        <w:rPr>
          <w:rFonts w:hint="eastAsia" w:ascii="宋体" w:hAnsi="宋体" w:eastAsia="宋体" w:cs="宋体"/>
        </w:rPr>
        <w:t>(以上时间仅供参考，具体时间以现场大会组委会通知为准)</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p>
    <w:p>
      <w:pPr>
        <w:numPr>
          <w:ilvl w:val="0"/>
          <w:numId w:val="7"/>
        </w:numPr>
        <w:rPr>
          <w:rFonts w:hint="eastAsia" w:ascii="宋体" w:hAnsi="宋体" w:eastAsia="宋体" w:cs="宋体"/>
          <w:b/>
          <w:bCs/>
          <w:color w:val="000000"/>
          <w:szCs w:val="21"/>
        </w:rPr>
      </w:pPr>
      <w:r>
        <w:rPr>
          <w:rFonts w:hint="eastAsia" w:ascii="宋体" w:hAnsi="宋体" w:eastAsia="宋体" w:cs="宋体"/>
          <w:b/>
          <w:bCs/>
          <w:color w:val="000000"/>
          <w:szCs w:val="21"/>
        </w:rPr>
        <w:t>*付款方法：</w:t>
      </w:r>
    </w:p>
    <w:p>
      <w:pPr>
        <w:tabs>
          <w:tab w:val="left" w:pos="945"/>
        </w:tabs>
        <w:autoSpaceDE w:val="0"/>
        <w:autoSpaceDN w:val="0"/>
        <w:adjustRightInd w:val="0"/>
        <w:ind w:firstLine="420" w:firstLineChars="200"/>
        <w:jc w:val="left"/>
        <w:textAlignment w:val="baseline"/>
        <w:rPr>
          <w:rFonts w:hint="eastAsia" w:ascii="宋体" w:hAnsi="宋体" w:eastAsia="宋体" w:cs="宋体"/>
          <w:bCs/>
          <w:szCs w:val="21"/>
          <w:u w:val="single"/>
        </w:rPr>
      </w:pPr>
      <w:r>
        <w:rPr>
          <w:rFonts w:hint="eastAsia" w:ascii="宋体" w:hAnsi="宋体" w:eastAsia="宋体" w:cs="宋体"/>
          <w:bCs/>
          <w:szCs w:val="21"/>
          <w:u w:val="single"/>
        </w:rPr>
        <w:t>合同签署后十个工作日内支付 10%，项目开始前五个工作日内支付 50%，项目完成后，经甲方验收及履约评价考核后（具体履约评价要求见附件）书面签字确认，十五个工作日内，根据履约考核情况，向乙方支付对应的合同尾款。</w:t>
      </w:r>
      <w:r>
        <w:rPr>
          <w:rFonts w:hint="eastAsia" w:ascii="宋体" w:hAnsi="宋体" w:eastAsia="宋体" w:cs="宋体"/>
          <w:b/>
          <w:bCs w:val="0"/>
          <w:color w:val="FF0000"/>
          <w:szCs w:val="21"/>
          <w:u w:val="single"/>
          <w:lang w:eastAsia="zh-CN"/>
        </w:rPr>
        <w:t>（</w:t>
      </w:r>
      <w:r>
        <w:rPr>
          <w:rFonts w:hint="eastAsia" w:ascii="宋体" w:hAnsi="宋体" w:eastAsia="宋体" w:cs="宋体"/>
          <w:b/>
          <w:bCs w:val="0"/>
          <w:color w:val="FF0000"/>
          <w:szCs w:val="21"/>
          <w:u w:val="single"/>
          <w:lang w:val="en-US" w:eastAsia="zh-CN"/>
        </w:rPr>
        <w:t>付款方式</w:t>
      </w:r>
      <w:r>
        <w:rPr>
          <w:rFonts w:hint="eastAsia" w:ascii="宋体" w:hAnsi="宋体" w:eastAsia="宋体" w:cs="宋体"/>
          <w:b/>
          <w:bCs w:val="0"/>
          <w:color w:val="FF0000"/>
          <w:szCs w:val="21"/>
          <w:u w:val="single"/>
        </w:rPr>
        <w:t>以最终签订的合同为准</w:t>
      </w:r>
      <w:r>
        <w:rPr>
          <w:rFonts w:hint="eastAsia" w:ascii="宋体" w:hAnsi="宋体" w:eastAsia="宋体" w:cs="宋体"/>
          <w:b/>
          <w:bCs w:val="0"/>
          <w:color w:val="FF0000"/>
          <w:szCs w:val="21"/>
          <w:u w:val="single"/>
          <w:lang w:eastAsia="zh-CN"/>
        </w:rPr>
        <w:t>）</w:t>
      </w:r>
      <w:r>
        <w:rPr>
          <w:rFonts w:hint="eastAsia" w:ascii="宋体" w:hAnsi="宋体" w:eastAsia="宋体" w:cs="宋体"/>
          <w:bCs/>
          <w:szCs w:val="21"/>
          <w:u w:val="single"/>
          <w:lang w:eastAsia="zh-CN"/>
        </w:rPr>
        <w:t>。</w:t>
      </w:r>
    </w:p>
    <w:p>
      <w:pPr>
        <w:tabs>
          <w:tab w:val="left" w:pos="945"/>
        </w:tabs>
        <w:autoSpaceDE w:val="0"/>
        <w:autoSpaceDN w:val="0"/>
        <w:adjustRightInd w:val="0"/>
        <w:ind w:firstLine="420" w:firstLineChars="200"/>
        <w:jc w:val="left"/>
        <w:textAlignment w:val="baseline"/>
        <w:rPr>
          <w:rFonts w:hint="eastAsia" w:ascii="宋体" w:hAnsi="宋体" w:eastAsia="宋体" w:cs="宋体"/>
          <w:bCs/>
          <w:szCs w:val="21"/>
          <w:u w:val="single"/>
        </w:rPr>
      </w:pPr>
      <w:r>
        <w:rPr>
          <w:rFonts w:hint="eastAsia" w:ascii="宋体" w:hAnsi="宋体" w:eastAsia="宋体" w:cs="宋体"/>
          <w:bCs/>
          <w:szCs w:val="21"/>
          <w:u w:val="single"/>
        </w:rPr>
        <w:t>（必需提供增值税专用发票）</w:t>
      </w:r>
    </w:p>
    <w:p>
      <w:pPr>
        <w:tabs>
          <w:tab w:val="left" w:pos="945"/>
        </w:tabs>
        <w:autoSpaceDE w:val="0"/>
        <w:autoSpaceDN w:val="0"/>
        <w:adjustRightInd w:val="0"/>
        <w:ind w:firstLine="420" w:firstLineChars="200"/>
        <w:textAlignment w:val="baseline"/>
        <w:rPr>
          <w:rFonts w:hint="eastAsia" w:ascii="宋体" w:hAnsi="宋体" w:eastAsia="宋体" w:cs="宋体"/>
          <w:bCs/>
          <w:szCs w:val="21"/>
          <w:u w:val="single"/>
        </w:rPr>
      </w:pPr>
      <w:r>
        <w:rPr>
          <w:rFonts w:hint="eastAsia" w:ascii="宋体" w:hAnsi="宋体" w:eastAsia="宋体" w:cs="宋体"/>
          <w:bCs/>
          <w:szCs w:val="21"/>
          <w:u w:val="single"/>
        </w:rPr>
        <w:t>注：上述费用为含税价，包括活动相关所有费用。供应商报价时需单列增值税率。</w:t>
      </w:r>
    </w:p>
    <w:p>
      <w:pPr>
        <w:pStyle w:val="2"/>
        <w:spacing w:line="240" w:lineRule="auto"/>
        <w:rPr>
          <w:rFonts w:hint="eastAsia" w:ascii="宋体" w:hAnsi="宋体" w:eastAsia="宋体" w:cs="宋体"/>
          <w:sz w:val="21"/>
          <w:szCs w:val="21"/>
        </w:rPr>
      </w:pPr>
    </w:p>
    <w:p>
      <w:pPr>
        <w:numPr>
          <w:ilvl w:val="0"/>
          <w:numId w:val="7"/>
        </w:numPr>
        <w:rPr>
          <w:rFonts w:hint="eastAsia" w:ascii="宋体" w:hAnsi="宋体" w:eastAsia="宋体" w:cs="宋体"/>
          <w:color w:val="000000"/>
          <w:szCs w:val="21"/>
        </w:rPr>
      </w:pPr>
      <w:r>
        <w:rPr>
          <w:rFonts w:hint="eastAsia" w:ascii="宋体" w:hAnsi="宋体" w:eastAsia="宋体" w:cs="宋体"/>
          <w:color w:val="000000"/>
          <w:szCs w:val="21"/>
        </w:rPr>
        <w:t>*.履约评价考核：</w:t>
      </w:r>
    </w:p>
    <w:p>
      <w:pPr>
        <w:pStyle w:val="2"/>
        <w:numPr>
          <w:ilvl w:val="0"/>
          <w:numId w:val="8"/>
        </w:numPr>
        <w:spacing w:line="240" w:lineRule="auto"/>
        <w:rPr>
          <w:rFonts w:hint="eastAsia" w:ascii="宋体" w:hAnsi="宋体" w:eastAsia="宋体" w:cs="宋体"/>
          <w:sz w:val="21"/>
          <w:szCs w:val="21"/>
        </w:rPr>
      </w:pPr>
      <w:r>
        <w:rPr>
          <w:rFonts w:hint="eastAsia" w:ascii="宋体" w:hAnsi="宋体" w:eastAsia="宋体" w:cs="宋体"/>
          <w:sz w:val="21"/>
          <w:szCs w:val="21"/>
        </w:rPr>
        <w:t>履约评价考核方式：</w:t>
      </w:r>
    </w:p>
    <w:p>
      <w:pPr>
        <w:pStyle w:val="2"/>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完成本合同项下全部服务事项后20个工作日内向甲方提交项目结算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乙方履约评价考核按下表执行，其中履约评价考核得分在60分以下（不含本数）者为不合格：</w:t>
      </w:r>
    </w:p>
    <w:tbl>
      <w:tblPr>
        <w:tblStyle w:val="15"/>
        <w:tblW w:w="8978" w:type="dxa"/>
        <w:tblInd w:w="0" w:type="dxa"/>
        <w:tblLayout w:type="fixed"/>
        <w:tblCellMar>
          <w:top w:w="0" w:type="dxa"/>
          <w:left w:w="108" w:type="dxa"/>
          <w:bottom w:w="0" w:type="dxa"/>
          <w:right w:w="108" w:type="dxa"/>
        </w:tblCellMar>
      </w:tblPr>
      <w:tblGrid>
        <w:gridCol w:w="1598"/>
        <w:gridCol w:w="4279"/>
        <w:gridCol w:w="3101"/>
      </w:tblGrid>
      <w:tr>
        <w:tblPrEx>
          <w:tblCellMar>
            <w:top w:w="0" w:type="dxa"/>
            <w:left w:w="108" w:type="dxa"/>
            <w:bottom w:w="0" w:type="dxa"/>
            <w:right w:w="108" w:type="dxa"/>
          </w:tblCellMar>
        </w:tblPrEx>
        <w:trPr>
          <w:trHeight w:val="463" w:hRule="atLeast"/>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履约评价得分</w:t>
            </w:r>
          </w:p>
        </w:tc>
        <w:tc>
          <w:tcPr>
            <w:tcW w:w="2383"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对应支付的合同尾款</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306" w:hRule="atLeast"/>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80分以上（含80分）</w:t>
            </w:r>
          </w:p>
        </w:tc>
        <w:tc>
          <w:tcPr>
            <w:tcW w:w="2383"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剩余尾款全额支付</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799" w:hRule="atLeast"/>
        </w:trPr>
        <w:tc>
          <w:tcPr>
            <w:tcW w:w="889" w:type="pct"/>
            <w:tcBorders>
              <w:top w:val="single" w:color="000000" w:sz="4" w:space="0"/>
              <w:left w:val="single" w:color="000000" w:sz="4" w:space="0"/>
              <w:right w:val="single" w:color="000000" w:sz="4" w:space="0"/>
            </w:tcBorders>
            <w:noWrap/>
            <w:vAlign w:val="center"/>
          </w:tcPr>
          <w:p>
            <w:pPr>
              <w:adjustRightInd w:val="0"/>
              <w:jc w:val="center"/>
              <w:rPr>
                <w:rFonts w:hint="eastAsia" w:ascii="宋体" w:hAnsi="宋体" w:eastAsia="宋体" w:cs="宋体"/>
                <w:szCs w:val="21"/>
              </w:rPr>
            </w:pPr>
            <w:r>
              <w:rPr>
                <w:rFonts w:hint="eastAsia" w:ascii="宋体" w:hAnsi="宋体" w:eastAsia="宋体" w:cs="宋体"/>
                <w:szCs w:val="21"/>
              </w:rPr>
              <w:t>60分以上，80分以下</w:t>
            </w:r>
          </w:p>
        </w:tc>
        <w:tc>
          <w:tcPr>
            <w:tcW w:w="2383" w:type="pct"/>
            <w:tcBorders>
              <w:top w:val="single" w:color="000000" w:sz="4" w:space="0"/>
              <w:left w:val="nil"/>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以80分为基准，履约评价实际得分每少1分，对应扣减合同总价款的1%，扣除后结算余款</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w:t>
            </w:r>
          </w:p>
          <w:p>
            <w:pPr>
              <w:adjustRightInd w:val="0"/>
              <w:rPr>
                <w:rFonts w:hint="eastAsia" w:ascii="宋体" w:hAnsi="宋体" w:eastAsia="宋体" w:cs="宋体"/>
                <w:szCs w:val="21"/>
              </w:rPr>
            </w:pPr>
          </w:p>
        </w:tc>
      </w:tr>
      <w:tr>
        <w:tblPrEx>
          <w:tblCellMar>
            <w:top w:w="0" w:type="dxa"/>
            <w:left w:w="108" w:type="dxa"/>
            <w:bottom w:w="0" w:type="dxa"/>
            <w:right w:w="108" w:type="dxa"/>
          </w:tblCellMar>
        </w:tblPrEx>
        <w:trPr>
          <w:trHeight w:val="472" w:hRule="atLeast"/>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60分以下</w:t>
            </w:r>
          </w:p>
        </w:tc>
        <w:tc>
          <w:tcPr>
            <w:tcW w:w="2383"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Fonts w:hint="eastAsia" w:ascii="宋体" w:hAnsi="宋体" w:eastAsia="宋体" w:cs="宋体"/>
                <w:szCs w:val="21"/>
              </w:rPr>
              <w:t>不付尾款（不合格）</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hint="eastAsia" w:ascii="宋体" w:hAnsi="宋体" w:eastAsia="宋体" w:cs="宋体"/>
                <w:szCs w:val="21"/>
              </w:rPr>
            </w:pPr>
            <w:r>
              <w:rPr>
                <w:rStyle w:val="19"/>
                <w:rFonts w:hint="eastAsia" w:ascii="宋体" w:hAnsi="宋体" w:eastAsia="宋体" w:cs="宋体"/>
              </w:rPr>
              <w:t>并被剔除供应商库</w:t>
            </w:r>
          </w:p>
        </w:tc>
      </w:tr>
    </w:tbl>
    <w:p>
      <w:pPr>
        <w:pStyle w:val="2"/>
        <w:spacing w:line="240" w:lineRule="auto"/>
        <w:rPr>
          <w:rFonts w:hint="eastAsia" w:ascii="宋体" w:hAnsi="宋体" w:eastAsia="宋体" w:cs="宋体"/>
          <w:sz w:val="21"/>
          <w:szCs w:val="21"/>
        </w:rPr>
      </w:pPr>
    </w:p>
    <w:p>
      <w:pPr>
        <w:pStyle w:val="2"/>
        <w:numPr>
          <w:ilvl w:val="0"/>
          <w:numId w:val="8"/>
        </w:numPr>
        <w:spacing w:line="240" w:lineRule="auto"/>
        <w:rPr>
          <w:rFonts w:hint="eastAsia" w:ascii="宋体" w:hAnsi="宋体" w:eastAsia="宋体" w:cs="宋体"/>
          <w:sz w:val="21"/>
          <w:szCs w:val="21"/>
        </w:rPr>
      </w:pPr>
      <w:r>
        <w:rPr>
          <w:rFonts w:hint="eastAsia" w:ascii="宋体" w:hAnsi="宋体" w:eastAsia="宋体" w:cs="宋体"/>
          <w:sz w:val="21"/>
          <w:szCs w:val="21"/>
        </w:rPr>
        <w:t>履约评价管理办法：</w:t>
      </w:r>
    </w:p>
    <w:p>
      <w:pPr>
        <w:pStyle w:val="2"/>
        <w:numPr>
          <w:ilvl w:val="0"/>
          <w:numId w:val="9"/>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根据得分（用字母“N”表示）情况，履约评价结果分为以下五个等级：</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当N≥90分时，评价结果为优秀；</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当80≤N＜90分时，评价结果为良好；</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当70≤N＜80分时，评价结果为中等；</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当60≤N＜70分时，评价结果为合格；</w:t>
      </w:r>
    </w:p>
    <w:p>
      <w:pPr>
        <w:pStyle w:val="2"/>
        <w:numPr>
          <w:ilvl w:val="0"/>
          <w:numId w:val="10"/>
        </w:numPr>
        <w:spacing w:line="240" w:lineRule="auto"/>
        <w:rPr>
          <w:rFonts w:hint="eastAsia" w:ascii="宋体" w:hAnsi="宋体" w:eastAsia="宋体" w:cs="宋体"/>
          <w:sz w:val="21"/>
          <w:szCs w:val="21"/>
        </w:rPr>
      </w:pPr>
      <w:r>
        <w:rPr>
          <w:rFonts w:hint="eastAsia" w:ascii="宋体" w:hAnsi="宋体" w:eastAsia="宋体" w:cs="宋体"/>
          <w:sz w:val="21"/>
          <w:szCs w:val="21"/>
        </w:rPr>
        <w:t>当N＜60分时，评价结果为不合格。</w:t>
      </w:r>
    </w:p>
    <w:p>
      <w:pPr>
        <w:pStyle w:val="2"/>
        <w:numPr>
          <w:ilvl w:val="0"/>
          <w:numId w:val="9"/>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有下列情形之一的，供应商/承包商履约评价不得被评为优秀、良好等级，履约评价得分不得高于79分：</w:t>
      </w:r>
    </w:p>
    <w:p>
      <w:pPr>
        <w:pStyle w:val="2"/>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因自身原因拖延合同工期6个月以上的；</w:t>
      </w:r>
    </w:p>
    <w:p>
      <w:pPr>
        <w:pStyle w:val="2"/>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项目管理班子未按投标承诺配备或者不到位的；</w:t>
      </w:r>
    </w:p>
    <w:p>
      <w:pPr>
        <w:pStyle w:val="2"/>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经认定使用假冒伪劣材料或偷工减料的；</w:t>
      </w:r>
    </w:p>
    <w:p>
      <w:pPr>
        <w:pStyle w:val="2"/>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因自身原因造成工程发生一般质量安全事故的；</w:t>
      </w:r>
    </w:p>
    <w:p>
      <w:pPr>
        <w:pStyle w:val="2"/>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因设计原因导致工程变更超过施工合同价5%的（仅限设计合同）;</w:t>
      </w:r>
    </w:p>
    <w:p>
      <w:pPr>
        <w:pStyle w:val="2"/>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招标文件或者合同文件中列明的其他情形。</w:t>
      </w:r>
    </w:p>
    <w:p>
      <w:pPr>
        <w:pStyle w:val="2"/>
        <w:numPr>
          <w:ilvl w:val="0"/>
          <w:numId w:val="9"/>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有下列情形之一的，供应商/承包商履约评价直接被评为“不合格”，得分不得高于59分，并被剔除供应商库：</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因自身原因拖延合同工期12个月以上的；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因拖欠工人工资或分包商工程款，引发群体性上访事件的；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因自身原因未按合同约定提交项目结算报告的；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经认定使用假冒伪劣材料或偷工减料，情节恶劣或者情形严重的；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因自身原因造成工程发生较大及以上质量安全事故的；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因该工程存在串通投标、转包、以他人名义投标、违法分包或者弄虚作假等违法行为，被行政监督部门行政处罚的；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经纪检监察机关或者有关部门认定，存在贿赂政府部门公职人员的行为的；</w:t>
      </w:r>
    </w:p>
    <w:p>
      <w:pPr>
        <w:pStyle w:val="2"/>
        <w:numPr>
          <w:ilvl w:val="0"/>
          <w:numId w:val="12"/>
        </w:numPr>
        <w:spacing w:line="240" w:lineRule="auto"/>
        <w:rPr>
          <w:rFonts w:hint="eastAsia" w:ascii="宋体" w:hAnsi="宋体" w:eastAsia="宋体" w:cs="宋体"/>
          <w:sz w:val="21"/>
          <w:szCs w:val="21"/>
        </w:rPr>
      </w:pPr>
      <w:r>
        <w:rPr>
          <w:rFonts w:hint="eastAsia" w:ascii="宋体" w:hAnsi="宋体" w:eastAsia="宋体" w:cs="宋体"/>
          <w:sz w:val="21"/>
          <w:szCs w:val="21"/>
        </w:rPr>
        <w:t>招标文件或者合同文件中列明的其他情形。</w:t>
      </w:r>
    </w:p>
    <w:p>
      <w:pPr>
        <w:tabs>
          <w:tab w:val="left" w:pos="945"/>
        </w:tabs>
        <w:autoSpaceDE w:val="0"/>
        <w:autoSpaceDN w:val="0"/>
        <w:adjustRightInd w:val="0"/>
        <w:ind w:firstLine="420" w:firstLineChars="200"/>
        <w:jc w:val="left"/>
        <w:textAlignment w:val="baseline"/>
        <w:rPr>
          <w:rFonts w:hint="eastAsia" w:ascii="宋体" w:hAnsi="宋体" w:eastAsia="宋体" w:cs="宋体"/>
          <w:color w:val="000000" w:themeColor="text1"/>
          <w:szCs w:val="21"/>
        </w:rPr>
      </w:pPr>
    </w:p>
    <w:p>
      <w:pPr>
        <w:numPr>
          <w:ilvl w:val="0"/>
          <w:numId w:val="7"/>
        </w:numPr>
        <w:rPr>
          <w:rFonts w:hint="eastAsia" w:ascii="宋体" w:hAnsi="宋体" w:eastAsia="宋体" w:cs="宋体"/>
          <w:b/>
          <w:bCs/>
          <w:color w:val="000000"/>
          <w:szCs w:val="21"/>
        </w:rPr>
      </w:pPr>
      <w:r>
        <w:rPr>
          <w:rFonts w:hint="eastAsia" w:ascii="宋体" w:hAnsi="宋体" w:eastAsia="宋体" w:cs="宋体"/>
          <w:b/>
          <w:bCs/>
          <w:color w:val="000000"/>
          <w:szCs w:val="21"/>
        </w:rPr>
        <w:t>*.报价方式和币种：</w:t>
      </w:r>
    </w:p>
    <w:p>
      <w:pPr>
        <w:autoSpaceDE w:val="0"/>
        <w:autoSpaceDN w:val="0"/>
        <w:adjustRightInd w:val="0"/>
        <w:snapToGrid w:val="0"/>
        <w:ind w:firstLine="482"/>
        <w:rPr>
          <w:rFonts w:hint="eastAsia" w:ascii="宋体" w:hAnsi="宋体" w:eastAsia="宋体" w:cs="宋体"/>
          <w:b/>
          <w:bCs/>
          <w:color w:val="000000"/>
          <w:szCs w:val="21"/>
        </w:rPr>
      </w:pPr>
    </w:p>
    <w:p>
      <w:pPr>
        <w:autoSpaceDE w:val="0"/>
        <w:autoSpaceDN w:val="0"/>
        <w:adjustRightInd w:val="0"/>
        <w:snapToGrid w:val="0"/>
        <w:ind w:firstLine="482"/>
        <w:rPr>
          <w:rFonts w:hint="eastAsia" w:ascii="宋体" w:hAnsi="宋体" w:eastAsia="宋体" w:cs="宋体"/>
          <w:b/>
          <w:color w:val="000000" w:themeColor="text1"/>
          <w:szCs w:val="21"/>
          <w:u w:val="single"/>
        </w:rPr>
      </w:pPr>
      <w:r>
        <w:rPr>
          <w:rFonts w:hint="eastAsia" w:ascii="宋体" w:hAnsi="宋体" w:eastAsia="宋体" w:cs="宋体"/>
          <w:b/>
          <w:bCs/>
          <w:color w:val="000000"/>
          <w:szCs w:val="21"/>
        </w:rPr>
        <w:t>★</w:t>
      </w:r>
      <w:r>
        <w:rPr>
          <w:rFonts w:hint="eastAsia" w:ascii="宋体" w:hAnsi="宋体" w:eastAsia="宋体" w:cs="宋体"/>
          <w:b/>
          <w:color w:val="000000" w:themeColor="text1"/>
          <w:szCs w:val="21"/>
          <w:u w:val="single"/>
        </w:rPr>
        <w:t>本项目最高限价：人民币</w:t>
      </w:r>
      <w:r>
        <w:rPr>
          <w:rFonts w:hint="eastAsia" w:ascii="宋体" w:hAnsi="宋体" w:eastAsia="宋体" w:cs="宋体"/>
          <w:b/>
          <w:color w:val="000000" w:themeColor="text1"/>
          <w:szCs w:val="21"/>
          <w:u w:val="single"/>
          <w:lang w:val="en-US" w:eastAsia="zh-CN"/>
        </w:rPr>
        <w:t>壹</w:t>
      </w:r>
      <w:r>
        <w:rPr>
          <w:rFonts w:hint="eastAsia" w:ascii="宋体" w:hAnsi="宋体" w:eastAsia="宋体" w:cs="宋体"/>
          <w:b/>
          <w:color w:val="000000" w:themeColor="text1"/>
          <w:szCs w:val="21"/>
          <w:u w:val="single"/>
        </w:rPr>
        <w:t>拾万元整（</w:t>
      </w:r>
      <w:r>
        <w:rPr>
          <w:rFonts w:hint="eastAsia" w:ascii="宋体" w:hAnsi="宋体" w:eastAsia="宋体" w:cs="宋体"/>
          <w:b/>
          <w:color w:val="000000" w:themeColor="text1"/>
          <w:highlight w:val="none"/>
          <w:u w:val="single"/>
          <w14:textFill>
            <w14:solidFill>
              <w14:schemeClr w14:val="tx1"/>
            </w14:solidFill>
          </w14:textFill>
        </w:rPr>
        <w:t>¥</w:t>
      </w:r>
      <w:r>
        <w:rPr>
          <w:rFonts w:hint="eastAsia" w:ascii="宋体" w:hAnsi="宋体" w:eastAsia="宋体" w:cs="宋体"/>
          <w:b/>
          <w:color w:val="000000" w:themeColor="text1"/>
          <w:szCs w:val="21"/>
          <w:u w:val="single"/>
        </w:rPr>
        <w:t>100000</w:t>
      </w:r>
      <w:r>
        <w:rPr>
          <w:rFonts w:hint="eastAsia" w:ascii="宋体" w:hAnsi="宋体" w:eastAsia="宋体" w:cs="宋体"/>
          <w:b/>
          <w:color w:val="000000" w:themeColor="text1"/>
          <w:szCs w:val="21"/>
          <w:highlight w:val="none"/>
          <w:u w:val="single"/>
        </w:rPr>
        <w:t>元</w:t>
      </w:r>
      <w:r>
        <w:rPr>
          <w:rFonts w:hint="eastAsia" w:ascii="宋体" w:hAnsi="宋体" w:eastAsia="宋体" w:cs="宋体"/>
          <w:b/>
          <w:color w:val="000000" w:themeColor="text1"/>
          <w:szCs w:val="21"/>
          <w:u w:val="single"/>
        </w:rPr>
        <w:t>），任何超过此限价的竞标报价，采购人不予接受。（最高限价为控制价）</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投标报价应包括：所有采购服务、货物费用、运至合同指定地点的运输费、保险费、安装、技术培训费、各种税费等。(包含以上费用且不仅限于以上费用，其他与项目相关的费用均包含在投标报价内。)</w:t>
      </w:r>
    </w:p>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投标货币：人民币　</w:t>
      </w:r>
    </w:p>
    <w:p>
      <w:pPr>
        <w:rPr>
          <w:rFonts w:hint="eastAsia" w:ascii="宋体" w:hAnsi="宋体" w:eastAsia="宋体" w:cs="宋体"/>
          <w:b/>
          <w:color w:val="000000" w:themeColor="text1"/>
          <w:szCs w:val="21"/>
        </w:rPr>
      </w:pPr>
    </w:p>
    <w:p>
      <w:pPr>
        <w:numPr>
          <w:ilvl w:val="0"/>
          <w:numId w:val="7"/>
        </w:numPr>
        <w:rPr>
          <w:rFonts w:hint="eastAsia" w:ascii="宋体" w:hAnsi="宋体" w:eastAsia="宋体" w:cs="宋体"/>
          <w:b/>
          <w:bCs/>
          <w:color w:val="000000"/>
          <w:szCs w:val="21"/>
        </w:rPr>
      </w:pPr>
      <w:r>
        <w:rPr>
          <w:rFonts w:hint="eastAsia" w:ascii="宋体" w:hAnsi="宋体" w:eastAsia="宋体" w:cs="宋体"/>
          <w:b/>
          <w:bCs/>
          <w:color w:val="000000"/>
          <w:szCs w:val="21"/>
        </w:rPr>
        <w:t>特别说明</w:t>
      </w:r>
    </w:p>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*1.当竞争性谈判文件中出现前后表述不一致的时候，以竞争性谈判文件中对谈判供应商责任规定较严格的为准。</w:t>
      </w:r>
    </w:p>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*2.当谈判响应文件中出现前后表述不一致的时候，以谈判响应文件中对谈判供应商责任规定较严格的为准。</w:t>
      </w:r>
    </w:p>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*3.采购人在本竞争性谈判文件中所列举的软硬件设备需求应视为保证本系统运行所需的最低要求，如有遗漏，投标方应予以补充，否则一旦中标将认为投标方认同遗漏部分并免费提供。</w:t>
      </w:r>
    </w:p>
    <w:p>
      <w:pPr>
        <w:jc w:val="lef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br w:type="page"/>
      </w:r>
    </w:p>
    <w:p>
      <w:pPr>
        <w:pStyle w:val="2"/>
        <w:spacing w:line="240" w:lineRule="auto"/>
        <w:rPr>
          <w:rFonts w:hint="eastAsia" w:ascii="宋体" w:hAnsi="宋体" w:eastAsia="宋体" w:cs="宋体"/>
        </w:rPr>
      </w:pPr>
    </w:p>
    <w:p>
      <w:pPr>
        <w:numPr>
          <w:ilvl w:val="1"/>
          <w:numId w:val="6"/>
        </w:numPr>
        <w:jc w:val="center"/>
        <w:outlineLvl w:val="1"/>
        <w:rPr>
          <w:rFonts w:hint="eastAsia" w:ascii="宋体" w:hAnsi="宋体" w:eastAsia="宋体" w:cs="宋体"/>
          <w:color w:val="000000" w:themeColor="text1"/>
          <w:sz w:val="28"/>
          <w:szCs w:val="28"/>
        </w:rPr>
      </w:pPr>
      <w:bookmarkStart w:id="89" w:name="_Toc11003"/>
      <w:r>
        <w:rPr>
          <w:rFonts w:hint="eastAsia" w:ascii="宋体" w:hAnsi="宋体" w:eastAsia="宋体" w:cs="宋体"/>
          <w:color w:val="000000" w:themeColor="text1"/>
          <w:sz w:val="28"/>
          <w:szCs w:val="28"/>
        </w:rPr>
        <w:t>*服务需求及技术要求</w:t>
      </w:r>
      <w:bookmarkEnd w:id="89"/>
    </w:p>
    <w:p>
      <w:pPr>
        <w:rPr>
          <w:rFonts w:hint="eastAsia" w:ascii="宋体" w:hAnsi="宋体" w:eastAsia="宋体" w:cs="宋体"/>
          <w:b/>
          <w:bCs/>
        </w:rPr>
      </w:pPr>
      <w:bookmarkStart w:id="90" w:name="_Toc23921"/>
      <w:bookmarkStart w:id="91" w:name="_Toc3582"/>
      <w:r>
        <w:rPr>
          <w:rFonts w:hint="eastAsia" w:ascii="宋体" w:hAnsi="宋体" w:eastAsia="宋体" w:cs="宋体"/>
          <w:b/>
          <w:bCs/>
        </w:rPr>
        <w:t>一、</w:t>
      </w:r>
      <w:r>
        <w:rPr>
          <w:rFonts w:hint="eastAsia" w:ascii="宋体" w:hAnsi="宋体" w:eastAsia="宋体" w:cs="宋体"/>
        </w:rPr>
        <w:sym w:font="Wingdings 2" w:char="F0EA"/>
      </w:r>
      <w:r>
        <w:rPr>
          <w:rFonts w:hint="eastAsia" w:ascii="宋体" w:hAnsi="宋体" w:eastAsia="宋体" w:cs="宋体"/>
          <w:b/>
          <w:bCs/>
        </w:rPr>
        <w:t>安全要求</w:t>
      </w:r>
    </w:p>
    <w:p>
      <w:pPr>
        <w:numPr>
          <w:ilvl w:val="255"/>
          <w:numId w:val="0"/>
        </w:numPr>
        <w:ind w:firstLine="420" w:firstLineChars="200"/>
        <w:rPr>
          <w:rFonts w:hint="eastAsia" w:ascii="宋体" w:hAnsi="宋体" w:eastAsia="宋体" w:cs="宋体"/>
        </w:rPr>
      </w:pPr>
      <w:r>
        <w:rPr>
          <w:rFonts w:hint="eastAsia" w:ascii="宋体" w:hAnsi="宋体" w:eastAsia="宋体" w:cs="宋体"/>
        </w:rPr>
        <w:t>所有设计与搭建要合理，遵循安全的原则。要求结构安全稳固，尤其要考虑二层的承重要求，钢结构、桁架的连接须采用焊接或螺栓连接，确保连接的强度和稳固，钢结构、桁架的连接不得采用铅丝、铁丝捆绑的连接方式。施工材料必须符合环保要求，严禁使用聚氨酯（泡沫类）、带有挥发刺激性气味的超标布展材料。必须是阻燃或防火材料，木质结构须刷防火涂料，严禁使用棉质篷布、绷布、弹力布等材料制作展台。玻璃必须使用钢化玻璃，电线必须使用互套线，且附带符合规格的电气图纸，电气设备及线路的安装应符合相关电气安装施工规范和消防安全要求，并有漏电开关保护；安装操作人员须持有有效的特种作业操作证书；展位地面线路必须在线管或线槽内铺设、连接确保规范、可靠；开关及线缆的负荷承载应控制在设计容量的80%内。严禁私自增加用电负荷；严禁使用塑胶双绞线和花线；严禁使用发热量大的灯具和用电设备。</w:t>
      </w:r>
    </w:p>
    <w:p>
      <w:pPr>
        <w:pStyle w:val="2"/>
        <w:spacing w:line="240" w:lineRule="auto"/>
        <w:rPr>
          <w:rFonts w:hint="eastAsia" w:ascii="宋体" w:hAnsi="宋体" w:eastAsia="宋体" w:cs="宋体"/>
        </w:rPr>
      </w:pPr>
    </w:p>
    <w:p>
      <w:pPr>
        <w:rPr>
          <w:rFonts w:hint="eastAsia" w:ascii="宋体" w:hAnsi="宋体" w:eastAsia="宋体" w:cs="宋体"/>
          <w:b/>
          <w:bCs/>
        </w:rPr>
      </w:pPr>
      <w:r>
        <w:rPr>
          <w:rFonts w:hint="eastAsia" w:ascii="宋体" w:hAnsi="宋体" w:eastAsia="宋体" w:cs="宋体"/>
          <w:b/>
          <w:bCs/>
        </w:rPr>
        <w:t>二、</w:t>
      </w:r>
      <w:r>
        <w:rPr>
          <w:rFonts w:hint="eastAsia" w:ascii="宋体" w:hAnsi="宋体" w:eastAsia="宋体" w:cs="宋体"/>
          <w:b/>
          <w:bCs/>
        </w:rPr>
        <w:sym w:font="Wingdings 2" w:char="F0EA"/>
      </w:r>
      <w:bookmarkStart w:id="92" w:name="_Toc134446911"/>
      <w:r>
        <w:rPr>
          <w:rFonts w:hint="eastAsia" w:ascii="宋体" w:hAnsi="宋体" w:eastAsia="宋体" w:cs="宋体"/>
          <w:b/>
          <w:bCs/>
        </w:rPr>
        <w:t>其它要求</w:t>
      </w:r>
      <w:bookmarkEnd w:id="92"/>
    </w:p>
    <w:p>
      <w:pPr>
        <w:rPr>
          <w:rFonts w:hint="eastAsia" w:ascii="宋体" w:hAnsi="宋体" w:eastAsia="宋体" w:cs="宋体"/>
        </w:rPr>
      </w:pPr>
      <w:r>
        <w:rPr>
          <w:rFonts w:hint="eastAsia" w:ascii="宋体" w:hAnsi="宋体" w:eastAsia="宋体" w:cs="宋体"/>
        </w:rPr>
        <w:t>（一）中标人保证所提供的货物、活动、陈列品等不侵犯任何第三方的专利权、著作权、商标专用权、商业秘密及其他权属权利。因本项目造成的纠纷由中标人承担全部责任。</w:t>
      </w:r>
    </w:p>
    <w:p>
      <w:pPr>
        <w:autoSpaceDE w:val="0"/>
        <w:autoSpaceDN w:val="0"/>
        <w:adjustRightInd w:val="0"/>
        <w:spacing w:line="240" w:lineRule="auto"/>
        <w:rPr>
          <w:rFonts w:hint="eastAsia" w:ascii="宋体" w:hAnsi="宋体" w:eastAsia="宋体" w:cs="宋体"/>
        </w:rPr>
      </w:pPr>
      <w:r>
        <w:rPr>
          <w:rFonts w:hint="eastAsia" w:ascii="宋体" w:hAnsi="宋体" w:eastAsia="宋体" w:cs="宋体"/>
        </w:rPr>
        <w:t>（二）必须保证展区地面与搭建体及所有物品整洁。</w:t>
      </w:r>
    </w:p>
    <w:p>
      <w:pPr>
        <w:pStyle w:val="2"/>
        <w:spacing w:line="240" w:lineRule="auto"/>
        <w:rPr>
          <w:rFonts w:hint="eastAsia" w:ascii="宋体" w:hAnsi="宋体" w:eastAsia="宋体" w:cs="宋体"/>
        </w:rPr>
      </w:pPr>
    </w:p>
    <w:p>
      <w:pPr>
        <w:rPr>
          <w:rFonts w:hint="eastAsia" w:ascii="宋体" w:hAnsi="宋体" w:eastAsia="宋体" w:cs="宋体"/>
          <w:b/>
          <w:bCs/>
        </w:rPr>
      </w:pPr>
      <w:bookmarkStart w:id="93" w:name="_Toc134446913"/>
      <w:r>
        <w:rPr>
          <w:rFonts w:hint="eastAsia" w:ascii="宋体" w:hAnsi="宋体" w:eastAsia="宋体" w:cs="宋体"/>
          <w:b/>
          <w:bCs/>
        </w:rPr>
        <w:t>三、★项目管理要求</w:t>
      </w:r>
      <w:bookmarkEnd w:id="93"/>
    </w:p>
    <w:p>
      <w:pPr>
        <w:rPr>
          <w:rFonts w:hint="eastAsia" w:ascii="宋体" w:hAnsi="宋体" w:eastAsia="宋体" w:cs="宋体"/>
        </w:rPr>
      </w:pPr>
      <w:r>
        <w:rPr>
          <w:rFonts w:hint="eastAsia" w:ascii="宋体" w:hAnsi="宋体" w:eastAsia="宋体" w:cs="宋体"/>
        </w:rPr>
        <w:t>(一)施工前，招标人和中标人应进行施工现场交接。项目竣工验收前，中标人应清理施工现场全部垃圾。</w:t>
      </w:r>
    </w:p>
    <w:p>
      <w:pPr>
        <w:rPr>
          <w:rFonts w:hint="eastAsia" w:ascii="宋体" w:hAnsi="宋体" w:eastAsia="宋体" w:cs="宋体"/>
        </w:rPr>
      </w:pPr>
      <w:r>
        <w:rPr>
          <w:rFonts w:hint="eastAsia" w:ascii="宋体" w:hAnsi="宋体" w:eastAsia="宋体" w:cs="宋体"/>
        </w:rPr>
        <w:t>(二)施工前，中标人须到相关部门办理正式开工手续。进出施工场所的所有施工人员须到相关部门办理出入手续。</w:t>
      </w:r>
    </w:p>
    <w:p>
      <w:pPr>
        <w:rPr>
          <w:rFonts w:hint="eastAsia" w:ascii="宋体" w:hAnsi="宋体" w:eastAsia="宋体" w:cs="宋体"/>
        </w:rPr>
      </w:pPr>
      <w:r>
        <w:rPr>
          <w:rFonts w:hint="eastAsia" w:ascii="宋体" w:hAnsi="宋体" w:eastAsia="宋体" w:cs="宋体"/>
        </w:rPr>
        <w:t>(三)各种主材进场后须经招标人和监理单位验收，经同意后方可使用。</w:t>
      </w:r>
    </w:p>
    <w:p>
      <w:pPr>
        <w:rPr>
          <w:rFonts w:hint="eastAsia" w:ascii="宋体" w:hAnsi="宋体" w:eastAsia="宋体" w:cs="宋体"/>
        </w:rPr>
      </w:pPr>
      <w:r>
        <w:rPr>
          <w:rFonts w:hint="eastAsia" w:ascii="宋体" w:hAnsi="宋体" w:eastAsia="宋体" w:cs="宋体"/>
        </w:rPr>
        <w:t>(四)材料现场抽检、隐蔽工程验收、涉及结构及使用安全的特殊检验试验须通知招标人和监理单位参与，现场检验或验收通过后方可使用。</w:t>
      </w:r>
    </w:p>
    <w:p>
      <w:pPr>
        <w:rPr>
          <w:rFonts w:hint="eastAsia" w:ascii="宋体" w:hAnsi="宋体" w:eastAsia="宋体" w:cs="宋体"/>
        </w:rPr>
      </w:pPr>
      <w:r>
        <w:rPr>
          <w:rFonts w:hint="eastAsia" w:ascii="宋体" w:hAnsi="宋体" w:eastAsia="宋体" w:cs="宋体"/>
        </w:rPr>
        <w:t>(五)施工时，中标人不得破坏施工现场原有的墙体和地面结构，必须保证原有及完工建筑装饰的保护、恢复和施工垃圾清理工作。</w:t>
      </w:r>
    </w:p>
    <w:p>
      <w:pPr>
        <w:rPr>
          <w:rFonts w:hint="eastAsia" w:ascii="宋体" w:hAnsi="宋体" w:eastAsia="宋体" w:cs="宋体"/>
        </w:rPr>
      </w:pPr>
      <w:r>
        <w:rPr>
          <w:rFonts w:hint="eastAsia" w:ascii="宋体" w:hAnsi="宋体" w:eastAsia="宋体" w:cs="宋体"/>
        </w:rPr>
        <w:t>(六)因招标人单位性质的特殊性，中标人应充分考虑年度内人工、材料、机械等单价变化的风险及节假日施工的影响，结算时投标单价不予调增。</w:t>
      </w:r>
    </w:p>
    <w:p>
      <w:pPr>
        <w:rPr>
          <w:rFonts w:hint="eastAsia" w:ascii="宋体" w:hAnsi="宋体" w:eastAsia="宋体" w:cs="宋体"/>
        </w:rPr>
      </w:pPr>
      <w:r>
        <w:rPr>
          <w:rFonts w:hint="eastAsia" w:ascii="宋体" w:hAnsi="宋体" w:eastAsia="宋体" w:cs="宋体"/>
        </w:rPr>
        <w:t>(七)中标人不得拖欠民工工资。如因发生劳资纠纷或对招标人的声誉及正常的医疗、工作秩序构成影响的，一切责任由中标人负责，直至终止合同。</w:t>
      </w:r>
    </w:p>
    <w:p>
      <w:pPr>
        <w:rPr>
          <w:rFonts w:hint="eastAsia" w:ascii="宋体" w:hAnsi="宋体" w:eastAsia="宋体" w:cs="宋体"/>
        </w:rPr>
      </w:pPr>
      <w:r>
        <w:rPr>
          <w:rFonts w:hint="eastAsia" w:ascii="宋体" w:hAnsi="宋体" w:eastAsia="宋体" w:cs="宋体"/>
        </w:rPr>
        <w:t>(八)施工单位在施工中偷工减料的，使用不合格的建筑材料、建筑构配件和设备的，或者有不按照工程设计图纸或者施工组织设计进行施工的其他行为的，责令改正，每次罚款5000元；造成工程质量不符合规定的质量标准的，负责返工、修理，并赔偿因此造成的损失。</w:t>
      </w:r>
    </w:p>
    <w:p>
      <w:pPr>
        <w:rPr>
          <w:rFonts w:hint="eastAsia" w:ascii="宋体" w:hAnsi="宋体" w:eastAsia="宋体" w:cs="宋体"/>
        </w:rPr>
      </w:pPr>
      <w:r>
        <w:rPr>
          <w:rFonts w:hint="eastAsia" w:ascii="宋体" w:hAnsi="宋体" w:eastAsia="宋体" w:cs="宋体"/>
        </w:rPr>
        <w:t>(九)材料质量承诺：材料品牌符合招标文件中要求品牌，材料的各项技术指标符合设计要求及合同要求，材料使用环保产品，满足GB18580-2001有毒气体排放及放射性污染标准要求。材料达不到上述要求的自动退场更换，并按相应材料价格的5%向招标人支付材料质量违约金。</w:t>
      </w:r>
    </w:p>
    <w:p>
      <w:pPr>
        <w:rPr>
          <w:rFonts w:hint="eastAsia" w:ascii="宋体" w:hAnsi="宋体" w:eastAsia="宋体" w:cs="宋体"/>
        </w:rPr>
      </w:pPr>
      <w:r>
        <w:rPr>
          <w:rFonts w:hint="eastAsia" w:ascii="宋体" w:hAnsi="宋体" w:eastAsia="宋体" w:cs="宋体"/>
        </w:rPr>
        <w:t>(十)安全生产、文明施工承诺：文明施工需达到文明施工优良工地标准、安全生产达到安全施工现场优良工程标准。若未达到标准，中标人愿按合同总价的1%承担违约责任。</w:t>
      </w:r>
    </w:p>
    <w:p>
      <w:pPr>
        <w:rPr>
          <w:rFonts w:hint="eastAsia" w:ascii="宋体" w:hAnsi="宋体" w:eastAsia="宋体" w:cs="宋体"/>
        </w:rPr>
      </w:pPr>
      <w:r>
        <w:rPr>
          <w:rFonts w:hint="eastAsia" w:ascii="宋体" w:hAnsi="宋体" w:eastAsia="宋体" w:cs="宋体"/>
        </w:rPr>
        <w:t>(十一)主动配合招标人的工作，服从招标人、监理单位治理。</w:t>
      </w:r>
    </w:p>
    <w:p>
      <w:pPr>
        <w:rPr>
          <w:rFonts w:hint="eastAsia" w:ascii="宋体" w:hAnsi="宋体" w:eastAsia="宋体" w:cs="宋体"/>
        </w:rPr>
      </w:pPr>
      <w:r>
        <w:rPr>
          <w:rFonts w:hint="eastAsia" w:ascii="宋体" w:hAnsi="宋体" w:eastAsia="宋体" w:cs="宋体"/>
        </w:rPr>
        <w:t>(十二)施工初验后按招标人要求做好拓荒工作，交付招标人。</w:t>
      </w:r>
    </w:p>
    <w:p>
      <w:pPr>
        <w:numPr>
          <w:ilvl w:val="0"/>
          <w:numId w:val="0"/>
        </w:numPr>
        <w:ind w:left="0"/>
        <w:rPr>
          <w:rFonts w:hint="eastAsia" w:ascii="宋体" w:hAnsi="宋体" w:eastAsia="宋体" w:cs="宋体"/>
          <w:b w:val="0"/>
          <w:color w:val="auto"/>
          <w:szCs w:val="22"/>
        </w:rPr>
      </w:pPr>
      <w:r>
        <w:rPr>
          <w:rFonts w:hint="eastAsia" w:ascii="宋体" w:hAnsi="宋体" w:eastAsia="宋体" w:cs="宋体"/>
        </w:rPr>
        <w:t>(十三)投标人必须提供24小时现场施工及工程危机处理服务。</w:t>
      </w:r>
    </w:p>
    <w:p>
      <w:pPr>
        <w:numPr>
          <w:ilvl w:val="255"/>
          <w:numId w:val="0"/>
        </w:numPr>
        <w:ind w:left="420"/>
        <w:rPr>
          <w:rFonts w:hint="eastAsia" w:ascii="宋体" w:hAnsi="宋体" w:eastAsia="宋体" w:cs="宋体"/>
        </w:rPr>
      </w:pPr>
      <w:r>
        <w:rPr>
          <w:rFonts w:hint="eastAsia" w:ascii="宋体" w:hAnsi="宋体" w:eastAsia="宋体" w:cs="宋体"/>
          <w:b/>
          <w:color w:val="000000" w:themeColor="text1"/>
          <w:szCs w:val="21"/>
        </w:rPr>
        <w:t>四、</w:t>
      </w:r>
      <w:r>
        <w:rPr>
          <w:rFonts w:hint="eastAsia" w:ascii="宋体" w:hAnsi="宋体" w:eastAsia="宋体" w:cs="宋体"/>
        </w:rPr>
        <w:t>★参考清单及搭建图片（需求表仅供参考，最终以设计为准，初步设计图、效果图找招标方提供）</w:t>
      </w:r>
    </w:p>
    <w:tbl>
      <w:tblPr>
        <w:tblStyle w:val="15"/>
        <w:tblW w:w="8386" w:type="dxa"/>
        <w:tblInd w:w="86" w:type="dxa"/>
        <w:tblLayout w:type="fixed"/>
        <w:tblCellMar>
          <w:top w:w="0" w:type="dxa"/>
          <w:left w:w="108" w:type="dxa"/>
          <w:bottom w:w="0" w:type="dxa"/>
          <w:right w:w="108" w:type="dxa"/>
        </w:tblCellMar>
      </w:tblPr>
      <w:tblGrid>
        <w:gridCol w:w="731"/>
        <w:gridCol w:w="1418"/>
        <w:gridCol w:w="1417"/>
        <w:gridCol w:w="851"/>
        <w:gridCol w:w="850"/>
        <w:gridCol w:w="2410"/>
        <w:gridCol w:w="709"/>
      </w:tblGrid>
      <w:tr>
        <w:tblPrEx>
          <w:tblCellMar>
            <w:top w:w="0" w:type="dxa"/>
            <w:left w:w="108" w:type="dxa"/>
            <w:bottom w:w="0" w:type="dxa"/>
            <w:right w:w="108" w:type="dxa"/>
          </w:tblCellMar>
        </w:tblPrEx>
        <w:trPr>
          <w:trHeight w:val="499" w:hRule="atLeast"/>
        </w:trPr>
        <w:tc>
          <w:tcPr>
            <w:tcW w:w="731" w:type="dxa"/>
            <w:tcBorders>
              <w:top w:val="single" w:color="auto" w:sz="8" w:space="0"/>
              <w:left w:val="single" w:color="auto" w:sz="8" w:space="0"/>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序号</w:t>
            </w:r>
          </w:p>
        </w:tc>
        <w:tc>
          <w:tcPr>
            <w:tcW w:w="1418"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工程项目</w:t>
            </w:r>
          </w:p>
        </w:tc>
        <w:tc>
          <w:tcPr>
            <w:tcW w:w="1417"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规格</w:t>
            </w:r>
          </w:p>
        </w:tc>
        <w:tc>
          <w:tcPr>
            <w:tcW w:w="851"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数量</w:t>
            </w:r>
          </w:p>
        </w:tc>
        <w:tc>
          <w:tcPr>
            <w:tcW w:w="850"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单位</w:t>
            </w:r>
          </w:p>
        </w:tc>
        <w:tc>
          <w:tcPr>
            <w:tcW w:w="2410" w:type="dxa"/>
            <w:tcBorders>
              <w:top w:val="single" w:color="auto" w:sz="8" w:space="0"/>
              <w:left w:val="nil"/>
              <w:bottom w:val="single" w:color="auto" w:sz="4" w:space="0"/>
              <w:right w:val="single" w:color="auto" w:sz="8" w:space="0"/>
            </w:tcBorders>
            <w:shd w:val="clear" w:color="000000" w:fill="BFBFBF"/>
            <w:vAlign w:val="center"/>
          </w:tcPr>
          <w:p>
            <w:pPr>
              <w:rPr>
                <w:rFonts w:hint="eastAsia" w:ascii="宋体" w:hAnsi="宋体" w:eastAsia="宋体" w:cs="宋体"/>
              </w:rPr>
            </w:pPr>
            <w:r>
              <w:rPr>
                <w:rFonts w:hint="eastAsia" w:ascii="宋体" w:hAnsi="宋体" w:eastAsia="宋体" w:cs="宋体"/>
              </w:rPr>
              <w:t>材料、制作工艺以及说明</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r>
              <w:rPr>
                <w:rFonts w:hint="eastAsia" w:ascii="宋体" w:hAnsi="宋体" w:eastAsia="宋体" w:cs="宋体"/>
              </w:rPr>
              <w:t>备注</w:t>
            </w: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进场物料搭建地面保护</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b/>
                <w:bCs/>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电梯、过道装修保护膜</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门楼框架</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5500*4500*800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套</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钢木结构框架，雪佛版立体造型UV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事前区域造型板墙</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9000*4000*300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4</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魅力东奥区域造型板墙</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9000*4000*300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5</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世纪汇菱形造型板墙双面</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5000*3500*600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6</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双面行架墙面</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3500*3000*600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200厚行架四周绷喷绘布</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7</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炫舞区域造型墙面</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5500*4500*1000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钢木结构造型板墙，批灰刷乳胶漆面贴车贴UV，LED发光灯带造型</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8</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舞台区地台</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5500*3500*300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钢木架结构，四周发光灯带造型</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9</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互动区游戏装置</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3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租赁项目</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10</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创意市集</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1700*600*2000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10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套</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成品购买</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舞台区灯光</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T型灯光架</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2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面光灯</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8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盏</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全频音箱</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KT</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14</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功放效果器</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KT</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模拟调音台+音频播放电脑1台，7.13-8.31每周六日翻场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15</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调音台</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x32，7.13-8.31每周六日翻场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16</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无线手持</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SHURE UR4D</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4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17</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舞美电力设备</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现场线路布置、线缆配电箱</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18</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调音师劳务费</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6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场</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7.13-8.31每周六日翻场，按具体场次结算</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19</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折叠桌带椅子</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4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套</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一桌2椅带桌套，7.13-8.31每周六日翻场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20</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翻场人工</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8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长型软包凳</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10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成品购买</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电视机租赁</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3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台</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65寸4K电视机租赁2台，一台72寸电视机租赁</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美工物料</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全场美工字雕刻文件制作</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24</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地面地贴</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5500*22000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121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平米</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防滑车贴UV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25</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荧光棒</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100</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　</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26</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随机舞蹈地贴</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2.5</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米</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直径2.5米</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27</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宣传易拉宝</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5</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　</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28</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嘉宾桌牌</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10</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　</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29</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电路工程项目</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全场线路铺设，发光灯带，游戏区域电路</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30</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工程责任险</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施工保险，现场活动责任险</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布撤展运输费</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4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趟</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布展2车，撤展2车</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卫生清洁费</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布撤展保洁</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33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撤展人工</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拆除人工费用</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234" w:hRule="atLeast"/>
        </w:trPr>
        <w:tc>
          <w:tcPr>
            <w:tcW w:w="5267" w:type="dxa"/>
            <w:gridSpan w:val="5"/>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合计（含税）</w:t>
            </w:r>
          </w:p>
        </w:tc>
        <w:tc>
          <w:tcPr>
            <w:tcW w:w="3119" w:type="dxa"/>
            <w:gridSpan w:val="2"/>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p>
        </w:tc>
      </w:tr>
      <w:bookmarkEnd w:id="90"/>
      <w:bookmarkEnd w:id="91"/>
    </w:tbl>
    <w:p>
      <w:pPr>
        <w:pStyle w:val="3"/>
        <w:numPr>
          <w:ilvl w:val="0"/>
          <w:numId w:val="1"/>
        </w:numPr>
        <w:spacing w:line="240" w:lineRule="auto"/>
        <w:jc w:val="center"/>
        <w:rPr>
          <w:rFonts w:hint="eastAsia" w:ascii="宋体" w:hAnsi="宋体" w:eastAsia="宋体" w:cs="宋体"/>
        </w:rPr>
      </w:pPr>
      <w:bookmarkStart w:id="94" w:name="_Toc271798817"/>
      <w:bookmarkStart w:id="95" w:name="_Toc142370552"/>
      <w:bookmarkStart w:id="96" w:name="_Toc27447"/>
      <w:r>
        <w:rPr>
          <w:rFonts w:hint="eastAsia" w:ascii="宋体" w:hAnsi="宋体" w:eastAsia="宋体" w:cs="宋体"/>
        </w:rPr>
        <w:t>附件</w:t>
      </w:r>
      <w:bookmarkEnd w:id="94"/>
      <w:bookmarkEnd w:id="95"/>
      <w:bookmarkEnd w:id="96"/>
    </w:p>
    <w:p>
      <w:pPr>
        <w:numPr>
          <w:ilvl w:val="1"/>
          <w:numId w:val="13"/>
        </w:numPr>
        <w:jc w:val="center"/>
        <w:outlineLvl w:val="1"/>
        <w:rPr>
          <w:rFonts w:hint="eastAsia" w:ascii="宋体" w:hAnsi="宋体" w:eastAsia="宋体" w:cs="宋体"/>
          <w:b/>
          <w:sz w:val="28"/>
          <w:szCs w:val="28"/>
        </w:rPr>
      </w:pPr>
      <w:bookmarkStart w:id="97" w:name="_Toc15791"/>
      <w:r>
        <w:rPr>
          <w:rFonts w:hint="eastAsia" w:ascii="宋体" w:hAnsi="宋体" w:eastAsia="宋体" w:cs="宋体"/>
          <w:color w:val="000000"/>
          <w:sz w:val="28"/>
          <w:szCs w:val="28"/>
        </w:rPr>
        <w:t>合同主要条款</w:t>
      </w:r>
      <w:bookmarkEnd w:id="97"/>
    </w:p>
    <w:p>
      <w:pPr>
        <w:rPr>
          <w:rFonts w:hint="eastAsia" w:ascii="宋体" w:hAnsi="宋体" w:eastAsia="宋体" w:cs="宋体"/>
        </w:rPr>
      </w:pPr>
    </w:p>
    <w:p>
      <w:pPr>
        <w:pStyle w:val="14"/>
        <w:spacing w:after="240"/>
        <w:ind w:firstLine="537" w:firstLineChars="224"/>
        <w:jc w:val="center"/>
        <w:rPr>
          <w:rFonts w:hint="eastAsia" w:ascii="宋体" w:hAnsi="宋体" w:eastAsia="宋体" w:cs="宋体"/>
          <w:color w:val="FF0000"/>
          <w:highlight w:val="yellow"/>
        </w:rPr>
      </w:pPr>
      <w:r>
        <w:rPr>
          <w:rFonts w:hint="eastAsia" w:ascii="宋体" w:hAnsi="宋体" w:eastAsia="宋体" w:cs="宋体"/>
          <w:color w:val="FF0000"/>
          <w:highlight w:val="yellow"/>
        </w:rPr>
        <w:t>（仅供参考）</w:t>
      </w:r>
      <w:bookmarkStart w:id="98" w:name="_Toc142370554"/>
    </w:p>
    <w:p>
      <w:pPr>
        <w:pStyle w:val="3"/>
        <w:spacing w:before="0" w:after="0" w:line="240" w:lineRule="auto"/>
        <w:jc w:val="center"/>
        <w:rPr>
          <w:rFonts w:hint="eastAsia" w:ascii="宋体" w:hAnsi="宋体" w:eastAsia="宋体" w:cs="宋体"/>
          <w:b/>
          <w:bCs/>
          <w:sz w:val="36"/>
          <w:szCs w:val="40"/>
        </w:rPr>
      </w:pPr>
      <w:r>
        <w:rPr>
          <w:rFonts w:hint="eastAsia" w:ascii="宋体" w:hAnsi="宋体" w:eastAsia="宋体" w:cs="宋体"/>
          <w:b/>
          <w:color w:val="000000" w:themeColor="text1"/>
          <w:sz w:val="36"/>
          <w:szCs w:val="40"/>
          <w:u w:val="single"/>
        </w:rPr>
        <w:t>第十三届深圳动漫节世纪汇购物中心动漫联名活动美陈搭建及物料制作项目</w:t>
      </w:r>
      <w:r>
        <w:rPr>
          <w:rFonts w:hint="eastAsia" w:ascii="宋体" w:hAnsi="宋体" w:eastAsia="宋体" w:cs="宋体"/>
          <w:sz w:val="36"/>
          <w:szCs w:val="40"/>
        </w:rPr>
        <w:t>承建合同</w:t>
      </w:r>
    </w:p>
    <w:p>
      <w:pPr>
        <w:spacing w:line="240" w:lineRule="auto"/>
        <w:rPr>
          <w:rFonts w:hint="eastAsia" w:ascii="宋体" w:hAnsi="宋体" w:eastAsia="宋体" w:cs="宋体"/>
          <w:b/>
          <w:bCs/>
          <w:sz w:val="36"/>
          <w:szCs w:val="40"/>
        </w:rPr>
      </w:pPr>
    </w:p>
    <w:p>
      <w:pPr>
        <w:spacing w:line="240" w:lineRule="auto"/>
        <w:rPr>
          <w:rFonts w:hint="eastAsia" w:ascii="宋体" w:hAnsi="宋体" w:eastAsia="宋体" w:cs="宋体"/>
          <w:b/>
          <w:bCs/>
          <w:sz w:val="28"/>
          <w:szCs w:val="32"/>
        </w:rPr>
      </w:pPr>
      <w:r>
        <w:rPr>
          <w:rFonts w:hint="eastAsia" w:ascii="宋体" w:hAnsi="宋体" w:eastAsia="宋体" w:cs="宋体"/>
          <w:b/>
          <w:bCs/>
          <w:sz w:val="28"/>
          <w:szCs w:val="32"/>
        </w:rPr>
        <w:t>甲方（承办方）：深圳市设计之都运营发展有限公司</w:t>
      </w:r>
    </w:p>
    <w:p>
      <w:pPr>
        <w:spacing w:line="240" w:lineRule="auto"/>
        <w:rPr>
          <w:rFonts w:hint="eastAsia" w:ascii="宋体" w:hAnsi="宋体" w:eastAsia="宋体" w:cs="宋体"/>
          <w:b/>
          <w:bCs/>
          <w:sz w:val="28"/>
          <w:szCs w:val="32"/>
        </w:rPr>
      </w:pPr>
      <w:r>
        <w:rPr>
          <w:rFonts w:hint="eastAsia" w:ascii="宋体" w:hAnsi="宋体" w:eastAsia="宋体" w:cs="宋体"/>
          <w:b/>
          <w:bCs/>
          <w:sz w:val="28"/>
          <w:szCs w:val="32"/>
        </w:rPr>
        <w:t>乙方（承建方）：</w:t>
      </w:r>
    </w:p>
    <w:p>
      <w:pPr>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甲乙双方经平等协商，自愿就乙方承接甲方2024年第十三届深圳市动漫节展区展览设计与搭建承建项目达成如下条款，供双方共同遵守：</w:t>
      </w:r>
    </w:p>
    <w:p>
      <w:pPr>
        <w:numPr>
          <w:ilvl w:val="0"/>
          <w:numId w:val="14"/>
        </w:numPr>
        <w:spacing w:line="240" w:lineRule="auto"/>
        <w:rPr>
          <w:rFonts w:hint="eastAsia" w:ascii="宋体" w:hAnsi="宋体" w:eastAsia="宋体" w:cs="宋体"/>
          <w:sz w:val="22"/>
          <w:szCs w:val="24"/>
        </w:rPr>
      </w:pPr>
      <w:r>
        <w:rPr>
          <w:rFonts w:hint="eastAsia" w:ascii="宋体" w:hAnsi="宋体" w:eastAsia="宋体" w:cs="宋体"/>
          <w:b/>
          <w:bCs/>
          <w:sz w:val="22"/>
          <w:szCs w:val="24"/>
        </w:rPr>
        <w:t>项目名称：</w:t>
      </w:r>
      <w:r>
        <w:rPr>
          <w:rFonts w:hint="eastAsia" w:ascii="宋体" w:hAnsi="宋体" w:eastAsia="宋体" w:cs="宋体"/>
          <w:b w:val="0"/>
          <w:color w:val="auto"/>
          <w:sz w:val="22"/>
          <w:szCs w:val="24"/>
          <w:u w:val="none"/>
        </w:rPr>
        <w:t>第十三届深圳动漫节世纪汇购物中心动漫联名活动美陈搭建及物料制作项目</w:t>
      </w:r>
    </w:p>
    <w:p>
      <w:pPr>
        <w:numPr>
          <w:ilvl w:val="0"/>
          <w:numId w:val="14"/>
        </w:numPr>
        <w:spacing w:line="240" w:lineRule="auto"/>
        <w:rPr>
          <w:rFonts w:hint="eastAsia" w:ascii="宋体" w:hAnsi="宋体" w:eastAsia="宋体" w:cs="宋体"/>
          <w:sz w:val="22"/>
          <w:szCs w:val="24"/>
        </w:rPr>
      </w:pPr>
      <w:r>
        <w:rPr>
          <w:rFonts w:hint="eastAsia" w:ascii="宋体" w:hAnsi="宋体" w:eastAsia="宋体" w:cs="宋体"/>
          <w:b/>
          <w:bCs/>
          <w:sz w:val="22"/>
          <w:szCs w:val="24"/>
        </w:rPr>
        <w:t>项目地点</w:t>
      </w:r>
      <w:r>
        <w:rPr>
          <w:rFonts w:hint="eastAsia" w:ascii="宋体" w:hAnsi="宋体" w:eastAsia="宋体" w:cs="宋体"/>
          <w:sz w:val="22"/>
          <w:szCs w:val="24"/>
        </w:rPr>
        <w:t>：</w:t>
      </w:r>
      <w:r>
        <w:rPr>
          <w:rFonts w:hint="eastAsia" w:ascii="宋体" w:hAnsi="宋体" w:eastAsia="宋体" w:cs="宋体"/>
        </w:rPr>
        <w:t>深圳世纪汇购物中心</w:t>
      </w:r>
      <w:r>
        <w:rPr>
          <w:rFonts w:hint="eastAsia" w:ascii="宋体" w:hAnsi="宋体" w:eastAsia="宋体" w:cs="宋体"/>
          <w:sz w:val="22"/>
          <w:szCs w:val="24"/>
        </w:rPr>
        <w:t>（若项目举办地点发生变化，则以甲方最后通知为准）。</w:t>
      </w:r>
    </w:p>
    <w:p>
      <w:pPr>
        <w:numPr>
          <w:ilvl w:val="0"/>
          <w:numId w:val="14"/>
        </w:numPr>
        <w:spacing w:line="240" w:lineRule="auto"/>
        <w:rPr>
          <w:rFonts w:hint="eastAsia" w:ascii="宋体" w:hAnsi="宋体" w:eastAsia="宋体" w:cs="宋体"/>
          <w:sz w:val="22"/>
          <w:szCs w:val="24"/>
        </w:rPr>
      </w:pPr>
      <w:r>
        <w:rPr>
          <w:rFonts w:hint="eastAsia" w:ascii="宋体" w:hAnsi="宋体" w:eastAsia="宋体" w:cs="宋体"/>
          <w:b/>
          <w:bCs/>
          <w:sz w:val="22"/>
          <w:szCs w:val="24"/>
        </w:rPr>
        <w:t>服务内容：</w:t>
      </w:r>
      <w:r>
        <w:rPr>
          <w:rFonts w:hint="eastAsia" w:ascii="宋体" w:hAnsi="宋体" w:eastAsia="宋体" w:cs="宋体"/>
          <w:sz w:val="22"/>
          <w:szCs w:val="24"/>
        </w:rPr>
        <w:t>乙方根据甲乙双方商定内容或有关设计图纸在指定位置完成如下工作内容：</w:t>
      </w:r>
    </w:p>
    <w:p>
      <w:pPr>
        <w:pStyle w:val="30"/>
        <w:numPr>
          <w:ilvl w:val="5"/>
          <w:numId w:val="13"/>
        </w:numPr>
        <w:spacing w:line="240" w:lineRule="auto"/>
        <w:ind w:firstLineChars="0"/>
        <w:rPr>
          <w:rFonts w:hint="eastAsia" w:ascii="宋体" w:hAnsi="宋体" w:eastAsia="宋体" w:cs="宋体"/>
          <w:b/>
          <w:sz w:val="22"/>
          <w:szCs w:val="24"/>
        </w:rPr>
      </w:pPr>
      <w:r>
        <w:rPr>
          <w:rFonts w:hint="eastAsia" w:ascii="宋体" w:hAnsi="宋体" w:eastAsia="宋体" w:cs="宋体"/>
          <w:b/>
          <w:sz w:val="22"/>
          <w:szCs w:val="24"/>
        </w:rPr>
        <w:t>委托承建项目</w:t>
      </w:r>
      <w:r>
        <w:rPr>
          <w:rFonts w:hint="eastAsia" w:ascii="宋体" w:hAnsi="宋体" w:eastAsia="宋体" w:cs="宋体"/>
        </w:rPr>
        <w:t>（需求表仅供参考，最终以实际发生为准）</w:t>
      </w:r>
    </w:p>
    <w:tbl>
      <w:tblPr>
        <w:tblStyle w:val="15"/>
        <w:tblW w:w="8386" w:type="dxa"/>
        <w:tblInd w:w="86" w:type="dxa"/>
        <w:tblLayout w:type="fixed"/>
        <w:tblCellMar>
          <w:top w:w="0" w:type="dxa"/>
          <w:left w:w="108" w:type="dxa"/>
          <w:bottom w:w="0" w:type="dxa"/>
          <w:right w:w="108" w:type="dxa"/>
        </w:tblCellMar>
      </w:tblPr>
      <w:tblGrid>
        <w:gridCol w:w="731"/>
        <w:gridCol w:w="1418"/>
        <w:gridCol w:w="1417"/>
        <w:gridCol w:w="851"/>
        <w:gridCol w:w="850"/>
        <w:gridCol w:w="2410"/>
        <w:gridCol w:w="709"/>
      </w:tblGrid>
      <w:tr>
        <w:tblPrEx>
          <w:tblCellMar>
            <w:top w:w="0" w:type="dxa"/>
            <w:left w:w="108" w:type="dxa"/>
            <w:bottom w:w="0" w:type="dxa"/>
            <w:right w:w="108" w:type="dxa"/>
          </w:tblCellMar>
        </w:tblPrEx>
        <w:trPr>
          <w:trHeight w:val="499" w:hRule="atLeast"/>
        </w:trPr>
        <w:tc>
          <w:tcPr>
            <w:tcW w:w="731" w:type="dxa"/>
            <w:tcBorders>
              <w:top w:val="single" w:color="auto" w:sz="8" w:space="0"/>
              <w:left w:val="single" w:color="auto" w:sz="8" w:space="0"/>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序号</w:t>
            </w:r>
          </w:p>
        </w:tc>
        <w:tc>
          <w:tcPr>
            <w:tcW w:w="1418"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工程项目</w:t>
            </w:r>
          </w:p>
        </w:tc>
        <w:tc>
          <w:tcPr>
            <w:tcW w:w="1417"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规格</w:t>
            </w:r>
          </w:p>
        </w:tc>
        <w:tc>
          <w:tcPr>
            <w:tcW w:w="851"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数量</w:t>
            </w:r>
          </w:p>
        </w:tc>
        <w:tc>
          <w:tcPr>
            <w:tcW w:w="850" w:type="dxa"/>
            <w:tcBorders>
              <w:top w:val="single" w:color="auto" w:sz="8" w:space="0"/>
              <w:left w:val="nil"/>
              <w:bottom w:val="single" w:color="auto" w:sz="4" w:space="0"/>
              <w:right w:val="single" w:color="auto" w:sz="4" w:space="0"/>
            </w:tcBorders>
            <w:shd w:val="clear" w:color="000000" w:fill="BFBFBF"/>
            <w:vAlign w:val="center"/>
          </w:tcPr>
          <w:p>
            <w:pPr>
              <w:rPr>
                <w:rFonts w:hint="eastAsia" w:ascii="宋体" w:hAnsi="宋体" w:eastAsia="宋体" w:cs="宋体"/>
              </w:rPr>
            </w:pPr>
            <w:r>
              <w:rPr>
                <w:rFonts w:hint="eastAsia" w:ascii="宋体" w:hAnsi="宋体" w:eastAsia="宋体" w:cs="宋体"/>
              </w:rPr>
              <w:t>单位</w:t>
            </w:r>
          </w:p>
        </w:tc>
        <w:tc>
          <w:tcPr>
            <w:tcW w:w="2410" w:type="dxa"/>
            <w:tcBorders>
              <w:top w:val="single" w:color="auto" w:sz="8" w:space="0"/>
              <w:left w:val="nil"/>
              <w:bottom w:val="single" w:color="auto" w:sz="4" w:space="0"/>
              <w:right w:val="single" w:color="auto" w:sz="8" w:space="0"/>
            </w:tcBorders>
            <w:shd w:val="clear" w:color="000000" w:fill="BFBFBF"/>
            <w:vAlign w:val="center"/>
          </w:tcPr>
          <w:p>
            <w:pPr>
              <w:rPr>
                <w:rFonts w:hint="eastAsia" w:ascii="宋体" w:hAnsi="宋体" w:eastAsia="宋体" w:cs="宋体"/>
              </w:rPr>
            </w:pPr>
            <w:r>
              <w:rPr>
                <w:rFonts w:hint="eastAsia" w:ascii="宋体" w:hAnsi="宋体" w:eastAsia="宋体" w:cs="宋体"/>
              </w:rPr>
              <w:t>材料、制作工艺以及说明</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r>
              <w:rPr>
                <w:rFonts w:hint="eastAsia" w:ascii="宋体" w:hAnsi="宋体" w:eastAsia="宋体" w:cs="宋体"/>
              </w:rPr>
              <w:t>备注</w:t>
            </w: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进场物料搭建地面保护</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b/>
                <w:bCs/>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电梯、过道装修保护膜</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门楼框架</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5500*4500*800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套</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钢木结构框架，雪佛版立体造型UV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事前区域造型板墙</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9000*4000*300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4</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魅力东奥区域造型板墙</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9000*4000*300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5</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世纪汇菱形造型板墙双面</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5000*3500*600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6</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双面行架墙面</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3500*3000*600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200厚行架四周绷喷绘布</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7</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炫舞区域造型墙面</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5500*4500*1000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钢木结构造型板墙，批灰刷乳胶漆面贴车贴UV，LED发光灯带造型</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8</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舞台区地台</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5500*3500*300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钢木架结构，四周发光灯带造型</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9</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互动区游戏装置</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3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租赁项目</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10</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创意市集</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1700*600*2000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10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套</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成品购买</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舞台区灯光</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T型灯光架</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2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面光灯</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8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盏</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全频音箱</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KT</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14</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功放效果器</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KT</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模拟调音台+音频播放电脑1台，7.13-8.31每周六日翻场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15</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调音台</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x32，7.13-8.31每周六日翻场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16</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无线手持</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SHURE UR4D</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4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17</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舞美电力设备</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现场线路布置、线缆配电箱</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18</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调音师劳务费</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6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场</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7.13-8.31每周六日翻场，按具体场次结算</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19</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折叠桌带椅子</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4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套</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一桌2椅带桌套，7.13-8.31每周六日翻场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20</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翻场人工</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8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7.13-8.31每周六日翻场</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长型软包凳</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10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成品购买</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电视机租赁</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3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台</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65寸4K电视机租赁2台，一台72寸电视机租赁</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美工物料</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全场美工字雕刻文件制作</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24</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地面地贴</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5500*22000</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121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平米</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防滑车贴UV</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25</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荧光棒</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100</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　</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26</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随机舞蹈地贴</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2.5</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米</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直径2.5米</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27</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宣传易拉宝</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5</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　</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28</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嘉宾桌牌</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color w:val="000000"/>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10</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个</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　</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29</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电路工程项目</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全场线路铺设，发光灯带，游戏区域电路</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30</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工程责任险</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施工保险，现场活动责任险</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31</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布撤展运输费</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4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趟</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布展2车，撤展2车</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color w:val="000000"/>
                <w:sz w:val="22"/>
              </w:rPr>
              <w:t>32</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卫生清洁费</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布撤展保洁</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rPr>
          <w:trHeight w:val="690" w:hRule="atLeast"/>
        </w:trPr>
        <w:tc>
          <w:tcPr>
            <w:tcW w:w="731"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33</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撤展人工</w:t>
            </w:r>
          </w:p>
        </w:tc>
        <w:tc>
          <w:tcPr>
            <w:tcW w:w="141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sz w:val="22"/>
              </w:rPr>
            </w:pPr>
            <w:r>
              <w:rPr>
                <w:rFonts w:hint="eastAsia" w:ascii="宋体" w:hAnsi="宋体" w:eastAsia="宋体" w:cs="宋体"/>
                <w:sz w:val="22"/>
              </w:rPr>
              <w:t>　</w:t>
            </w:r>
          </w:p>
        </w:tc>
        <w:tc>
          <w:tcPr>
            <w:tcW w:w="85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 xml:space="preserve">1 </w:t>
            </w:r>
          </w:p>
        </w:tc>
        <w:tc>
          <w:tcPr>
            <w:tcW w:w="85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项</w:t>
            </w:r>
          </w:p>
        </w:tc>
        <w:tc>
          <w:tcPr>
            <w:tcW w:w="241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sz w:val="22"/>
              </w:rPr>
              <w:t>拆除人工费用</w:t>
            </w:r>
          </w:p>
        </w:tc>
        <w:tc>
          <w:tcPr>
            <w:tcW w:w="709" w:type="dxa"/>
            <w:tcBorders>
              <w:top w:val="single" w:color="auto" w:sz="4" w:space="0"/>
              <w:bottom w:val="single" w:color="auto" w:sz="4" w:space="0"/>
              <w:right w:val="single" w:color="auto" w:sz="4" w:space="0"/>
            </w:tcBorders>
            <w:shd w:val="clear" w:color="auto" w:fill="auto"/>
          </w:tcPr>
          <w:p>
            <w:pPr>
              <w:rPr>
                <w:rFonts w:hint="eastAsia" w:ascii="宋体" w:hAnsi="宋体" w:eastAsia="宋体" w:cs="宋体"/>
              </w:rPr>
            </w:pPr>
          </w:p>
        </w:tc>
      </w:tr>
      <w:tr>
        <w:tblPrEx>
          <w:tblCellMar>
            <w:top w:w="0" w:type="dxa"/>
            <w:left w:w="108" w:type="dxa"/>
            <w:bottom w:w="0" w:type="dxa"/>
            <w:right w:w="108" w:type="dxa"/>
          </w:tblCellMar>
        </w:tblPrEx>
        <w:trPr>
          <w:trHeight w:val="690" w:hRule="atLeast"/>
        </w:trPr>
        <w:tc>
          <w:tcPr>
            <w:tcW w:w="5267" w:type="dxa"/>
            <w:gridSpan w:val="5"/>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合计（含税）</w:t>
            </w:r>
          </w:p>
        </w:tc>
        <w:tc>
          <w:tcPr>
            <w:tcW w:w="3119" w:type="dxa"/>
            <w:gridSpan w:val="2"/>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rPr>
            </w:pPr>
          </w:p>
        </w:tc>
      </w:tr>
    </w:tbl>
    <w:p>
      <w:pPr>
        <w:rPr>
          <w:rFonts w:hint="eastAsia" w:ascii="宋体" w:hAnsi="宋体" w:eastAsia="宋体" w:cs="宋体"/>
        </w:rPr>
      </w:pPr>
    </w:p>
    <w:p>
      <w:pPr>
        <w:pStyle w:val="30"/>
        <w:spacing w:line="240" w:lineRule="auto"/>
        <w:ind w:left="402" w:firstLine="0" w:firstLineChars="0"/>
        <w:rPr>
          <w:rFonts w:hint="eastAsia" w:ascii="宋体" w:hAnsi="宋体" w:eastAsia="宋体" w:cs="宋体"/>
          <w:b/>
          <w:sz w:val="22"/>
          <w:szCs w:val="24"/>
        </w:rPr>
      </w:pPr>
    </w:p>
    <w:p>
      <w:pPr>
        <w:tabs>
          <w:tab w:val="left" w:pos="945"/>
        </w:tabs>
        <w:autoSpaceDE w:val="0"/>
        <w:autoSpaceDN w:val="0"/>
        <w:adjustRightInd w:val="0"/>
        <w:spacing w:line="240" w:lineRule="auto"/>
        <w:jc w:val="left"/>
        <w:textAlignment w:val="baseline"/>
        <w:rPr>
          <w:rFonts w:hint="eastAsia" w:ascii="宋体" w:hAnsi="宋体" w:eastAsia="宋体" w:cs="宋体"/>
          <w:b/>
          <w:color w:val="000000"/>
          <w:sz w:val="24"/>
        </w:rPr>
      </w:pPr>
      <w:r>
        <w:rPr>
          <w:rFonts w:hint="eastAsia" w:ascii="宋体" w:hAnsi="宋体" w:eastAsia="宋体" w:cs="宋体"/>
          <w:b/>
          <w:color w:val="000000"/>
          <w:sz w:val="24"/>
        </w:rPr>
        <w:t>★不可预计部分，根据上表单价，如发生以上表格项目，按实际发生数量结算。</w:t>
      </w:r>
    </w:p>
    <w:p>
      <w:pPr>
        <w:spacing w:line="240" w:lineRule="auto"/>
        <w:ind w:left="1546" w:hanging="1546" w:hangingChars="700"/>
        <w:rPr>
          <w:rFonts w:hint="eastAsia" w:ascii="宋体" w:hAnsi="宋体" w:eastAsia="宋体" w:cs="宋体"/>
          <w:b/>
          <w:bCs/>
          <w:sz w:val="22"/>
          <w:szCs w:val="24"/>
        </w:rPr>
      </w:pPr>
      <w:r>
        <w:rPr>
          <w:rFonts w:hint="eastAsia" w:ascii="宋体" w:hAnsi="宋体" w:eastAsia="宋体" w:cs="宋体"/>
          <w:b/>
          <w:bCs/>
          <w:sz w:val="22"/>
          <w:szCs w:val="24"/>
        </w:rPr>
        <w:t xml:space="preserve">    (2)乙方工作内容 </w:t>
      </w:r>
    </w:p>
    <w:p>
      <w:pPr>
        <w:spacing w:line="240" w:lineRule="auto"/>
        <w:ind w:firstLine="440" w:firstLineChars="200"/>
        <w:jc w:val="left"/>
        <w:rPr>
          <w:rFonts w:hint="eastAsia" w:ascii="宋体" w:hAnsi="宋体" w:eastAsia="宋体" w:cs="宋体"/>
          <w:sz w:val="22"/>
          <w:szCs w:val="24"/>
        </w:rPr>
      </w:pPr>
      <w:r>
        <w:rPr>
          <w:rFonts w:hint="eastAsia" w:ascii="宋体" w:hAnsi="宋体" w:eastAsia="宋体" w:cs="宋体"/>
          <w:sz w:val="22"/>
          <w:szCs w:val="24"/>
        </w:rPr>
        <w:t>按照报价清单负责整体展会的展位搭建、氛围设计、物料制作（</w:t>
      </w:r>
      <w:r>
        <w:rPr>
          <w:rFonts w:hint="eastAsia" w:ascii="宋体" w:hAnsi="宋体" w:eastAsia="宋体" w:cs="宋体"/>
        </w:rPr>
        <w:t>包括展位结构搭建、灯具、桌椅、电费、管理费、B1级阻燃地毯）</w:t>
      </w:r>
      <w:r>
        <w:rPr>
          <w:rFonts w:hint="eastAsia" w:ascii="宋体" w:hAnsi="宋体" w:eastAsia="宋体" w:cs="宋体"/>
          <w:sz w:val="22"/>
          <w:szCs w:val="24"/>
        </w:rPr>
        <w:t>。</w:t>
      </w:r>
    </w:p>
    <w:p>
      <w:pPr>
        <w:spacing w:line="240" w:lineRule="auto"/>
        <w:ind w:left="1546" w:hanging="1546" w:hangingChars="700"/>
        <w:rPr>
          <w:rFonts w:hint="eastAsia" w:ascii="宋体" w:hAnsi="宋体" w:eastAsia="宋体" w:cs="宋体"/>
          <w:b/>
          <w:bCs/>
          <w:sz w:val="22"/>
          <w:szCs w:val="24"/>
        </w:rPr>
      </w:pPr>
      <w:r>
        <w:rPr>
          <w:rFonts w:hint="eastAsia" w:ascii="宋体" w:hAnsi="宋体" w:eastAsia="宋体" w:cs="宋体"/>
          <w:b/>
          <w:bCs/>
          <w:sz w:val="22"/>
          <w:szCs w:val="24"/>
        </w:rPr>
        <w:t>四、合同价款</w:t>
      </w:r>
    </w:p>
    <w:p>
      <w:pPr>
        <w:spacing w:line="240" w:lineRule="auto"/>
        <w:ind w:firstLine="443"/>
        <w:rPr>
          <w:rFonts w:hint="eastAsia" w:ascii="宋体" w:hAnsi="宋体" w:eastAsia="宋体" w:cs="宋体"/>
          <w:sz w:val="22"/>
          <w:szCs w:val="24"/>
        </w:rPr>
      </w:pPr>
      <w:r>
        <w:rPr>
          <w:rFonts w:hint="eastAsia" w:ascii="宋体" w:hAnsi="宋体" w:eastAsia="宋体" w:cs="宋体"/>
          <w:sz w:val="22"/>
          <w:szCs w:val="24"/>
        </w:rPr>
        <w:t>1、合同预计总金额为</w:t>
      </w:r>
      <w:r>
        <w:rPr>
          <w:rFonts w:hint="eastAsia" w:ascii="宋体" w:hAnsi="宋体" w:eastAsia="宋体" w:cs="宋体"/>
          <w:b/>
          <w:bCs/>
          <w:sz w:val="22"/>
          <w:szCs w:val="24"/>
        </w:rPr>
        <w:t>人民币：100,000元（大写：</w:t>
      </w:r>
      <w:r>
        <w:rPr>
          <w:rFonts w:hint="eastAsia" w:ascii="宋体" w:hAnsi="宋体" w:eastAsia="宋体" w:cs="宋体"/>
          <w:b/>
          <w:bCs/>
          <w:sz w:val="22"/>
          <w:szCs w:val="24"/>
          <w:lang w:val="en-US" w:eastAsia="zh-CN"/>
        </w:rPr>
        <w:t>壹</w:t>
      </w:r>
      <w:r>
        <w:rPr>
          <w:rFonts w:hint="eastAsia" w:ascii="宋体" w:hAnsi="宋体" w:eastAsia="宋体" w:cs="宋体"/>
          <w:b/>
          <w:bCs/>
          <w:sz w:val="22"/>
          <w:szCs w:val="24"/>
        </w:rPr>
        <w:t>拾万元整）</w:t>
      </w:r>
      <w:r>
        <w:rPr>
          <w:rFonts w:hint="eastAsia" w:ascii="宋体" w:hAnsi="宋体" w:eastAsia="宋体" w:cs="宋体"/>
          <w:sz w:val="22"/>
          <w:szCs w:val="24"/>
        </w:rPr>
        <w:t>，最终结算以现场实际工作量计算。所有报价，详见</w:t>
      </w:r>
      <w:r>
        <w:rPr>
          <w:rFonts w:hint="eastAsia" w:ascii="宋体" w:hAnsi="宋体" w:eastAsia="宋体" w:cs="宋体"/>
          <w:b/>
          <w:bCs/>
          <w:sz w:val="22"/>
          <w:szCs w:val="24"/>
        </w:rPr>
        <w:t>《附件清单》</w:t>
      </w:r>
      <w:r>
        <w:rPr>
          <w:rFonts w:hint="eastAsia" w:ascii="宋体" w:hAnsi="宋体" w:eastAsia="宋体" w:cs="宋体"/>
          <w:sz w:val="22"/>
          <w:szCs w:val="24"/>
        </w:rPr>
        <w:t>。如有增加项目，经双方协商可订立补充合同，补充合同与本合同具有同等法律效力。</w:t>
      </w:r>
    </w:p>
    <w:p>
      <w:pPr>
        <w:spacing w:line="240" w:lineRule="auto"/>
        <w:ind w:firstLine="443"/>
        <w:rPr>
          <w:rFonts w:hint="eastAsia" w:ascii="宋体" w:hAnsi="宋体" w:eastAsia="宋体" w:cs="宋体"/>
          <w:b/>
          <w:bCs/>
          <w:sz w:val="22"/>
          <w:szCs w:val="24"/>
        </w:rPr>
      </w:pPr>
      <w:r>
        <w:rPr>
          <w:rFonts w:hint="eastAsia" w:ascii="宋体" w:hAnsi="宋体" w:eastAsia="宋体" w:cs="宋体"/>
          <w:b/>
          <w:bCs/>
          <w:sz w:val="22"/>
          <w:szCs w:val="24"/>
        </w:rPr>
        <w:t>2、以上报价含施工管理费、电费以及税费等一切完成本项目的费用。</w:t>
      </w:r>
    </w:p>
    <w:p>
      <w:pPr>
        <w:spacing w:line="240" w:lineRule="auto"/>
        <w:ind w:firstLine="443"/>
        <w:rPr>
          <w:rFonts w:hint="eastAsia" w:ascii="宋体" w:hAnsi="宋体" w:eastAsia="宋体" w:cs="宋体"/>
        </w:rPr>
      </w:pPr>
      <w:r>
        <w:rPr>
          <w:rFonts w:hint="eastAsia" w:ascii="宋体" w:hAnsi="宋体" w:eastAsia="宋体" w:cs="宋体"/>
          <w:sz w:val="22"/>
          <w:szCs w:val="24"/>
        </w:rPr>
        <w:t>3、以上项目如有临时变更，须经甲乙双方书面签字确认，</w:t>
      </w:r>
      <w:r>
        <w:rPr>
          <w:rFonts w:hint="eastAsia" w:ascii="宋体" w:hAnsi="宋体" w:eastAsia="宋体" w:cs="宋体"/>
        </w:rPr>
        <w:t>展区展览设计与搭建</w:t>
      </w:r>
      <w:r>
        <w:rPr>
          <w:rFonts w:hint="eastAsia" w:ascii="宋体" w:hAnsi="宋体" w:eastAsia="宋体" w:cs="宋体"/>
          <w:b/>
          <w:bCs/>
          <w:sz w:val="22"/>
          <w:szCs w:val="24"/>
          <w:u w:val="single"/>
        </w:rPr>
        <w:t>服务费用按实际完成量结算。</w:t>
      </w:r>
    </w:p>
    <w:p>
      <w:pPr>
        <w:spacing w:line="240" w:lineRule="auto"/>
        <w:rPr>
          <w:rFonts w:hint="eastAsia" w:ascii="宋体" w:hAnsi="宋体" w:eastAsia="宋体" w:cs="宋体"/>
          <w:b/>
          <w:bCs/>
          <w:sz w:val="22"/>
          <w:szCs w:val="24"/>
        </w:rPr>
      </w:pPr>
      <w:r>
        <w:rPr>
          <w:rFonts w:hint="eastAsia" w:ascii="宋体" w:hAnsi="宋体" w:eastAsia="宋体" w:cs="宋体"/>
          <w:b/>
          <w:bCs/>
          <w:sz w:val="22"/>
          <w:szCs w:val="24"/>
        </w:rPr>
        <w:t>五、服务期限</w:t>
      </w:r>
    </w:p>
    <w:p>
      <w:pPr>
        <w:tabs>
          <w:tab w:val="left" w:pos="6486"/>
        </w:tabs>
        <w:spacing w:line="240" w:lineRule="auto"/>
        <w:ind w:firstLine="450"/>
        <w:rPr>
          <w:rFonts w:hint="eastAsia" w:ascii="宋体" w:hAnsi="宋体" w:eastAsia="宋体" w:cs="宋体"/>
          <w:sz w:val="22"/>
          <w:szCs w:val="24"/>
        </w:rPr>
      </w:pPr>
      <w:r>
        <w:rPr>
          <w:rFonts w:hint="eastAsia" w:ascii="宋体" w:hAnsi="宋体" w:eastAsia="宋体" w:cs="宋体"/>
          <w:sz w:val="22"/>
          <w:szCs w:val="24"/>
        </w:rPr>
        <w:t>1、开展时间：</w:t>
      </w:r>
      <w:r>
        <w:rPr>
          <w:rFonts w:hint="eastAsia" w:ascii="宋体" w:hAnsi="宋体" w:eastAsia="宋体" w:cs="宋体"/>
          <w:b/>
          <w:bCs/>
          <w:sz w:val="22"/>
          <w:szCs w:val="24"/>
          <w:u w:val="single"/>
        </w:rPr>
        <w:t>2024年7月13 日-8月31日每周六日翻场</w:t>
      </w:r>
      <w:r>
        <w:rPr>
          <w:rFonts w:hint="eastAsia" w:ascii="宋体" w:hAnsi="宋体" w:eastAsia="宋体" w:cs="宋体"/>
          <w:b/>
          <w:bCs/>
          <w:sz w:val="22"/>
          <w:szCs w:val="24"/>
          <w:u w:val="single"/>
        </w:rPr>
        <w:tab/>
      </w:r>
    </w:p>
    <w:p>
      <w:pPr>
        <w:spacing w:line="240" w:lineRule="auto"/>
        <w:ind w:firstLine="450"/>
        <w:rPr>
          <w:rFonts w:hint="eastAsia" w:ascii="宋体" w:hAnsi="宋体" w:eastAsia="宋体" w:cs="宋体"/>
          <w:sz w:val="22"/>
          <w:szCs w:val="24"/>
        </w:rPr>
      </w:pPr>
      <w:r>
        <w:rPr>
          <w:rFonts w:hint="eastAsia" w:ascii="宋体" w:hAnsi="宋体" w:eastAsia="宋体" w:cs="宋体"/>
          <w:sz w:val="22"/>
          <w:szCs w:val="24"/>
        </w:rPr>
        <w:t>2、搭建时间：</w:t>
      </w:r>
      <w:r>
        <w:rPr>
          <w:rFonts w:hint="eastAsia" w:ascii="宋体" w:hAnsi="宋体" w:eastAsia="宋体" w:cs="宋体"/>
          <w:b/>
          <w:bCs/>
          <w:sz w:val="22"/>
          <w:szCs w:val="24"/>
          <w:u w:val="single"/>
        </w:rPr>
        <w:t>2024年7月10日-12日08:00前完成</w:t>
      </w:r>
    </w:p>
    <w:p>
      <w:pPr>
        <w:spacing w:line="240" w:lineRule="auto"/>
        <w:ind w:firstLine="450"/>
        <w:rPr>
          <w:rFonts w:hint="eastAsia" w:ascii="宋体" w:hAnsi="宋体" w:eastAsia="宋体" w:cs="宋体"/>
        </w:rPr>
      </w:pPr>
      <w:r>
        <w:rPr>
          <w:rFonts w:hint="eastAsia" w:ascii="宋体" w:hAnsi="宋体" w:eastAsia="宋体" w:cs="宋体"/>
          <w:sz w:val="22"/>
          <w:szCs w:val="24"/>
        </w:rPr>
        <w:t>3、在规定时间内乙方未按照合同要求完成对应的搭建进度，甲方有权要求乙方加班完成，所产生的一切费用由乙方承担。</w:t>
      </w:r>
    </w:p>
    <w:p>
      <w:pPr>
        <w:spacing w:line="240" w:lineRule="auto"/>
        <w:rPr>
          <w:rFonts w:hint="eastAsia" w:ascii="宋体" w:hAnsi="宋体" w:eastAsia="宋体" w:cs="宋体"/>
          <w:b/>
          <w:bCs/>
          <w:sz w:val="22"/>
          <w:szCs w:val="24"/>
        </w:rPr>
      </w:pPr>
      <w:r>
        <w:rPr>
          <w:rFonts w:hint="eastAsia" w:ascii="宋体" w:hAnsi="宋体" w:eastAsia="宋体" w:cs="宋体"/>
          <w:b/>
          <w:bCs/>
          <w:sz w:val="22"/>
          <w:szCs w:val="24"/>
        </w:rPr>
        <w:t>六、结算方式与验收</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1、合同总价（含税）：100,000元（人民币：玖万捌仟元整），最终结算时以实际发生和调整的价格为准。</w:t>
      </w:r>
    </w:p>
    <w:p>
      <w:pPr>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2、第一次付款：双方正式签订合同后，甲方在10个工作日内预付合同总价的10%作为工程预付款，经双方协商同意，乙方需开具等额增值税专用发票</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3、第二次付款：甲方于开展前5日内支付合同总价的50%，经双方协商同意，乙方需开具等额增值税专用发票。</w:t>
      </w:r>
    </w:p>
    <w:p>
      <w:pPr>
        <w:pStyle w:val="2"/>
        <w:rPr>
          <w:rFonts w:hint="eastAsia"/>
          <w:b/>
          <w:color w:val="FF0000"/>
        </w:rPr>
      </w:pPr>
      <w:r>
        <w:rPr>
          <w:rFonts w:hint="eastAsia" w:ascii="宋体" w:hAnsi="宋体" w:eastAsia="宋体" w:cs="宋体"/>
          <w:b/>
          <w:bCs w:val="0"/>
          <w:color w:val="FF0000"/>
          <w:szCs w:val="21"/>
          <w:u w:val="single"/>
          <w:lang w:eastAsia="zh-CN"/>
        </w:rPr>
        <w:t>（</w:t>
      </w:r>
      <w:r>
        <w:rPr>
          <w:rFonts w:hint="eastAsia" w:ascii="宋体" w:hAnsi="宋体" w:eastAsia="宋体" w:cs="宋体"/>
          <w:b/>
          <w:bCs w:val="0"/>
          <w:color w:val="FF0000"/>
          <w:szCs w:val="21"/>
          <w:u w:val="single"/>
          <w:lang w:val="en-US" w:eastAsia="zh-CN"/>
        </w:rPr>
        <w:t>付款方式</w:t>
      </w:r>
      <w:r>
        <w:rPr>
          <w:rFonts w:hint="eastAsia" w:ascii="宋体" w:hAnsi="宋体" w:eastAsia="宋体" w:cs="宋体"/>
          <w:b/>
          <w:bCs w:val="0"/>
          <w:color w:val="FF0000"/>
          <w:szCs w:val="21"/>
          <w:u w:val="single"/>
        </w:rPr>
        <w:t>以最终签订的合同为准</w:t>
      </w:r>
      <w:r>
        <w:rPr>
          <w:rFonts w:hint="eastAsia" w:ascii="宋体" w:hAnsi="宋体" w:eastAsia="宋体" w:cs="宋体"/>
          <w:b/>
          <w:bCs w:val="0"/>
          <w:color w:val="FF0000"/>
          <w:szCs w:val="21"/>
          <w:u w:val="single"/>
          <w:lang w:eastAsia="zh-CN"/>
        </w:rPr>
        <w:t>）</w:t>
      </w:r>
    </w:p>
    <w:p>
      <w:pPr>
        <w:spacing w:line="240" w:lineRule="auto"/>
        <w:ind w:firstLine="440" w:firstLineChars="200"/>
        <w:rPr>
          <w:rFonts w:hint="eastAsia" w:ascii="宋体" w:hAnsi="宋体" w:eastAsia="宋体" w:cs="宋体"/>
        </w:rPr>
      </w:pPr>
      <w:r>
        <w:rPr>
          <w:rFonts w:hint="eastAsia" w:ascii="宋体" w:hAnsi="宋体" w:eastAsia="宋体" w:cs="宋体"/>
          <w:sz w:val="22"/>
          <w:szCs w:val="24"/>
        </w:rPr>
        <w:t>4、搭建完工后，由乙方按照实际完成量提交验收单，甲方代表应在验收现场按报告核实已完成的工程量并配合项目验收，项目经验收合格或甲方投入使用的，双方根据实际施工图纸和乙方出具的有关单据作为结算标准和依据，共同核定实际搭建数量并结算，甲方应于该展会闭幕后</w:t>
      </w:r>
      <w:r>
        <w:rPr>
          <w:rFonts w:hint="eastAsia" w:ascii="宋体" w:hAnsi="宋体" w:eastAsia="宋体" w:cs="宋体"/>
          <w:b/>
          <w:bCs/>
          <w:sz w:val="22"/>
          <w:szCs w:val="24"/>
          <w:u w:val="single"/>
        </w:rPr>
        <w:t>15个工作日</w:t>
      </w:r>
      <w:r>
        <w:rPr>
          <w:rFonts w:hint="eastAsia" w:ascii="宋体" w:hAnsi="宋体" w:eastAsia="宋体" w:cs="宋体"/>
          <w:sz w:val="22"/>
          <w:szCs w:val="24"/>
        </w:rPr>
        <w:t>内一次性向乙方付清余款，乙方需开具等额增值税专用发票。</w:t>
      </w:r>
    </w:p>
    <w:p>
      <w:pPr>
        <w:spacing w:line="240" w:lineRule="auto"/>
        <w:rPr>
          <w:rFonts w:hint="eastAsia" w:ascii="宋体" w:hAnsi="宋体" w:eastAsia="宋体" w:cs="宋体"/>
          <w:b/>
          <w:bCs/>
          <w:sz w:val="22"/>
          <w:szCs w:val="24"/>
        </w:rPr>
      </w:pPr>
      <w:r>
        <w:rPr>
          <w:rFonts w:hint="eastAsia" w:ascii="宋体" w:hAnsi="宋体" w:eastAsia="宋体" w:cs="宋体"/>
          <w:b/>
          <w:bCs/>
          <w:sz w:val="22"/>
          <w:szCs w:val="24"/>
        </w:rPr>
        <w:t>七、违约责任</w:t>
      </w:r>
    </w:p>
    <w:p>
      <w:pPr>
        <w:tabs>
          <w:tab w:val="left" w:pos="990"/>
        </w:tabs>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1、合同签署后，合作双方必须忠实履行相关责任。</w:t>
      </w:r>
    </w:p>
    <w:p>
      <w:pPr>
        <w:tabs>
          <w:tab w:val="left" w:pos="990"/>
        </w:tabs>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2、如甲方无合理理由改换承建商，须承担乙方为履行本合同已发生的实际费用。</w:t>
      </w:r>
    </w:p>
    <w:p>
      <w:pPr>
        <w:tabs>
          <w:tab w:val="left" w:pos="990"/>
        </w:tabs>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3、如乙方不履行合同或不能按期完成承建工程，乙方应向甲方返还已支付的全部款项，并向甲方支付合同实际结算总价款的20%的违约金，如违约金不足以弥补甲方损失的，乙方还应承担由此给甲方造成的所有损失。</w:t>
      </w:r>
    </w:p>
    <w:p>
      <w:pPr>
        <w:spacing w:line="240" w:lineRule="auto"/>
        <w:ind w:firstLine="440" w:firstLineChars="200"/>
        <w:rPr>
          <w:rFonts w:hint="eastAsia" w:ascii="宋体" w:hAnsi="宋体" w:eastAsia="宋体" w:cs="宋体"/>
        </w:rPr>
      </w:pPr>
      <w:r>
        <w:rPr>
          <w:rFonts w:hint="eastAsia" w:ascii="宋体" w:hAnsi="宋体" w:eastAsia="宋体" w:cs="宋体"/>
          <w:sz w:val="22"/>
          <w:szCs w:val="24"/>
        </w:rPr>
        <w:t>4、甲乙双方公司和双方员工，都对合同内容及甲方提供的参展企业资料具有保密义务，如一方公司或者一方员工将合同内容及参展资料泄露给第三方，一经发现，违约方应支付对方合同预计总价款</w:t>
      </w:r>
      <w:r>
        <w:rPr>
          <w:rFonts w:hint="eastAsia" w:ascii="宋体" w:hAnsi="宋体" w:eastAsia="宋体" w:cs="宋体"/>
          <w:b/>
          <w:bCs/>
          <w:sz w:val="22"/>
          <w:szCs w:val="24"/>
          <w:u w:val="single"/>
        </w:rPr>
        <w:t>10%</w:t>
      </w:r>
      <w:r>
        <w:rPr>
          <w:rFonts w:hint="eastAsia" w:ascii="宋体" w:hAnsi="宋体" w:eastAsia="宋体" w:cs="宋体"/>
          <w:sz w:val="22"/>
          <w:szCs w:val="24"/>
        </w:rPr>
        <w:t>的违约金。</w:t>
      </w:r>
    </w:p>
    <w:p>
      <w:pPr>
        <w:numPr>
          <w:ilvl w:val="255"/>
          <w:numId w:val="0"/>
        </w:numPr>
        <w:spacing w:line="240" w:lineRule="auto"/>
        <w:rPr>
          <w:rFonts w:hint="eastAsia" w:ascii="宋体" w:hAnsi="宋体" w:eastAsia="宋体" w:cs="宋体"/>
          <w:b/>
          <w:bCs/>
          <w:sz w:val="22"/>
          <w:szCs w:val="24"/>
        </w:rPr>
      </w:pPr>
      <w:r>
        <w:rPr>
          <w:rFonts w:hint="eastAsia" w:ascii="宋体" w:hAnsi="宋体" w:eastAsia="宋体" w:cs="宋体"/>
          <w:b/>
          <w:bCs/>
          <w:sz w:val="22"/>
          <w:szCs w:val="24"/>
        </w:rPr>
        <w:t>八、工程质量要求</w:t>
      </w:r>
    </w:p>
    <w:p>
      <w:pPr>
        <w:tabs>
          <w:tab w:val="left" w:pos="1831"/>
        </w:tabs>
        <w:spacing w:line="240" w:lineRule="auto"/>
        <w:ind w:left="440"/>
        <w:rPr>
          <w:rFonts w:hint="eastAsia" w:ascii="宋体" w:hAnsi="宋体" w:eastAsia="宋体" w:cs="宋体"/>
          <w:sz w:val="22"/>
          <w:szCs w:val="24"/>
        </w:rPr>
      </w:pPr>
      <w:r>
        <w:rPr>
          <w:rFonts w:hint="eastAsia" w:ascii="宋体" w:hAnsi="宋体" w:eastAsia="宋体" w:cs="宋体"/>
          <w:sz w:val="22"/>
          <w:szCs w:val="24"/>
        </w:rPr>
        <w:t>1、搭建的展板、铝材（白料）、展具、有机片、写真等材料，需要保证9成新以上，并且干净、无破损，展板颜色要一致（不能一块白一块黄）、展板硬度要一致（不能出现展板不稳等情况）；</w:t>
      </w:r>
    </w:p>
    <w:p>
      <w:pPr>
        <w:tabs>
          <w:tab w:val="left" w:pos="1831"/>
        </w:tabs>
        <w:spacing w:line="240" w:lineRule="auto"/>
        <w:ind w:left="440"/>
        <w:rPr>
          <w:rFonts w:hint="eastAsia" w:ascii="宋体" w:hAnsi="宋体" w:eastAsia="宋体" w:cs="宋体"/>
          <w:sz w:val="22"/>
          <w:szCs w:val="24"/>
        </w:rPr>
      </w:pPr>
      <w:r>
        <w:rPr>
          <w:rFonts w:hint="eastAsia" w:ascii="宋体" w:hAnsi="宋体" w:eastAsia="宋体" w:cs="宋体"/>
          <w:sz w:val="22"/>
          <w:szCs w:val="24"/>
        </w:rPr>
        <w:t>2、乙方所搭建展位符合甲方提供的有关图纸、工作清单及施工要求，乙方配电所用的电线保证采用防火护套难燃电线，只要甲方对工程质量提出书面异议，且该异议理由正当，则乙方应立即派人改进。</w:t>
      </w:r>
    </w:p>
    <w:p>
      <w:pPr>
        <w:tabs>
          <w:tab w:val="left" w:pos="1831"/>
        </w:tabs>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灯箱柱和下方灯箱柱在走电线时，电箱不能直接垂直在灯箱柱中间；</w:t>
      </w:r>
    </w:p>
    <w:p>
      <w:pPr>
        <w:tabs>
          <w:tab w:val="left" w:pos="1831"/>
        </w:tabs>
        <w:spacing w:line="24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电箱不能放在展位顶部，也不能放在展位内。</w:t>
      </w:r>
    </w:p>
    <w:p>
      <w:pPr>
        <w:tabs>
          <w:tab w:val="left" w:pos="1831"/>
        </w:tabs>
        <w:spacing w:line="240" w:lineRule="auto"/>
        <w:rPr>
          <w:rFonts w:hint="eastAsia" w:ascii="宋体" w:hAnsi="宋体" w:eastAsia="宋体" w:cs="宋体"/>
          <w:b/>
          <w:bCs/>
          <w:sz w:val="22"/>
          <w:szCs w:val="24"/>
        </w:rPr>
      </w:pPr>
      <w:r>
        <w:rPr>
          <w:rFonts w:hint="eastAsia" w:ascii="宋体" w:hAnsi="宋体" w:eastAsia="宋体" w:cs="宋体"/>
          <w:b/>
          <w:bCs/>
          <w:sz w:val="22"/>
          <w:szCs w:val="24"/>
        </w:rPr>
        <w:t>九、其他</w:t>
      </w:r>
    </w:p>
    <w:p>
      <w:pPr>
        <w:tabs>
          <w:tab w:val="left" w:pos="1831"/>
        </w:tabs>
        <w:spacing w:line="240" w:lineRule="auto"/>
        <w:ind w:left="750" w:leftChars="200" w:hanging="330" w:hangingChars="150"/>
        <w:rPr>
          <w:rFonts w:hint="eastAsia" w:ascii="宋体" w:hAnsi="宋体" w:eastAsia="宋体" w:cs="宋体"/>
          <w:sz w:val="22"/>
          <w:szCs w:val="24"/>
        </w:rPr>
      </w:pPr>
      <w:r>
        <w:rPr>
          <w:rFonts w:hint="eastAsia" w:ascii="宋体" w:hAnsi="宋体" w:eastAsia="宋体" w:cs="宋体"/>
          <w:sz w:val="22"/>
          <w:szCs w:val="24"/>
        </w:rPr>
        <w:t>1、《第十三届深圳动漫节展区展览设计与搭建报价清单》、施工图纸是本合同不可分割的组成部分，与本合同具有同等法律效力。</w:t>
      </w:r>
    </w:p>
    <w:p>
      <w:pPr>
        <w:tabs>
          <w:tab w:val="left" w:pos="990"/>
        </w:tabs>
        <w:ind w:firstLine="440" w:firstLineChars="200"/>
        <w:rPr>
          <w:rFonts w:hint="eastAsia" w:ascii="宋体" w:hAnsi="宋体" w:eastAsia="宋体" w:cs="宋体"/>
          <w:sz w:val="22"/>
          <w:szCs w:val="24"/>
        </w:rPr>
      </w:pPr>
      <w:r>
        <w:rPr>
          <w:rFonts w:hint="eastAsia" w:ascii="宋体" w:hAnsi="宋体" w:eastAsia="宋体" w:cs="宋体"/>
          <w:sz w:val="22"/>
          <w:szCs w:val="24"/>
        </w:rPr>
        <w:t>2、由于政治、军事、经济、自然灾害或疫情防控等不可抗力因素造成本合同无法履行时，甲乙双方均可免除责任。</w:t>
      </w:r>
    </w:p>
    <w:p>
      <w:pPr>
        <w:tabs>
          <w:tab w:val="left" w:pos="990"/>
        </w:tabs>
        <w:ind w:firstLine="440" w:firstLineChars="200"/>
        <w:rPr>
          <w:rFonts w:hint="eastAsia" w:ascii="宋体" w:hAnsi="宋体" w:eastAsia="宋体" w:cs="宋体"/>
          <w:sz w:val="22"/>
          <w:szCs w:val="24"/>
        </w:rPr>
      </w:pPr>
      <w:r>
        <w:rPr>
          <w:rFonts w:hint="eastAsia" w:ascii="宋体" w:hAnsi="宋体" w:eastAsia="宋体" w:cs="宋体"/>
          <w:sz w:val="22"/>
          <w:szCs w:val="24"/>
        </w:rPr>
        <w:t>3、甲乙双方就本合同内容负有保密义务，该等保密义务不因本合同的终止而消除。</w:t>
      </w:r>
    </w:p>
    <w:p>
      <w:pPr>
        <w:tabs>
          <w:tab w:val="left" w:pos="990"/>
        </w:tabs>
        <w:ind w:firstLine="440" w:firstLineChars="200"/>
        <w:rPr>
          <w:rFonts w:hint="eastAsia" w:ascii="宋体" w:hAnsi="宋体" w:eastAsia="宋体" w:cs="宋体"/>
          <w:sz w:val="22"/>
          <w:szCs w:val="24"/>
        </w:rPr>
      </w:pPr>
      <w:r>
        <w:rPr>
          <w:rFonts w:hint="eastAsia" w:ascii="宋体" w:hAnsi="宋体" w:eastAsia="宋体" w:cs="宋体"/>
          <w:sz w:val="22"/>
          <w:szCs w:val="24"/>
        </w:rPr>
        <w:t>4、本合同附件为本合同不可分割的一部分，与本合同具有同等的法律效力。</w:t>
      </w:r>
    </w:p>
    <w:p>
      <w:pPr>
        <w:tabs>
          <w:tab w:val="left" w:pos="990"/>
        </w:tabs>
        <w:ind w:left="750" w:leftChars="200" w:hanging="330" w:hangingChars="150"/>
        <w:jc w:val="left"/>
        <w:rPr>
          <w:rFonts w:hint="eastAsia" w:ascii="宋体" w:hAnsi="宋体" w:eastAsia="宋体" w:cs="宋体"/>
          <w:sz w:val="22"/>
          <w:szCs w:val="24"/>
        </w:rPr>
      </w:pPr>
      <w:r>
        <w:rPr>
          <w:rFonts w:hint="eastAsia" w:ascii="宋体" w:hAnsi="宋体" w:eastAsia="宋体" w:cs="宋体"/>
          <w:sz w:val="22"/>
          <w:szCs w:val="24"/>
        </w:rPr>
        <w:t>5、本合同一式肆份，甲方叁份，乙方壹份，经双方加盖公章后即生效。如执行本合同发生争议，由双方友好协商解决；协商不成，双方一致同意由深圳仲裁委员会仲裁。</w:t>
      </w:r>
    </w:p>
    <w:p>
      <w:pPr>
        <w:tabs>
          <w:tab w:val="center" w:pos="5453"/>
        </w:tabs>
        <w:spacing w:line="240" w:lineRule="auto"/>
        <w:jc w:val="left"/>
        <w:rPr>
          <w:rFonts w:hint="eastAsia" w:ascii="宋体" w:hAnsi="宋体" w:eastAsia="宋体" w:cs="宋体"/>
          <w:sz w:val="22"/>
          <w:szCs w:val="24"/>
        </w:rPr>
      </w:pPr>
    </w:p>
    <w:p>
      <w:pPr>
        <w:tabs>
          <w:tab w:val="center" w:pos="5453"/>
        </w:tabs>
        <w:spacing w:line="240" w:lineRule="auto"/>
        <w:jc w:val="left"/>
        <w:rPr>
          <w:rFonts w:hint="eastAsia" w:ascii="宋体" w:hAnsi="宋体" w:eastAsia="宋体" w:cs="宋体"/>
          <w:sz w:val="22"/>
          <w:szCs w:val="24"/>
        </w:rPr>
      </w:pPr>
      <w:r>
        <w:rPr>
          <w:rFonts w:hint="eastAsia" w:ascii="宋体" w:hAnsi="宋体" w:eastAsia="宋体" w:cs="宋体"/>
          <w:sz w:val="22"/>
          <w:szCs w:val="24"/>
        </w:rPr>
        <w:t>以下无正文</w:t>
      </w:r>
    </w:p>
    <w:p>
      <w:pPr>
        <w:tabs>
          <w:tab w:val="left" w:pos="990"/>
        </w:tabs>
        <w:ind w:firstLine="440" w:firstLineChars="200"/>
        <w:rPr>
          <w:rFonts w:hint="eastAsia" w:ascii="宋体" w:hAnsi="宋体" w:eastAsia="宋体" w:cs="宋体"/>
          <w:sz w:val="22"/>
          <w:szCs w:val="24"/>
          <w:highlight w:val="none"/>
        </w:rPr>
      </w:pP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甲</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方：</w:t>
      </w:r>
      <w:r>
        <w:rPr>
          <w:rFonts w:hint="eastAsia" w:ascii="宋体" w:hAnsi="宋体" w:eastAsia="宋体" w:cs="宋体"/>
          <w:sz w:val="22"/>
          <w:szCs w:val="24"/>
          <w:highlight w:val="none"/>
        </w:rPr>
        <w:t>深圳市设计之都运营发展有限公司</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代表签字（盖章）：</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时</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间：</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年</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月</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日</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地</w:t>
      </w:r>
      <w:r>
        <w:rPr>
          <w:rFonts w:hint="eastAsia" w:ascii="宋体" w:hAnsi="宋体" w:eastAsia="宋体" w:cs="宋体"/>
          <w:sz w:val="22"/>
          <w:szCs w:val="24"/>
          <w:highlight w:val="none"/>
        </w:rPr>
        <w:t xml:space="preserve">    址： </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邮</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编：</w:t>
      </w:r>
    </w:p>
    <w:p>
      <w:pPr>
        <w:tabs>
          <w:tab w:val="left" w:pos="990"/>
        </w:tabs>
        <w:ind w:firstLine="440" w:firstLineChars="200"/>
        <w:rPr>
          <w:rFonts w:hint="eastAsia" w:ascii="宋体" w:hAnsi="宋体" w:eastAsia="宋体" w:cs="宋体"/>
          <w:sz w:val="22"/>
          <w:szCs w:val="24"/>
          <w:highlight w:val="none"/>
        </w:rPr>
      </w:pP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乙</w:t>
      </w:r>
      <w:r>
        <w:rPr>
          <w:rFonts w:hint="eastAsia" w:ascii="宋体" w:hAnsi="宋体" w:eastAsia="宋体" w:cs="宋体"/>
          <w:sz w:val="22"/>
          <w:szCs w:val="24"/>
          <w:highlight w:val="none"/>
        </w:rPr>
        <w:t xml:space="preserve">    方： </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代表签字（盖章）：</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时</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间：</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年</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月</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日</w:t>
      </w:r>
    </w:p>
    <w:p>
      <w:pPr>
        <w:tabs>
          <w:tab w:val="left" w:pos="990"/>
        </w:tabs>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地</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址：</w:t>
      </w:r>
    </w:p>
    <w:p>
      <w:pPr>
        <w:tabs>
          <w:tab w:val="left" w:pos="990"/>
        </w:tabs>
        <w:ind w:firstLine="440" w:firstLineChars="200"/>
        <w:rPr>
          <w:rFonts w:hint="eastAsia" w:ascii="宋体" w:hAnsi="宋体" w:eastAsia="宋体" w:cs="宋体"/>
          <w:color w:val="auto"/>
          <w:sz w:val="22"/>
          <w:szCs w:val="24"/>
        </w:rPr>
      </w:pPr>
      <w:r>
        <w:rPr>
          <w:rFonts w:hint="eastAsia" w:ascii="宋体" w:hAnsi="宋体" w:eastAsia="宋体" w:cs="宋体"/>
          <w:sz w:val="22"/>
          <w:szCs w:val="24"/>
          <w:highlight w:val="none"/>
        </w:rPr>
        <w:t>邮</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rPr>
        <w:t>编：</w:t>
      </w:r>
    </w:p>
    <w:p>
      <w:pPr>
        <w:tabs>
          <w:tab w:val="left" w:pos="990"/>
        </w:tabs>
        <w:ind w:firstLine="440" w:firstLineChars="200"/>
        <w:rPr>
          <w:rFonts w:hint="eastAsia" w:ascii="宋体" w:hAnsi="宋体" w:eastAsia="宋体" w:cs="宋体"/>
          <w:color w:val="auto"/>
          <w:sz w:val="22"/>
          <w:szCs w:val="24"/>
        </w:rPr>
      </w:pPr>
      <w:bookmarkStart w:id="99" w:name="_Toc271798819"/>
      <w:bookmarkStart w:id="100" w:name="_Toc25586"/>
      <w:r>
        <w:rPr>
          <w:rFonts w:hint="eastAsia" w:ascii="宋体" w:hAnsi="宋体" w:eastAsia="宋体" w:cs="宋体"/>
          <w:color w:val="auto"/>
          <w:sz w:val="22"/>
          <w:szCs w:val="24"/>
        </w:rPr>
        <w:br w:type="page"/>
      </w:r>
    </w:p>
    <w:p>
      <w:pPr>
        <w:numPr>
          <w:ilvl w:val="1"/>
          <w:numId w:val="13"/>
        </w:numPr>
        <w:jc w:val="center"/>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评标原则与方法</w:t>
      </w:r>
      <w:bookmarkEnd w:id="98"/>
      <w:bookmarkEnd w:id="99"/>
      <w:bookmarkEnd w:id="100"/>
    </w:p>
    <w:p>
      <w:pPr>
        <w:autoSpaceDE w:val="0"/>
        <w:autoSpaceDN w:val="0"/>
        <w:adjustRightInd w:val="0"/>
        <w:snapToGrid w:val="0"/>
        <w:outlineLvl w:val="0"/>
        <w:rPr>
          <w:rFonts w:hint="eastAsia" w:ascii="宋体" w:hAnsi="宋体" w:eastAsia="宋体" w:cs="宋体"/>
          <w:b/>
          <w:color w:val="000000"/>
        </w:rPr>
      </w:pPr>
      <w:bookmarkStart w:id="101" w:name="_Toc22860"/>
      <w:bookmarkStart w:id="102" w:name="_Toc271798820"/>
      <w:bookmarkStart w:id="103" w:name="_Toc271608994"/>
      <w:bookmarkStart w:id="104" w:name="_Toc143337211"/>
      <w:bookmarkStart w:id="105" w:name="_Toc197199126"/>
      <w:bookmarkStart w:id="106" w:name="_Toc243201861"/>
      <w:bookmarkStart w:id="107" w:name="_Toc142882038"/>
      <w:bookmarkStart w:id="108" w:name="_Toc143488613"/>
      <w:bookmarkStart w:id="109" w:name="_Toc243212927"/>
      <w:bookmarkStart w:id="110" w:name="_Toc21142"/>
      <w:r>
        <w:rPr>
          <w:rFonts w:hint="eastAsia" w:ascii="宋体" w:hAnsi="宋体" w:eastAsia="宋体" w:cs="宋体"/>
          <w:b/>
          <w:color w:val="000000"/>
        </w:rPr>
        <w:t>1. 总则</w:t>
      </w:r>
      <w:bookmarkEnd w:id="101"/>
      <w:bookmarkEnd w:id="102"/>
      <w:bookmarkEnd w:id="103"/>
      <w:bookmarkEnd w:id="104"/>
      <w:bookmarkEnd w:id="105"/>
      <w:bookmarkEnd w:id="106"/>
      <w:bookmarkEnd w:id="107"/>
      <w:bookmarkEnd w:id="108"/>
      <w:bookmarkEnd w:id="109"/>
      <w:bookmarkEnd w:id="110"/>
    </w:p>
    <w:p>
      <w:pPr>
        <w:autoSpaceDE w:val="0"/>
        <w:autoSpaceDN w:val="0"/>
        <w:adjustRightInd w:val="0"/>
        <w:snapToGrid w:val="0"/>
        <w:ind w:left="346" w:leftChars="-17" w:hanging="382" w:hangingChars="182"/>
        <w:rPr>
          <w:rFonts w:hint="eastAsia" w:ascii="宋体" w:hAnsi="宋体" w:eastAsia="宋体" w:cs="宋体"/>
          <w:color w:val="000000"/>
        </w:rPr>
      </w:pPr>
      <w:r>
        <w:rPr>
          <w:rFonts w:hint="eastAsia" w:ascii="宋体" w:hAnsi="宋体" w:eastAsia="宋体" w:cs="宋体"/>
          <w:color w:val="000000"/>
        </w:rPr>
        <w:t>1.1 本次</w:t>
      </w:r>
      <w:r>
        <w:rPr>
          <w:rFonts w:hint="eastAsia" w:ascii="宋体" w:hAnsi="宋体" w:eastAsia="宋体" w:cs="宋体"/>
          <w:color w:val="000000"/>
        </w:rPr>
        <w:t>采购</w:t>
      </w:r>
      <w:r>
        <w:rPr>
          <w:rFonts w:hint="eastAsia" w:ascii="宋体" w:hAnsi="宋体" w:eastAsia="宋体" w:cs="宋体"/>
          <w:color w:val="000000"/>
        </w:rPr>
        <w:t>的评标方法遵循国家相关法律、法规的规定。</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1.2 本次</w:t>
      </w:r>
      <w:r>
        <w:rPr>
          <w:rFonts w:hint="eastAsia" w:ascii="宋体" w:hAnsi="宋体" w:eastAsia="宋体" w:cs="宋体"/>
          <w:color w:val="000000"/>
        </w:rPr>
        <w:t>采购</w:t>
      </w:r>
      <w:r>
        <w:rPr>
          <w:rFonts w:hint="eastAsia" w:ascii="宋体" w:hAnsi="宋体" w:eastAsia="宋体" w:cs="宋体"/>
          <w:color w:val="000000"/>
        </w:rPr>
        <w:t>采用</w:t>
      </w:r>
      <w:r>
        <w:rPr>
          <w:rFonts w:hint="eastAsia" w:ascii="宋体" w:hAnsi="宋体" w:eastAsia="宋体" w:cs="宋体"/>
          <w:color w:val="000000"/>
        </w:rPr>
        <w:t>竞争性谈判</w:t>
      </w:r>
      <w:r>
        <w:rPr>
          <w:rFonts w:hint="eastAsia" w:ascii="宋体" w:hAnsi="宋体" w:eastAsia="宋体" w:cs="宋体"/>
          <w:color w:val="000000"/>
        </w:rPr>
        <w:t>方式，对所有合格</w:t>
      </w:r>
      <w:r>
        <w:rPr>
          <w:rFonts w:hint="eastAsia" w:ascii="宋体" w:hAnsi="宋体" w:eastAsia="宋体" w:cs="宋体"/>
          <w:color w:val="000000"/>
        </w:rPr>
        <w:t>谈判供应商</w:t>
      </w:r>
      <w:r>
        <w:rPr>
          <w:rFonts w:hint="eastAsia" w:ascii="宋体" w:hAnsi="宋体" w:eastAsia="宋体" w:cs="宋体"/>
          <w:color w:val="000000"/>
        </w:rPr>
        <w:t>一视同仁。</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1.3 评标必须以</w:t>
      </w:r>
      <w:r>
        <w:rPr>
          <w:rFonts w:hint="eastAsia" w:ascii="宋体" w:hAnsi="宋体" w:eastAsia="宋体" w:cs="宋体"/>
          <w:color w:val="000000"/>
        </w:rPr>
        <w:t>谈判</w:t>
      </w:r>
      <w:r>
        <w:rPr>
          <w:rFonts w:hint="eastAsia" w:ascii="宋体" w:hAnsi="宋体" w:eastAsia="宋体" w:cs="宋体"/>
          <w:color w:val="000000"/>
        </w:rPr>
        <w:t>文件中各项规定条件为准。</w:t>
      </w:r>
    </w:p>
    <w:p>
      <w:pPr>
        <w:autoSpaceDE w:val="0"/>
        <w:autoSpaceDN w:val="0"/>
        <w:adjustRightInd w:val="0"/>
        <w:snapToGrid w:val="0"/>
        <w:outlineLvl w:val="0"/>
        <w:rPr>
          <w:rFonts w:hint="eastAsia" w:ascii="宋体" w:hAnsi="宋体" w:eastAsia="宋体" w:cs="宋体"/>
          <w:b/>
          <w:color w:val="000000"/>
        </w:rPr>
      </w:pPr>
      <w:bookmarkStart w:id="111" w:name="_Toc29460"/>
      <w:bookmarkStart w:id="112" w:name="_Toc142882039"/>
      <w:bookmarkStart w:id="113" w:name="_Toc243212928"/>
      <w:bookmarkStart w:id="114" w:name="_Toc143337212"/>
      <w:bookmarkStart w:id="115" w:name="_Toc10864"/>
      <w:bookmarkStart w:id="116" w:name="_Toc143488614"/>
      <w:bookmarkStart w:id="117" w:name="_Toc271608995"/>
      <w:bookmarkStart w:id="118" w:name="_Toc243201862"/>
      <w:bookmarkStart w:id="119" w:name="_Toc271798821"/>
      <w:bookmarkStart w:id="120" w:name="_Toc197199127"/>
      <w:r>
        <w:rPr>
          <w:rFonts w:hint="eastAsia" w:ascii="宋体" w:hAnsi="宋体" w:eastAsia="宋体" w:cs="宋体"/>
          <w:b/>
          <w:color w:val="000000"/>
        </w:rPr>
        <w:t>2. 对谈判响应文件的审查和确定</w:t>
      </w:r>
      <w:bookmarkEnd w:id="111"/>
      <w:bookmarkEnd w:id="112"/>
      <w:bookmarkEnd w:id="113"/>
      <w:bookmarkEnd w:id="114"/>
      <w:bookmarkEnd w:id="115"/>
      <w:bookmarkEnd w:id="116"/>
      <w:bookmarkEnd w:id="117"/>
      <w:bookmarkEnd w:id="118"/>
      <w:bookmarkEnd w:id="119"/>
      <w:bookmarkEnd w:id="120"/>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2.1 将组织审查</w:t>
      </w:r>
      <w:r>
        <w:rPr>
          <w:rFonts w:hint="eastAsia" w:ascii="宋体" w:hAnsi="宋体" w:eastAsia="宋体" w:cs="宋体"/>
          <w:color w:val="000000"/>
        </w:rPr>
        <w:t>谈判响应文件</w:t>
      </w:r>
      <w:r>
        <w:rPr>
          <w:rFonts w:hint="eastAsia" w:ascii="宋体" w:hAnsi="宋体" w:eastAsia="宋体" w:cs="宋体"/>
          <w:color w:val="000000"/>
        </w:rPr>
        <w:t>是否完全响应竞争性谈判文件要求（见评标表格一符合性审查表）。　</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2.1.</w:t>
      </w:r>
      <w:r>
        <w:rPr>
          <w:rFonts w:hint="eastAsia" w:ascii="宋体" w:hAnsi="宋体" w:eastAsia="宋体" w:cs="宋体"/>
          <w:color w:val="000000"/>
        </w:rPr>
        <w:t>1谈判响应文件</w:t>
      </w:r>
      <w:r>
        <w:rPr>
          <w:rFonts w:hint="eastAsia" w:ascii="宋体" w:hAnsi="宋体" w:eastAsia="宋体" w:cs="宋体"/>
          <w:color w:val="000000"/>
        </w:rPr>
        <w:t>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2.1.</w:t>
      </w:r>
      <w:r>
        <w:rPr>
          <w:rFonts w:hint="eastAsia" w:ascii="宋体" w:hAnsi="宋体" w:eastAsia="宋体" w:cs="宋体"/>
          <w:color w:val="000000"/>
        </w:rPr>
        <w:t>2</w:t>
      </w:r>
      <w:r>
        <w:rPr>
          <w:rFonts w:hint="eastAsia" w:ascii="宋体" w:hAnsi="宋体" w:eastAsia="宋体" w:cs="宋体"/>
          <w:color w:val="000000"/>
        </w:rPr>
        <w:t xml:space="preserve"> 若</w:t>
      </w:r>
      <w:r>
        <w:rPr>
          <w:rFonts w:hint="eastAsia" w:ascii="宋体" w:hAnsi="宋体" w:eastAsia="宋体" w:cs="宋体"/>
          <w:color w:val="000000"/>
        </w:rPr>
        <w:t>谈判</w:t>
      </w:r>
      <w:r>
        <w:rPr>
          <w:rFonts w:hint="eastAsia" w:ascii="宋体" w:hAnsi="宋体" w:eastAsia="宋体" w:cs="宋体"/>
          <w:color w:val="000000"/>
        </w:rPr>
        <w:t>时的开标一览表中报价及</w:t>
      </w:r>
      <w:r>
        <w:rPr>
          <w:rFonts w:hint="eastAsia" w:ascii="宋体" w:hAnsi="宋体" w:eastAsia="宋体" w:cs="宋体"/>
          <w:color w:val="000000"/>
        </w:rPr>
        <w:t>完成</w:t>
      </w:r>
      <w:r>
        <w:rPr>
          <w:rFonts w:hint="eastAsia" w:ascii="宋体" w:hAnsi="宋体" w:eastAsia="宋体" w:cs="宋体"/>
          <w:color w:val="000000"/>
        </w:rPr>
        <w:t>期等实质性内容与</w:t>
      </w:r>
      <w:r>
        <w:rPr>
          <w:rFonts w:hint="eastAsia" w:ascii="宋体" w:hAnsi="宋体" w:eastAsia="宋体" w:cs="宋体"/>
          <w:color w:val="000000"/>
        </w:rPr>
        <w:t>谈判响应文件</w:t>
      </w:r>
      <w:r>
        <w:rPr>
          <w:rFonts w:hint="eastAsia" w:ascii="宋体" w:hAnsi="宋体" w:eastAsia="宋体" w:cs="宋体"/>
          <w:color w:val="000000"/>
        </w:rPr>
        <w:t>中开标一览表不一致时，以</w:t>
      </w:r>
      <w:r>
        <w:rPr>
          <w:rFonts w:hint="eastAsia" w:ascii="宋体" w:hAnsi="宋体" w:eastAsia="宋体" w:cs="宋体"/>
          <w:color w:val="000000"/>
        </w:rPr>
        <w:t>谈判</w:t>
      </w:r>
      <w:r>
        <w:rPr>
          <w:rFonts w:hint="eastAsia" w:ascii="宋体" w:hAnsi="宋体" w:eastAsia="宋体" w:cs="宋体"/>
          <w:color w:val="000000"/>
        </w:rPr>
        <w:t>时的开标一览表为准；</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2.1.</w:t>
      </w:r>
      <w:r>
        <w:rPr>
          <w:rFonts w:hint="eastAsia" w:ascii="宋体" w:hAnsi="宋体" w:eastAsia="宋体" w:cs="宋体"/>
          <w:color w:val="000000"/>
        </w:rPr>
        <w:t>3</w:t>
      </w:r>
      <w:r>
        <w:rPr>
          <w:rFonts w:hint="eastAsia" w:ascii="宋体" w:hAnsi="宋体" w:eastAsia="宋体" w:cs="宋体"/>
          <w:color w:val="000000"/>
        </w:rPr>
        <w:t xml:space="preserve"> 若</w:t>
      </w:r>
      <w:r>
        <w:rPr>
          <w:rFonts w:hint="eastAsia" w:ascii="宋体" w:hAnsi="宋体" w:eastAsia="宋体" w:cs="宋体"/>
          <w:color w:val="000000"/>
        </w:rPr>
        <w:t>谈判供应商</w:t>
      </w:r>
      <w:r>
        <w:rPr>
          <w:rFonts w:hint="eastAsia" w:ascii="宋体" w:hAnsi="宋体" w:eastAsia="宋体" w:cs="宋体"/>
          <w:color w:val="000000"/>
        </w:rPr>
        <w:t>不接受以上对其错误的更正，其</w:t>
      </w:r>
      <w:r>
        <w:rPr>
          <w:rFonts w:hint="eastAsia" w:ascii="宋体" w:hAnsi="宋体" w:eastAsia="宋体" w:cs="宋体"/>
          <w:color w:val="000000"/>
        </w:rPr>
        <w:t>竞争性谈判</w:t>
      </w:r>
      <w:r>
        <w:rPr>
          <w:rFonts w:hint="eastAsia" w:ascii="宋体" w:hAnsi="宋体" w:eastAsia="宋体" w:cs="宋体"/>
          <w:color w:val="000000"/>
        </w:rPr>
        <w:t>将被拒绝。</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 xml:space="preserve">2.2 </w:t>
      </w:r>
      <w:r>
        <w:rPr>
          <w:rFonts w:hint="eastAsia" w:ascii="宋体" w:hAnsi="宋体" w:eastAsia="宋体" w:cs="宋体"/>
          <w:color w:val="000000"/>
        </w:rPr>
        <w:t>谈判小组</w:t>
      </w:r>
      <w:r>
        <w:rPr>
          <w:rFonts w:hint="eastAsia" w:ascii="宋体" w:hAnsi="宋体" w:eastAsia="宋体" w:cs="宋体"/>
          <w:color w:val="000000"/>
        </w:rPr>
        <w:t>将确定</w:t>
      </w:r>
      <w:r>
        <w:rPr>
          <w:rFonts w:hint="eastAsia" w:ascii="宋体" w:hAnsi="宋体" w:eastAsia="宋体" w:cs="宋体"/>
          <w:color w:val="000000"/>
        </w:rPr>
        <w:t>竞争性谈判</w:t>
      </w:r>
      <w:r>
        <w:rPr>
          <w:rFonts w:hint="eastAsia" w:ascii="宋体" w:hAnsi="宋体" w:eastAsia="宋体" w:cs="宋体"/>
          <w:color w:val="000000"/>
        </w:rPr>
        <w:t>是否符合</w:t>
      </w:r>
      <w:r>
        <w:rPr>
          <w:rFonts w:hint="eastAsia" w:ascii="宋体" w:hAnsi="宋体" w:eastAsia="宋体" w:cs="宋体"/>
          <w:color w:val="000000"/>
        </w:rPr>
        <w:t>谈判</w:t>
      </w:r>
      <w:r>
        <w:rPr>
          <w:rFonts w:hint="eastAsia" w:ascii="宋体" w:hAnsi="宋体" w:eastAsia="宋体" w:cs="宋体"/>
          <w:color w:val="000000"/>
        </w:rPr>
        <w:t>文件的所有条款、条件和规定。</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 xml:space="preserve">2.3 </w:t>
      </w:r>
      <w:r>
        <w:rPr>
          <w:rFonts w:hint="eastAsia" w:ascii="宋体" w:hAnsi="宋体" w:eastAsia="宋体" w:cs="宋体"/>
          <w:color w:val="000000"/>
        </w:rPr>
        <w:t>谈判小组</w:t>
      </w:r>
      <w:r>
        <w:rPr>
          <w:rFonts w:hint="eastAsia" w:ascii="宋体" w:hAnsi="宋体" w:eastAsia="宋体" w:cs="宋体"/>
          <w:color w:val="000000"/>
        </w:rPr>
        <w:t>判断</w:t>
      </w:r>
      <w:r>
        <w:rPr>
          <w:rFonts w:hint="eastAsia" w:ascii="宋体" w:hAnsi="宋体" w:eastAsia="宋体" w:cs="宋体"/>
          <w:color w:val="000000"/>
        </w:rPr>
        <w:t>谈判响应文件</w:t>
      </w:r>
      <w:r>
        <w:rPr>
          <w:rFonts w:hint="eastAsia" w:ascii="宋体" w:hAnsi="宋体" w:eastAsia="宋体" w:cs="宋体"/>
          <w:color w:val="000000"/>
        </w:rPr>
        <w:t>的响应性仅基于</w:t>
      </w:r>
      <w:r>
        <w:rPr>
          <w:rFonts w:hint="eastAsia" w:ascii="宋体" w:hAnsi="宋体" w:eastAsia="宋体" w:cs="宋体"/>
          <w:color w:val="000000"/>
        </w:rPr>
        <w:t>谈判响应文件</w:t>
      </w:r>
      <w:r>
        <w:rPr>
          <w:rFonts w:hint="eastAsia" w:ascii="宋体" w:hAnsi="宋体" w:eastAsia="宋体" w:cs="宋体"/>
          <w:color w:val="000000"/>
        </w:rPr>
        <w:t>本身而不靠外部证据。</w:t>
      </w:r>
    </w:p>
    <w:p>
      <w:pPr>
        <w:autoSpaceDE w:val="0"/>
        <w:autoSpaceDN w:val="0"/>
        <w:adjustRightInd w:val="0"/>
        <w:snapToGrid w:val="0"/>
        <w:rPr>
          <w:rFonts w:hint="eastAsia" w:ascii="宋体" w:hAnsi="宋体" w:eastAsia="宋体" w:cs="宋体"/>
          <w:color w:val="000000"/>
        </w:rPr>
      </w:pPr>
      <w:r>
        <w:rPr>
          <w:rFonts w:hint="eastAsia" w:ascii="宋体" w:hAnsi="宋体" w:eastAsia="宋体" w:cs="宋体"/>
          <w:color w:val="000000"/>
        </w:rPr>
        <w:t xml:space="preserve">2.4 </w:t>
      </w:r>
      <w:r>
        <w:rPr>
          <w:rFonts w:hint="eastAsia" w:ascii="宋体" w:hAnsi="宋体" w:eastAsia="宋体" w:cs="宋体"/>
          <w:color w:val="000000"/>
        </w:rPr>
        <w:t>谈判小组</w:t>
      </w:r>
      <w:r>
        <w:rPr>
          <w:rFonts w:hint="eastAsia" w:ascii="宋体" w:hAnsi="宋体" w:eastAsia="宋体" w:cs="宋体"/>
          <w:color w:val="000000"/>
        </w:rPr>
        <w:t>将拒绝被确定为非实质性响应的</w:t>
      </w:r>
      <w:r>
        <w:rPr>
          <w:rFonts w:hint="eastAsia" w:ascii="宋体" w:hAnsi="宋体" w:eastAsia="宋体" w:cs="宋体"/>
          <w:color w:val="000000"/>
        </w:rPr>
        <w:t>谈判供应商</w:t>
      </w:r>
      <w:r>
        <w:rPr>
          <w:rFonts w:hint="eastAsia" w:ascii="宋体" w:hAnsi="宋体" w:eastAsia="宋体" w:cs="宋体"/>
          <w:color w:val="000000"/>
        </w:rPr>
        <w:t>，</w:t>
      </w:r>
      <w:r>
        <w:rPr>
          <w:rFonts w:hint="eastAsia" w:ascii="宋体" w:hAnsi="宋体" w:eastAsia="宋体" w:cs="宋体"/>
          <w:color w:val="000000"/>
        </w:rPr>
        <w:t>谈判供应商</w:t>
      </w:r>
      <w:r>
        <w:rPr>
          <w:rFonts w:hint="eastAsia" w:ascii="宋体" w:hAnsi="宋体" w:eastAsia="宋体" w:cs="宋体"/>
          <w:color w:val="000000"/>
        </w:rPr>
        <w:t>不能通过修正或撤销不符之处而使其</w:t>
      </w:r>
      <w:r>
        <w:rPr>
          <w:rFonts w:hint="eastAsia" w:ascii="宋体" w:hAnsi="宋体" w:eastAsia="宋体" w:cs="宋体"/>
          <w:color w:val="000000"/>
        </w:rPr>
        <w:t>竞争性谈判</w:t>
      </w:r>
      <w:r>
        <w:rPr>
          <w:rFonts w:hint="eastAsia" w:ascii="宋体" w:hAnsi="宋体" w:eastAsia="宋体" w:cs="宋体"/>
          <w:color w:val="000000"/>
        </w:rPr>
        <w:t>成为实质性响应的</w:t>
      </w:r>
      <w:r>
        <w:rPr>
          <w:rFonts w:hint="eastAsia" w:ascii="宋体" w:hAnsi="宋体" w:eastAsia="宋体" w:cs="宋体"/>
          <w:color w:val="000000"/>
        </w:rPr>
        <w:t>竞争性谈判</w:t>
      </w:r>
      <w:r>
        <w:rPr>
          <w:rFonts w:hint="eastAsia" w:ascii="宋体" w:hAnsi="宋体" w:eastAsia="宋体" w:cs="宋体"/>
          <w:color w:val="000000"/>
        </w:rPr>
        <w:t>。</w:t>
      </w:r>
    </w:p>
    <w:p>
      <w:pPr>
        <w:autoSpaceDE w:val="0"/>
        <w:autoSpaceDN w:val="0"/>
        <w:adjustRightInd w:val="0"/>
        <w:snapToGrid w:val="0"/>
        <w:outlineLvl w:val="0"/>
        <w:rPr>
          <w:rFonts w:hint="eastAsia" w:ascii="宋体" w:hAnsi="宋体" w:eastAsia="宋体" w:cs="宋体"/>
          <w:b/>
          <w:color w:val="000000"/>
        </w:rPr>
      </w:pPr>
      <w:bookmarkStart w:id="121" w:name="_Toc243201863"/>
      <w:bookmarkStart w:id="122" w:name="_Toc271608996"/>
      <w:bookmarkStart w:id="123" w:name="_Toc271798822"/>
      <w:bookmarkStart w:id="124" w:name="_Toc142882040"/>
      <w:bookmarkStart w:id="125" w:name="_Toc31568"/>
      <w:bookmarkStart w:id="126" w:name="_Toc143488615"/>
      <w:bookmarkStart w:id="127" w:name="_Toc197199128"/>
      <w:bookmarkStart w:id="128" w:name="_Toc23114"/>
      <w:bookmarkStart w:id="129" w:name="_Toc143337213"/>
      <w:bookmarkStart w:id="130" w:name="_Toc243212929"/>
      <w:r>
        <w:rPr>
          <w:rFonts w:hint="eastAsia" w:ascii="宋体" w:hAnsi="宋体" w:eastAsia="宋体" w:cs="宋体"/>
          <w:b/>
          <w:color w:val="000000"/>
        </w:rPr>
        <w:t>3. 废标及招标失败</w:t>
      </w:r>
      <w:bookmarkEnd w:id="121"/>
      <w:bookmarkEnd w:id="122"/>
      <w:bookmarkEnd w:id="123"/>
      <w:bookmarkEnd w:id="124"/>
      <w:bookmarkEnd w:id="125"/>
      <w:bookmarkEnd w:id="126"/>
      <w:bookmarkEnd w:id="127"/>
      <w:bookmarkEnd w:id="128"/>
      <w:bookmarkEnd w:id="129"/>
      <w:bookmarkEnd w:id="130"/>
    </w:p>
    <w:p>
      <w:pPr>
        <w:autoSpaceDE w:val="0"/>
        <w:autoSpaceDN w:val="0"/>
        <w:adjustRightInd w:val="0"/>
        <w:snapToGrid w:val="0"/>
        <w:ind w:left="42" w:leftChars="20" w:firstLine="420" w:firstLineChars="200"/>
        <w:rPr>
          <w:rFonts w:hint="eastAsia" w:ascii="宋体" w:hAnsi="宋体" w:eastAsia="宋体" w:cs="宋体"/>
          <w:color w:val="000000"/>
        </w:rPr>
      </w:pPr>
      <w:r>
        <w:rPr>
          <w:rFonts w:hint="eastAsia" w:ascii="宋体" w:hAnsi="宋体" w:eastAsia="宋体" w:cs="宋体"/>
          <w:color w:val="000000"/>
        </w:rPr>
        <w:t>具体要求见第二章投标须知中第</w:t>
      </w:r>
      <w:r>
        <w:rPr>
          <w:rFonts w:hint="eastAsia" w:ascii="宋体" w:hAnsi="宋体" w:eastAsia="宋体" w:cs="宋体"/>
          <w:color w:val="000000"/>
        </w:rPr>
        <w:t>10</w:t>
      </w:r>
      <w:r>
        <w:rPr>
          <w:rFonts w:hint="eastAsia" w:ascii="宋体" w:hAnsi="宋体" w:eastAsia="宋体" w:cs="宋体"/>
          <w:color w:val="000000"/>
        </w:rPr>
        <w:t>项要求。出现废标和</w:t>
      </w:r>
      <w:r>
        <w:rPr>
          <w:rFonts w:hint="eastAsia" w:ascii="宋体" w:hAnsi="宋体" w:eastAsia="宋体" w:cs="宋体"/>
          <w:color w:val="000000"/>
        </w:rPr>
        <w:t>采购</w:t>
      </w:r>
      <w:r>
        <w:rPr>
          <w:rFonts w:hint="eastAsia" w:ascii="宋体" w:hAnsi="宋体" w:eastAsia="宋体" w:cs="宋体"/>
          <w:color w:val="000000"/>
        </w:rPr>
        <w:t>失败时，按规定填写说明情况后，评标委员会审核通过。</w:t>
      </w:r>
    </w:p>
    <w:p>
      <w:pPr>
        <w:autoSpaceDE w:val="0"/>
        <w:autoSpaceDN w:val="0"/>
        <w:adjustRightInd w:val="0"/>
        <w:snapToGrid w:val="0"/>
        <w:outlineLvl w:val="0"/>
        <w:rPr>
          <w:rFonts w:hint="eastAsia" w:ascii="宋体" w:hAnsi="宋体" w:eastAsia="宋体" w:cs="宋体"/>
          <w:b/>
          <w:color w:val="000000"/>
        </w:rPr>
      </w:pPr>
      <w:bookmarkStart w:id="131" w:name="_Toc243212930"/>
      <w:bookmarkStart w:id="132" w:name="_Toc271798823"/>
      <w:bookmarkStart w:id="133" w:name="_Toc143337214"/>
      <w:bookmarkStart w:id="134" w:name="_Toc271608997"/>
      <w:bookmarkStart w:id="135" w:name="_Toc142882041"/>
      <w:bookmarkStart w:id="136" w:name="_Toc243201864"/>
      <w:bookmarkStart w:id="137" w:name="_Toc197199129"/>
      <w:bookmarkStart w:id="138" w:name="_Toc143488616"/>
      <w:bookmarkStart w:id="139" w:name="_Toc27582"/>
      <w:bookmarkStart w:id="140" w:name="_Toc24777"/>
      <w:r>
        <w:rPr>
          <w:rFonts w:hint="eastAsia" w:ascii="宋体" w:hAnsi="宋体" w:eastAsia="宋体" w:cs="宋体"/>
          <w:b/>
          <w:color w:val="000000"/>
        </w:rPr>
        <w:t>4.</w:t>
      </w:r>
      <w:bookmarkEnd w:id="131"/>
      <w:bookmarkEnd w:id="132"/>
      <w:bookmarkEnd w:id="133"/>
      <w:bookmarkEnd w:id="134"/>
      <w:bookmarkEnd w:id="135"/>
      <w:bookmarkEnd w:id="136"/>
      <w:bookmarkEnd w:id="137"/>
      <w:bookmarkEnd w:id="138"/>
      <w:r>
        <w:rPr>
          <w:rFonts w:hint="eastAsia" w:ascii="宋体" w:hAnsi="宋体" w:eastAsia="宋体" w:cs="宋体"/>
          <w:b/>
          <w:color w:val="000000"/>
        </w:rPr>
        <w:t>谈判小组</w:t>
      </w:r>
      <w:bookmarkEnd w:id="139"/>
      <w:bookmarkEnd w:id="140"/>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采购</w:t>
      </w:r>
      <w:r>
        <w:rPr>
          <w:rFonts w:hint="eastAsia" w:ascii="宋体" w:hAnsi="宋体" w:eastAsia="宋体" w:cs="宋体"/>
          <w:color w:val="000000"/>
        </w:rPr>
        <w:t>人将根据《评标委员会和评标方法暂行规定》组建</w:t>
      </w:r>
      <w:r>
        <w:rPr>
          <w:rFonts w:hint="eastAsia" w:ascii="宋体" w:hAnsi="宋体" w:eastAsia="宋体" w:cs="宋体"/>
          <w:color w:val="000000"/>
        </w:rPr>
        <w:t>谈判小组</w:t>
      </w:r>
      <w:r>
        <w:rPr>
          <w:rFonts w:hint="eastAsia" w:ascii="宋体" w:hAnsi="宋体" w:eastAsia="宋体" w:cs="宋体"/>
          <w:color w:val="000000"/>
        </w:rPr>
        <w:t>，其成员由技术、经济等方面的专家和采购人（即用户单位）代表等</w:t>
      </w:r>
      <w:r>
        <w:rPr>
          <w:rFonts w:hint="eastAsia" w:ascii="宋体" w:hAnsi="宋体" w:eastAsia="宋体" w:cs="宋体"/>
          <w:color w:val="000000"/>
          <w:u w:val="single"/>
        </w:rPr>
        <w:t>五</w:t>
      </w:r>
      <w:r>
        <w:rPr>
          <w:rFonts w:hint="eastAsia" w:ascii="宋体" w:hAnsi="宋体" w:eastAsia="宋体" w:cs="宋体"/>
          <w:color w:val="000000"/>
        </w:rPr>
        <w:t>人</w:t>
      </w:r>
      <w:r>
        <w:rPr>
          <w:rFonts w:hint="eastAsia" w:ascii="宋体" w:hAnsi="宋体" w:eastAsia="宋体" w:cs="宋体"/>
          <w:color w:val="000000"/>
        </w:rPr>
        <w:t>及以上</w:t>
      </w:r>
      <w:r>
        <w:rPr>
          <w:rFonts w:hint="eastAsia" w:ascii="宋体" w:hAnsi="宋体" w:eastAsia="宋体" w:cs="宋体"/>
          <w:color w:val="000000"/>
        </w:rPr>
        <w:t>单数组成，其中技术、经济等方面的专家人数不少于总数三分之二，评标委员会对谈判响应文件进行审查、质疑、评估、比较。</w:t>
      </w:r>
    </w:p>
    <w:p>
      <w:pPr>
        <w:autoSpaceDE w:val="0"/>
        <w:autoSpaceDN w:val="0"/>
        <w:adjustRightInd w:val="0"/>
        <w:snapToGrid w:val="0"/>
        <w:outlineLvl w:val="0"/>
        <w:rPr>
          <w:rFonts w:hint="eastAsia" w:ascii="宋体" w:hAnsi="宋体" w:eastAsia="宋体" w:cs="宋体"/>
          <w:b/>
          <w:color w:val="000000"/>
        </w:rPr>
      </w:pPr>
      <w:bookmarkStart w:id="141" w:name="_Toc197199130"/>
      <w:bookmarkStart w:id="142" w:name="_Toc271798824"/>
      <w:bookmarkStart w:id="143" w:name="_Toc142882042"/>
      <w:bookmarkStart w:id="144" w:name="_Toc5723"/>
      <w:bookmarkStart w:id="145" w:name="_Toc243212931"/>
      <w:bookmarkStart w:id="146" w:name="_Toc243201865"/>
      <w:bookmarkStart w:id="147" w:name="_Toc8568"/>
      <w:bookmarkStart w:id="148" w:name="_Toc143488617"/>
      <w:bookmarkStart w:id="149" w:name="_Toc271608998"/>
      <w:bookmarkStart w:id="150" w:name="_Toc143337215"/>
      <w:r>
        <w:rPr>
          <w:rFonts w:hint="eastAsia" w:ascii="宋体" w:hAnsi="宋体" w:eastAsia="宋体" w:cs="宋体"/>
          <w:b/>
          <w:color w:val="000000"/>
        </w:rPr>
        <w:t>5.</w:t>
      </w:r>
      <w:r>
        <w:rPr>
          <w:rFonts w:hint="eastAsia" w:ascii="宋体" w:hAnsi="宋体" w:eastAsia="宋体" w:cs="宋体"/>
          <w:b/>
          <w:color w:val="000000"/>
        </w:rPr>
        <w:t>谈判响应文件</w:t>
      </w:r>
      <w:r>
        <w:rPr>
          <w:rFonts w:hint="eastAsia" w:ascii="宋体" w:hAnsi="宋体" w:eastAsia="宋体" w:cs="宋体"/>
          <w:b/>
          <w:color w:val="000000"/>
        </w:rPr>
        <w:t>的澄清</w:t>
      </w:r>
      <w:bookmarkEnd w:id="141"/>
      <w:bookmarkEnd w:id="142"/>
      <w:bookmarkEnd w:id="143"/>
      <w:bookmarkEnd w:id="144"/>
      <w:bookmarkEnd w:id="145"/>
      <w:bookmarkEnd w:id="146"/>
      <w:bookmarkEnd w:id="147"/>
      <w:bookmarkEnd w:id="148"/>
      <w:bookmarkEnd w:id="149"/>
      <w:bookmarkEnd w:id="150"/>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为了有助于对</w:t>
      </w:r>
      <w:r>
        <w:rPr>
          <w:rFonts w:hint="eastAsia" w:ascii="宋体" w:hAnsi="宋体" w:eastAsia="宋体" w:cs="宋体"/>
          <w:color w:val="000000"/>
        </w:rPr>
        <w:t>谈判响应文件</w:t>
      </w:r>
      <w:r>
        <w:rPr>
          <w:rFonts w:hint="eastAsia" w:ascii="宋体" w:hAnsi="宋体" w:eastAsia="宋体" w:cs="宋体"/>
          <w:color w:val="000000"/>
        </w:rPr>
        <w:t>进行审查、评估和比较，</w:t>
      </w:r>
      <w:r>
        <w:rPr>
          <w:rFonts w:hint="eastAsia" w:ascii="宋体" w:hAnsi="宋体" w:eastAsia="宋体" w:cs="宋体"/>
          <w:color w:val="000000"/>
        </w:rPr>
        <w:t>采购</w:t>
      </w:r>
      <w:r>
        <w:rPr>
          <w:rFonts w:hint="eastAsia" w:ascii="宋体" w:hAnsi="宋体" w:eastAsia="宋体" w:cs="宋体"/>
          <w:color w:val="000000"/>
        </w:rPr>
        <w:t>人有权向</w:t>
      </w:r>
      <w:r>
        <w:rPr>
          <w:rFonts w:hint="eastAsia" w:ascii="宋体" w:hAnsi="宋体" w:eastAsia="宋体" w:cs="宋体"/>
          <w:color w:val="000000"/>
        </w:rPr>
        <w:t>谈判供应商</w:t>
      </w:r>
      <w:r>
        <w:rPr>
          <w:rFonts w:hint="eastAsia" w:ascii="宋体" w:hAnsi="宋体" w:eastAsia="宋体" w:cs="宋体"/>
          <w:color w:val="000000"/>
        </w:rPr>
        <w:t>质疑，请</w:t>
      </w:r>
      <w:r>
        <w:rPr>
          <w:rFonts w:hint="eastAsia" w:ascii="宋体" w:hAnsi="宋体" w:eastAsia="宋体" w:cs="宋体"/>
          <w:color w:val="000000"/>
        </w:rPr>
        <w:t>谈判供应商</w:t>
      </w:r>
      <w:r>
        <w:rPr>
          <w:rFonts w:hint="eastAsia" w:ascii="宋体" w:hAnsi="宋体" w:eastAsia="宋体" w:cs="宋体"/>
          <w:color w:val="000000"/>
        </w:rPr>
        <w:t>澄清其</w:t>
      </w:r>
      <w:r>
        <w:rPr>
          <w:rFonts w:hint="eastAsia" w:ascii="宋体" w:hAnsi="宋体" w:eastAsia="宋体" w:cs="宋体"/>
          <w:color w:val="000000"/>
        </w:rPr>
        <w:t>竞争性谈判</w:t>
      </w:r>
      <w:r>
        <w:rPr>
          <w:rFonts w:hint="eastAsia" w:ascii="宋体" w:hAnsi="宋体" w:eastAsia="宋体" w:cs="宋体"/>
          <w:color w:val="000000"/>
        </w:rPr>
        <w:t>内容。</w:t>
      </w:r>
      <w:r>
        <w:rPr>
          <w:rFonts w:hint="eastAsia" w:ascii="宋体" w:hAnsi="宋体" w:eastAsia="宋体" w:cs="宋体"/>
          <w:color w:val="000000"/>
        </w:rPr>
        <w:t>谈判供应商</w:t>
      </w:r>
      <w:r>
        <w:rPr>
          <w:rFonts w:hint="eastAsia" w:ascii="宋体" w:hAnsi="宋体" w:eastAsia="宋体" w:cs="宋体"/>
          <w:color w:val="000000"/>
        </w:rPr>
        <w:t>有责任按照</w:t>
      </w:r>
      <w:r>
        <w:rPr>
          <w:rFonts w:hint="eastAsia" w:ascii="宋体" w:hAnsi="宋体" w:eastAsia="宋体" w:cs="宋体"/>
          <w:color w:val="000000"/>
        </w:rPr>
        <w:t>采购</w:t>
      </w:r>
      <w:r>
        <w:rPr>
          <w:rFonts w:hint="eastAsia" w:ascii="宋体" w:hAnsi="宋体" w:eastAsia="宋体" w:cs="宋体"/>
          <w:color w:val="000000"/>
        </w:rPr>
        <w:t>人通知的时间、地点派专人进行答疑和书面澄清。</w:t>
      </w:r>
    </w:p>
    <w:p>
      <w:pPr>
        <w:autoSpaceDE w:val="0"/>
        <w:autoSpaceDN w:val="0"/>
        <w:adjustRightInd w:val="0"/>
        <w:snapToGrid w:val="0"/>
        <w:outlineLvl w:val="0"/>
        <w:rPr>
          <w:rFonts w:hint="eastAsia" w:ascii="宋体" w:hAnsi="宋体" w:eastAsia="宋体" w:cs="宋体"/>
          <w:b/>
          <w:color w:val="000000"/>
        </w:rPr>
      </w:pPr>
      <w:bookmarkStart w:id="151" w:name="_Toc197199131"/>
      <w:bookmarkStart w:id="152" w:name="_Toc271608999"/>
      <w:bookmarkStart w:id="153" w:name="_Toc243212932"/>
      <w:bookmarkStart w:id="154" w:name="_Toc243201866"/>
      <w:bookmarkStart w:id="155" w:name="_Toc271798825"/>
      <w:bookmarkStart w:id="156" w:name="_Toc143488618"/>
      <w:bookmarkStart w:id="157" w:name="_Toc143337216"/>
      <w:bookmarkStart w:id="158" w:name="_Toc6827"/>
      <w:bookmarkStart w:id="159" w:name="_Toc25130"/>
      <w:bookmarkStart w:id="160" w:name="_Toc142882043"/>
      <w:r>
        <w:rPr>
          <w:rFonts w:hint="eastAsia" w:ascii="宋体" w:hAnsi="宋体" w:eastAsia="宋体" w:cs="宋体"/>
          <w:b/>
          <w:color w:val="000000"/>
        </w:rPr>
        <w:t>6. 评标原则与方法</w:t>
      </w:r>
      <w:bookmarkEnd w:id="151"/>
      <w:bookmarkEnd w:id="152"/>
      <w:bookmarkEnd w:id="153"/>
      <w:bookmarkEnd w:id="154"/>
      <w:bookmarkEnd w:id="155"/>
      <w:bookmarkEnd w:id="156"/>
      <w:bookmarkEnd w:id="157"/>
      <w:bookmarkEnd w:id="158"/>
      <w:bookmarkEnd w:id="159"/>
      <w:bookmarkEnd w:id="160"/>
    </w:p>
    <w:p>
      <w:pPr>
        <w:autoSpaceDE w:val="0"/>
        <w:autoSpaceDN w:val="0"/>
        <w:adjustRightInd w:val="0"/>
        <w:snapToGrid w:val="0"/>
        <w:ind w:left="420" w:hanging="420" w:hangingChars="200"/>
        <w:rPr>
          <w:rFonts w:hint="eastAsia" w:ascii="宋体" w:hAnsi="宋体" w:eastAsia="宋体" w:cs="宋体"/>
          <w:color w:val="000000"/>
        </w:rPr>
      </w:pPr>
      <w:r>
        <w:rPr>
          <w:rFonts w:hint="eastAsia" w:ascii="宋体" w:hAnsi="宋体" w:eastAsia="宋体" w:cs="宋体"/>
          <w:color w:val="000000"/>
        </w:rPr>
        <w:t xml:space="preserve">6.1 </w:t>
      </w:r>
      <w:r>
        <w:rPr>
          <w:rFonts w:hint="eastAsia" w:ascii="宋体" w:hAnsi="宋体" w:eastAsia="宋体" w:cs="宋体"/>
          <w:color w:val="000000"/>
        </w:rPr>
        <w:t>谈判小组</w:t>
      </w:r>
      <w:r>
        <w:rPr>
          <w:rFonts w:hint="eastAsia" w:ascii="宋体" w:hAnsi="宋体" w:eastAsia="宋体" w:cs="宋体"/>
          <w:color w:val="000000"/>
        </w:rPr>
        <w:t>将遵照公开、公平、公正的评标原则，严格按照</w:t>
      </w:r>
      <w:r>
        <w:rPr>
          <w:rFonts w:hint="eastAsia" w:ascii="宋体" w:hAnsi="宋体" w:eastAsia="宋体" w:cs="宋体"/>
          <w:color w:val="000000"/>
        </w:rPr>
        <w:t>谈判</w:t>
      </w:r>
      <w:r>
        <w:rPr>
          <w:rFonts w:hint="eastAsia" w:ascii="宋体" w:hAnsi="宋体" w:eastAsia="宋体" w:cs="宋体"/>
          <w:color w:val="000000"/>
        </w:rPr>
        <w:t>文件的要求和条件进行评标，平等地对待所有谈判供应商，择优定标。</w:t>
      </w:r>
    </w:p>
    <w:p>
      <w:pPr>
        <w:autoSpaceDE w:val="0"/>
        <w:autoSpaceDN w:val="0"/>
        <w:adjustRightInd w:val="0"/>
        <w:snapToGrid w:val="0"/>
        <w:ind w:left="420" w:hanging="420" w:hangingChars="200"/>
        <w:rPr>
          <w:rFonts w:hint="eastAsia" w:ascii="宋体" w:hAnsi="宋体" w:eastAsia="宋体" w:cs="宋体"/>
          <w:color w:val="000000"/>
        </w:rPr>
      </w:pPr>
      <w:r>
        <w:rPr>
          <w:rFonts w:hint="eastAsia" w:ascii="宋体" w:hAnsi="宋体" w:eastAsia="宋体" w:cs="宋体"/>
          <w:color w:val="000000"/>
        </w:rPr>
        <w:t xml:space="preserve">6.2 </w:t>
      </w:r>
      <w:r>
        <w:rPr>
          <w:rFonts w:hint="eastAsia" w:ascii="宋体" w:hAnsi="宋体" w:eastAsia="宋体" w:cs="宋体"/>
          <w:color w:val="000000"/>
        </w:rPr>
        <w:t>谈判小组</w:t>
      </w:r>
      <w:r>
        <w:rPr>
          <w:rFonts w:hint="eastAsia" w:ascii="宋体" w:hAnsi="宋体" w:eastAsia="宋体" w:cs="宋体"/>
          <w:color w:val="000000"/>
        </w:rPr>
        <w:t>将对</w:t>
      </w:r>
      <w:r>
        <w:rPr>
          <w:rFonts w:hint="eastAsia" w:ascii="宋体" w:hAnsi="宋体" w:eastAsia="宋体" w:cs="宋体"/>
          <w:color w:val="000000"/>
        </w:rPr>
        <w:t>竞争性谈判</w:t>
      </w:r>
      <w:r>
        <w:rPr>
          <w:rFonts w:hint="eastAsia" w:ascii="宋体" w:hAnsi="宋体" w:eastAsia="宋体" w:cs="宋体"/>
          <w:color w:val="000000"/>
        </w:rPr>
        <w:t>书中的每个响应进行评价，检查其对</w:t>
      </w:r>
      <w:r>
        <w:rPr>
          <w:rFonts w:hint="eastAsia" w:ascii="宋体" w:hAnsi="宋体" w:eastAsia="宋体" w:cs="宋体"/>
          <w:color w:val="000000"/>
        </w:rPr>
        <w:t>谈判文件</w:t>
      </w:r>
      <w:r>
        <w:rPr>
          <w:rFonts w:hint="eastAsia" w:ascii="宋体" w:hAnsi="宋体" w:eastAsia="宋体" w:cs="宋体"/>
          <w:color w:val="000000"/>
        </w:rPr>
        <w:t>要求的符合程度并给出评分。</w:t>
      </w:r>
    </w:p>
    <w:p>
      <w:pPr>
        <w:autoSpaceDE w:val="0"/>
        <w:autoSpaceDN w:val="0"/>
        <w:adjustRightInd w:val="0"/>
        <w:snapToGrid w:val="0"/>
        <w:ind w:left="420" w:hanging="420" w:hangingChars="200"/>
        <w:rPr>
          <w:rFonts w:hint="eastAsia" w:ascii="宋体" w:hAnsi="宋体" w:eastAsia="宋体" w:cs="宋体"/>
          <w:color w:val="000000"/>
        </w:rPr>
      </w:pPr>
      <w:r>
        <w:rPr>
          <w:rFonts w:hint="eastAsia" w:ascii="宋体" w:hAnsi="宋体" w:eastAsia="宋体" w:cs="宋体"/>
          <w:color w:val="000000"/>
        </w:rPr>
        <w:t>6.3综合各</w:t>
      </w:r>
      <w:r>
        <w:rPr>
          <w:rFonts w:hint="eastAsia" w:ascii="宋体" w:hAnsi="宋体" w:eastAsia="宋体" w:cs="宋体"/>
          <w:color w:val="000000"/>
        </w:rPr>
        <w:t>谈判供应商</w:t>
      </w:r>
      <w:r>
        <w:rPr>
          <w:rFonts w:hint="eastAsia" w:ascii="宋体" w:hAnsi="宋体" w:eastAsia="宋体" w:cs="宋体"/>
          <w:color w:val="000000"/>
        </w:rPr>
        <w:t>商务、技术和报价进行综合评价，产生综合评估分，综合评估得分最高者为最优。</w:t>
      </w:r>
    </w:p>
    <w:p>
      <w:pPr>
        <w:pStyle w:val="4"/>
        <w:adjustRightInd w:val="0"/>
        <w:snapToGrid w:val="0"/>
        <w:spacing w:before="0" w:after="0" w:line="240" w:lineRule="auto"/>
        <w:rPr>
          <w:rFonts w:hint="eastAsia" w:ascii="宋体" w:hAnsi="宋体" w:eastAsia="宋体" w:cs="宋体"/>
          <w:b w:val="0"/>
          <w:color w:val="000000"/>
          <w:sz w:val="30"/>
          <w:szCs w:val="30"/>
        </w:rPr>
      </w:pPr>
      <w:bookmarkStart w:id="161" w:name="_Toc271798826"/>
      <w:bookmarkStart w:id="162" w:name="_Toc8731"/>
      <w:r>
        <w:rPr>
          <w:rFonts w:hint="eastAsia" w:ascii="宋体" w:hAnsi="宋体" w:eastAsia="宋体" w:cs="宋体"/>
          <w:b w:val="0"/>
          <w:color w:val="000000"/>
          <w:sz w:val="30"/>
          <w:szCs w:val="30"/>
        </w:rPr>
        <w:t>附：评标文件</w:t>
      </w:r>
      <w:bookmarkEnd w:id="161"/>
      <w:bookmarkEnd w:id="162"/>
    </w:p>
    <w:p>
      <w:pPr>
        <w:autoSpaceDE w:val="0"/>
        <w:autoSpaceDN w:val="0"/>
        <w:adjustRightInd w:val="0"/>
        <w:snapToGrid w:val="0"/>
        <w:ind w:left="422" w:hanging="422" w:hangingChars="200"/>
        <w:rPr>
          <w:rFonts w:hint="eastAsia" w:ascii="宋体" w:hAnsi="宋体" w:eastAsia="宋体" w:cs="宋体"/>
          <w:b/>
          <w:color w:val="000000"/>
        </w:rPr>
      </w:pPr>
      <w:r>
        <w:rPr>
          <w:rFonts w:hint="eastAsia" w:ascii="宋体" w:hAnsi="宋体" w:eastAsia="宋体" w:cs="宋体"/>
          <w:b/>
          <w:color w:val="000000"/>
        </w:rPr>
        <w:t>1.评标须知</w:t>
      </w:r>
    </w:p>
    <w:p>
      <w:pPr>
        <w:autoSpaceDE w:val="0"/>
        <w:autoSpaceDN w:val="0"/>
        <w:adjustRightInd w:val="0"/>
        <w:snapToGrid w:val="0"/>
        <w:rPr>
          <w:rFonts w:hint="eastAsia" w:ascii="宋体" w:hAnsi="宋体" w:eastAsia="宋体" w:cs="宋体"/>
          <w:b/>
          <w:color w:val="000000"/>
        </w:rPr>
      </w:pPr>
      <w:r>
        <w:rPr>
          <w:rFonts w:hint="eastAsia" w:ascii="宋体" w:hAnsi="宋体" w:eastAsia="宋体" w:cs="宋体"/>
          <w:b/>
          <w:color w:val="000000"/>
        </w:rPr>
        <w:t>1.1 关于评标方案</w:t>
      </w:r>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 xml:space="preserve">1.1.1 </w:t>
      </w:r>
      <w:r>
        <w:rPr>
          <w:rFonts w:hint="eastAsia" w:ascii="宋体" w:hAnsi="宋体" w:eastAsia="宋体" w:cs="宋体"/>
          <w:color w:val="000000"/>
        </w:rPr>
        <w:t>谈判小组</w:t>
      </w:r>
      <w:r>
        <w:rPr>
          <w:rFonts w:hint="eastAsia" w:ascii="宋体" w:hAnsi="宋体" w:eastAsia="宋体" w:cs="宋体"/>
          <w:color w:val="000000"/>
        </w:rPr>
        <w:t>的每个成员(以下简称评委)应认真阅读并确认已经正确理解了评标方案；</w:t>
      </w:r>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1.1.2 评委如对评标方案有异议，应在评标开始前提出。</w:t>
      </w:r>
    </w:p>
    <w:p>
      <w:pPr>
        <w:autoSpaceDE w:val="0"/>
        <w:autoSpaceDN w:val="0"/>
        <w:adjustRightInd w:val="0"/>
        <w:snapToGrid w:val="0"/>
        <w:rPr>
          <w:rFonts w:hint="eastAsia" w:ascii="宋体" w:hAnsi="宋体" w:eastAsia="宋体" w:cs="宋体"/>
          <w:b/>
          <w:color w:val="000000"/>
        </w:rPr>
      </w:pPr>
      <w:r>
        <w:rPr>
          <w:rFonts w:hint="eastAsia" w:ascii="宋体" w:hAnsi="宋体" w:eastAsia="宋体" w:cs="宋体"/>
          <w:b/>
          <w:color w:val="000000"/>
        </w:rPr>
        <w:t>1.2 关于评标</w:t>
      </w:r>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1.2.</w:t>
      </w:r>
      <w:r>
        <w:rPr>
          <w:rFonts w:hint="eastAsia" w:ascii="宋体" w:hAnsi="宋体" w:eastAsia="宋体" w:cs="宋体"/>
          <w:color w:val="000000"/>
        </w:rPr>
        <w:t>1</w:t>
      </w:r>
      <w:r>
        <w:rPr>
          <w:rFonts w:hint="eastAsia" w:ascii="宋体" w:hAnsi="宋体" w:eastAsia="宋体" w:cs="宋体"/>
          <w:color w:val="000000"/>
        </w:rPr>
        <w:t xml:space="preserve"> 每个评委应本着客观、公正的原则独立给出评价意见；</w:t>
      </w:r>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1.2.</w:t>
      </w:r>
      <w:r>
        <w:rPr>
          <w:rFonts w:hint="eastAsia" w:ascii="宋体" w:hAnsi="宋体" w:eastAsia="宋体" w:cs="宋体"/>
          <w:color w:val="000000"/>
        </w:rPr>
        <w:t xml:space="preserve">2 </w:t>
      </w:r>
      <w:r>
        <w:rPr>
          <w:rFonts w:hint="eastAsia" w:ascii="宋体" w:hAnsi="宋体" w:eastAsia="宋体" w:cs="宋体"/>
          <w:color w:val="000000"/>
        </w:rPr>
        <w:t>评委之间不得相互串通进行评分；</w:t>
      </w:r>
    </w:p>
    <w:p>
      <w:pPr>
        <w:autoSpaceDE w:val="0"/>
        <w:autoSpaceDN w:val="0"/>
        <w:adjustRightInd w:val="0"/>
        <w:snapToGrid w:val="0"/>
        <w:ind w:firstLine="420" w:firstLineChars="200"/>
        <w:rPr>
          <w:rFonts w:hint="eastAsia" w:ascii="宋体" w:hAnsi="宋体" w:eastAsia="宋体" w:cs="宋体"/>
          <w:color w:val="000000"/>
        </w:rPr>
      </w:pPr>
      <w:r>
        <w:rPr>
          <w:rFonts w:hint="eastAsia" w:ascii="宋体" w:hAnsi="宋体" w:eastAsia="宋体" w:cs="宋体"/>
          <w:color w:val="000000"/>
        </w:rPr>
        <w:t>1.2.</w:t>
      </w:r>
      <w:r>
        <w:rPr>
          <w:rFonts w:hint="eastAsia" w:ascii="宋体" w:hAnsi="宋体" w:eastAsia="宋体" w:cs="宋体"/>
          <w:color w:val="000000"/>
        </w:rPr>
        <w:t xml:space="preserve">3 </w:t>
      </w:r>
      <w:r>
        <w:rPr>
          <w:rFonts w:hint="eastAsia" w:ascii="宋体" w:hAnsi="宋体" w:eastAsia="宋体" w:cs="宋体"/>
          <w:color w:val="000000"/>
        </w:rPr>
        <w:t>评委不得试图影响其他评委的评价意见。</w:t>
      </w:r>
    </w:p>
    <w:p>
      <w:pPr>
        <w:autoSpaceDE w:val="0"/>
        <w:autoSpaceDN w:val="0"/>
        <w:adjustRightInd w:val="0"/>
        <w:snapToGrid w:val="0"/>
        <w:rPr>
          <w:rFonts w:hint="eastAsia" w:ascii="宋体" w:hAnsi="宋体" w:eastAsia="宋体" w:cs="宋体"/>
          <w:b/>
          <w:color w:val="000000"/>
        </w:rPr>
      </w:pPr>
      <w:r>
        <w:rPr>
          <w:rFonts w:hint="eastAsia" w:ascii="宋体" w:hAnsi="宋体" w:eastAsia="宋体" w:cs="宋体"/>
          <w:b/>
          <w:color w:val="000000"/>
        </w:rPr>
        <w:t>1.3 关于保密</w:t>
      </w:r>
    </w:p>
    <w:p>
      <w:pPr>
        <w:autoSpaceDE w:val="0"/>
        <w:autoSpaceDN w:val="0"/>
        <w:adjustRightInd w:val="0"/>
        <w:snapToGrid w:val="0"/>
        <w:ind w:left="479" w:leftChars="228" w:firstLine="10" w:firstLineChars="5"/>
        <w:rPr>
          <w:rFonts w:hint="eastAsia" w:ascii="宋体" w:hAnsi="宋体" w:eastAsia="宋体" w:cs="宋体"/>
          <w:color w:val="000000"/>
        </w:rPr>
      </w:pPr>
      <w:r>
        <w:rPr>
          <w:rFonts w:hint="eastAsia" w:ascii="宋体" w:hAnsi="宋体" w:eastAsia="宋体" w:cs="宋体"/>
          <w:color w:val="000000"/>
        </w:rPr>
        <w:t>1.3.1评委不得私下接触谈判供应商；</w:t>
      </w:r>
    </w:p>
    <w:p>
      <w:pPr>
        <w:autoSpaceDE w:val="0"/>
        <w:autoSpaceDN w:val="0"/>
        <w:adjustRightInd w:val="0"/>
        <w:snapToGrid w:val="0"/>
        <w:ind w:left="479" w:leftChars="228" w:firstLine="10" w:firstLineChars="5"/>
        <w:rPr>
          <w:rFonts w:hint="eastAsia" w:ascii="宋体" w:hAnsi="宋体" w:eastAsia="宋体" w:cs="宋体"/>
          <w:color w:val="000000"/>
        </w:rPr>
      </w:pPr>
      <w:r>
        <w:rPr>
          <w:rFonts w:hint="eastAsia" w:ascii="宋体" w:hAnsi="宋体" w:eastAsia="宋体" w:cs="宋体"/>
          <w:color w:val="000000"/>
        </w:rPr>
        <w:t>1.3.2评委不得接受谈判供应商的财物或其他好处；</w:t>
      </w:r>
    </w:p>
    <w:p>
      <w:pPr>
        <w:autoSpaceDE w:val="0"/>
        <w:autoSpaceDN w:val="0"/>
        <w:adjustRightInd w:val="0"/>
        <w:snapToGrid w:val="0"/>
        <w:ind w:left="479" w:leftChars="228" w:firstLine="10" w:firstLineChars="5"/>
        <w:rPr>
          <w:rFonts w:hint="eastAsia" w:ascii="宋体" w:hAnsi="宋体" w:eastAsia="宋体" w:cs="宋体"/>
          <w:color w:val="000000"/>
        </w:rPr>
      </w:pPr>
      <w:r>
        <w:rPr>
          <w:rFonts w:hint="eastAsia" w:ascii="宋体" w:hAnsi="宋体" w:eastAsia="宋体" w:cs="宋体"/>
          <w:color w:val="000000"/>
        </w:rPr>
        <w:t>1.3.3评委不得透露评标过程中的任何情况。</w:t>
      </w:r>
    </w:p>
    <w:p>
      <w:pPr>
        <w:autoSpaceDE w:val="0"/>
        <w:autoSpaceDN w:val="0"/>
        <w:adjustRightInd w:val="0"/>
        <w:snapToGrid w:val="0"/>
        <w:rPr>
          <w:rFonts w:hint="eastAsia" w:ascii="宋体" w:hAnsi="宋体" w:eastAsia="宋体" w:cs="宋体"/>
          <w:b/>
          <w:color w:val="000000"/>
        </w:rPr>
      </w:pPr>
      <w:r>
        <w:rPr>
          <w:rFonts w:hint="eastAsia" w:ascii="宋体" w:hAnsi="宋体" w:eastAsia="宋体" w:cs="宋体"/>
          <w:b/>
          <w:color w:val="000000"/>
        </w:rPr>
        <w:t>1.4 关于评标责任</w:t>
      </w:r>
    </w:p>
    <w:p>
      <w:pPr>
        <w:autoSpaceDE w:val="0"/>
        <w:autoSpaceDN w:val="0"/>
        <w:adjustRightInd w:val="0"/>
        <w:snapToGrid w:val="0"/>
        <w:ind w:left="479" w:leftChars="228" w:firstLine="10" w:firstLineChars="5"/>
        <w:rPr>
          <w:rFonts w:hint="eastAsia" w:ascii="宋体" w:hAnsi="宋体" w:eastAsia="宋体" w:cs="宋体"/>
          <w:color w:val="000000"/>
        </w:rPr>
      </w:pPr>
      <w:r>
        <w:rPr>
          <w:rFonts w:hint="eastAsia" w:ascii="宋体" w:hAnsi="宋体" w:eastAsia="宋体" w:cs="宋体"/>
          <w:color w:val="000000"/>
        </w:rPr>
        <w:t>1.4.1评委应在其书面评审意见和评标文件上签字确认；</w:t>
      </w:r>
    </w:p>
    <w:p>
      <w:pPr>
        <w:autoSpaceDE w:val="0"/>
        <w:autoSpaceDN w:val="0"/>
        <w:adjustRightInd w:val="0"/>
        <w:snapToGrid w:val="0"/>
        <w:ind w:left="479" w:leftChars="228" w:firstLine="10" w:firstLineChars="5"/>
        <w:rPr>
          <w:rFonts w:hint="eastAsia" w:ascii="宋体" w:hAnsi="宋体" w:eastAsia="宋体" w:cs="宋体"/>
          <w:color w:val="000000"/>
        </w:rPr>
      </w:pPr>
      <w:r>
        <w:rPr>
          <w:rFonts w:hint="eastAsia" w:ascii="宋体" w:hAnsi="宋体" w:eastAsia="宋体" w:cs="宋体"/>
          <w:color w:val="000000"/>
        </w:rPr>
        <w:t>1.4.2评委对其所提出的评审意见承担个人责任。</w:t>
      </w:r>
    </w:p>
    <w:p>
      <w:pPr>
        <w:autoSpaceDE w:val="0"/>
        <w:autoSpaceDN w:val="0"/>
        <w:adjustRightInd w:val="0"/>
        <w:snapToGrid w:val="0"/>
        <w:ind w:left="422" w:hanging="422" w:hangingChars="200"/>
        <w:rPr>
          <w:rFonts w:hint="eastAsia" w:ascii="宋体" w:hAnsi="宋体" w:eastAsia="宋体" w:cs="宋体"/>
          <w:b/>
          <w:color w:val="000000"/>
        </w:rPr>
      </w:pPr>
      <w:r>
        <w:rPr>
          <w:rFonts w:hint="eastAsia" w:ascii="宋体" w:hAnsi="宋体" w:eastAsia="宋体" w:cs="宋体"/>
          <w:b/>
          <w:color w:val="000000"/>
        </w:rPr>
        <w:t>2.评标流程</w:t>
      </w:r>
    </w:p>
    <w:p>
      <w:pPr>
        <w:autoSpaceDE w:val="0"/>
        <w:autoSpaceDN w:val="0"/>
        <w:adjustRightInd w:val="0"/>
        <w:snapToGrid w:val="0"/>
        <w:ind w:left="659" w:leftChars="114" w:hanging="420" w:hangingChars="200"/>
        <w:rPr>
          <w:rFonts w:hint="eastAsia" w:ascii="宋体" w:hAnsi="宋体" w:eastAsia="宋体" w:cs="宋体"/>
          <w:color w:val="000000"/>
        </w:rPr>
      </w:pPr>
      <w:r>
        <w:rPr>
          <w:rFonts w:hint="eastAsia" w:ascii="宋体" w:hAnsi="宋体" w:eastAsia="宋体" w:cs="宋体"/>
          <w:color w:val="000000"/>
        </w:rPr>
        <w:t>2.1 谈判响应文件完整性检验和谈判供应商资格符合性审查</w:t>
      </w:r>
    </w:p>
    <w:p>
      <w:pPr>
        <w:autoSpaceDE w:val="0"/>
        <w:autoSpaceDN w:val="0"/>
        <w:adjustRightInd w:val="0"/>
        <w:snapToGrid w:val="0"/>
        <w:ind w:left="449" w:leftChars="114" w:hanging="210" w:hangingChars="100"/>
        <w:rPr>
          <w:rFonts w:hint="eastAsia" w:ascii="宋体" w:hAnsi="宋体" w:eastAsia="宋体" w:cs="宋体"/>
          <w:color w:val="000000"/>
        </w:rPr>
      </w:pPr>
      <w:r>
        <w:rPr>
          <w:rFonts w:hint="eastAsia" w:ascii="宋体" w:hAnsi="宋体" w:eastAsia="宋体" w:cs="宋体"/>
          <w:color w:val="000000"/>
        </w:rPr>
        <w:t>2.2 商务、技术方案响应性评定</w:t>
      </w:r>
    </w:p>
    <w:p>
      <w:pPr>
        <w:autoSpaceDE w:val="0"/>
        <w:autoSpaceDN w:val="0"/>
        <w:adjustRightInd w:val="0"/>
        <w:snapToGrid w:val="0"/>
        <w:ind w:left="449" w:leftChars="114" w:hanging="210" w:hangingChars="100"/>
        <w:rPr>
          <w:rFonts w:hint="eastAsia" w:ascii="宋体" w:hAnsi="宋体" w:eastAsia="宋体" w:cs="宋体"/>
          <w:color w:val="000000"/>
        </w:rPr>
      </w:pPr>
      <w:r>
        <w:rPr>
          <w:rFonts w:hint="eastAsia" w:ascii="宋体" w:hAnsi="宋体" w:eastAsia="宋体" w:cs="宋体"/>
          <w:color w:val="000000"/>
        </w:rPr>
        <w:t>2.3 报价响应性评定</w:t>
      </w:r>
    </w:p>
    <w:p>
      <w:pPr>
        <w:autoSpaceDE w:val="0"/>
        <w:autoSpaceDN w:val="0"/>
        <w:adjustRightInd w:val="0"/>
        <w:snapToGrid w:val="0"/>
        <w:ind w:left="449" w:leftChars="114" w:hanging="210" w:hangingChars="100"/>
        <w:rPr>
          <w:rFonts w:hint="eastAsia" w:ascii="宋体" w:hAnsi="宋体" w:eastAsia="宋体" w:cs="宋体"/>
          <w:color w:val="000000"/>
        </w:rPr>
      </w:pPr>
      <w:r>
        <w:rPr>
          <w:rFonts w:hint="eastAsia" w:ascii="宋体" w:hAnsi="宋体" w:eastAsia="宋体" w:cs="宋体"/>
          <w:color w:val="000000"/>
        </w:rPr>
        <w:t>2.4 综合评估分的计算和排序</w:t>
      </w:r>
    </w:p>
    <w:p>
      <w:pPr>
        <w:adjustRightInd w:val="0"/>
        <w:snapToGrid w:val="0"/>
        <w:rPr>
          <w:rFonts w:hint="eastAsia" w:ascii="宋体" w:hAnsi="宋体" w:eastAsia="宋体" w:cs="宋体"/>
          <w:b/>
          <w:color w:val="000000"/>
        </w:rPr>
      </w:pPr>
      <w:r>
        <w:rPr>
          <w:rFonts w:hint="eastAsia" w:ascii="宋体" w:hAnsi="宋体" w:eastAsia="宋体" w:cs="宋体"/>
          <w:b/>
          <w:color w:val="000000"/>
        </w:rPr>
        <w:t>3.评标方案</w:t>
      </w:r>
    </w:p>
    <w:p>
      <w:pPr>
        <w:pStyle w:val="9"/>
        <w:rPr>
          <w:rFonts w:hint="eastAsia" w:ascii="宋体" w:hAnsi="宋体" w:eastAsia="宋体" w:cs="宋体"/>
        </w:rPr>
      </w:pPr>
      <w:r>
        <w:rPr>
          <w:rFonts w:hint="eastAsia" w:ascii="宋体" w:hAnsi="宋体" w:eastAsia="宋体" w:cs="宋体"/>
        </w:rPr>
        <w:t>本项目的评标办法为综合评估法。</w:t>
      </w:r>
    </w:p>
    <w:p>
      <w:pPr>
        <w:keepNex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eastAsia="宋体" w:cs="宋体"/>
          <w:sz w:val="24"/>
        </w:rPr>
        <w:t>表：</w:t>
      </w:r>
    </w:p>
    <w:tbl>
      <w:tblPr>
        <w:tblStyle w:val="15"/>
        <w:tblW w:w="11766" w:type="dxa"/>
        <w:tblInd w:w="-1593" w:type="dxa"/>
        <w:tblLayout w:type="fixed"/>
        <w:tblCellMar>
          <w:top w:w="0" w:type="dxa"/>
          <w:left w:w="108" w:type="dxa"/>
          <w:bottom w:w="0" w:type="dxa"/>
          <w:right w:w="108" w:type="dxa"/>
        </w:tblCellMar>
      </w:tblPr>
      <w:tblGrid>
        <w:gridCol w:w="11766"/>
      </w:tblGrid>
      <w:tr>
        <w:tblPrEx>
          <w:tblCellMar>
            <w:top w:w="0" w:type="dxa"/>
            <w:left w:w="108" w:type="dxa"/>
            <w:bottom w:w="0" w:type="dxa"/>
            <w:right w:w="108" w:type="dxa"/>
          </w:tblCellMar>
        </w:tblPrEx>
        <w:trPr>
          <w:trHeight w:val="9181" w:hRule="atLeast"/>
        </w:trPr>
        <w:tc>
          <w:tcPr>
            <w:tcW w:w="11766" w:type="dxa"/>
          </w:tcPr>
          <w:tbl>
            <w:tblPr>
              <w:tblStyle w:val="1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62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6624" w:type="dxa"/>
                  <w:vAlign w:val="center"/>
                </w:tcPr>
                <w:p>
                  <w:pPr>
                    <w:ind w:left="-828" w:firstLine="828"/>
                    <w:jc w:val="center"/>
                    <w:rPr>
                      <w:rFonts w:hint="eastAsia" w:ascii="宋体" w:hAnsi="宋体" w:eastAsia="宋体" w:cs="宋体"/>
                      <w:szCs w:val="21"/>
                    </w:rPr>
                  </w:pPr>
                  <w:r>
                    <w:rPr>
                      <w:rFonts w:hint="eastAsia" w:ascii="宋体" w:hAnsi="宋体" w:eastAsia="宋体" w:cs="宋体"/>
                      <w:szCs w:val="21"/>
                    </w:rPr>
                    <w:t>评议内容</w:t>
                  </w:r>
                </w:p>
              </w:tc>
              <w:tc>
                <w:tcPr>
                  <w:tcW w:w="1570" w:type="dxa"/>
                  <w:vAlign w:val="center"/>
                </w:tcPr>
                <w:p>
                  <w:pPr>
                    <w:ind w:left="44" w:hanging="44"/>
                    <w:jc w:val="center"/>
                    <w:rPr>
                      <w:rFonts w:hint="eastAsia" w:ascii="宋体" w:hAnsi="宋体" w:eastAsia="宋体" w:cs="宋体"/>
                      <w:szCs w:val="21"/>
                    </w:rPr>
                  </w:pPr>
                  <w:r>
                    <w:rPr>
                      <w:rFonts w:hint="eastAsia" w:ascii="宋体" w:hAnsi="宋体" w:eastAsia="宋体" w:cs="宋体"/>
                      <w:szCs w:val="21"/>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投标人的合格性（见投标人须知：“合格的投标人”及本章“投标文件否决性条款摘要”要求）</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投标的有效性:是否按要求由法定代表人或授权代表签署和加盖公章</w:t>
                  </w:r>
                </w:p>
              </w:tc>
              <w:tc>
                <w:tcPr>
                  <w:tcW w:w="1570" w:type="dxa"/>
                  <w:shd w:val="clear" w:color="auto" w:fill="auto"/>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投标有效期（开标日起九十个日历日）</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投标书</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lang w:val="zh-CN"/>
                    </w:rPr>
                    <w:t>合格</w:t>
                  </w:r>
                  <w:r>
                    <w:rPr>
                      <w:rFonts w:hint="eastAsia" w:ascii="宋体" w:hAnsi="宋体" w:eastAsia="宋体" w:cs="宋体"/>
                      <w:kern w:val="0"/>
                      <w:szCs w:val="21"/>
                    </w:rPr>
                    <w:t>/</w:t>
                  </w:r>
                  <w:r>
                    <w:rPr>
                      <w:rFonts w:hint="eastAsia" w:ascii="宋体" w:hAnsi="宋体" w:eastAsia="宋体" w:cs="宋体"/>
                      <w:kern w:val="0"/>
                      <w:szCs w:val="21"/>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shd w:val="clear" w:color="auto" w:fill="FFFF00"/>
                    </w:rPr>
                    <w:t>投标保证金（如不需要则删除本条）</w:t>
                  </w:r>
                </w:p>
              </w:tc>
              <w:tc>
                <w:tcPr>
                  <w:tcW w:w="1570" w:type="dxa"/>
                  <w:vAlign w:val="center"/>
                </w:tcPr>
                <w:p>
                  <w:pPr>
                    <w:spacing w:line="240" w:lineRule="auto"/>
                    <w:rPr>
                      <w:rFonts w:hint="eastAsia" w:ascii="宋体" w:hAnsi="宋体" w:eastAsia="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法定代表人证明书/法定代表人授权书</w:t>
                  </w:r>
                </w:p>
              </w:tc>
              <w:tc>
                <w:tcPr>
                  <w:tcW w:w="1570" w:type="dxa"/>
                  <w:shd w:val="clear" w:color="auto" w:fill="auto"/>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股权关系证明文件</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提供工商营业执照副本复印件(加盖公章)</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vAlign w:val="center"/>
                </w:tcPr>
                <w:p>
                  <w:pPr>
                    <w:spacing w:line="240" w:lineRule="auto"/>
                    <w:rPr>
                      <w:rFonts w:hint="eastAsia" w:ascii="宋体" w:hAnsi="宋体" w:eastAsia="宋体" w:cs="宋体"/>
                      <w:szCs w:val="21"/>
                    </w:rPr>
                  </w:pPr>
                  <w:r>
                    <w:rPr>
                      <w:rFonts w:hint="eastAsia" w:ascii="宋体" w:hAnsi="宋体" w:eastAsia="宋体" w:cs="宋体"/>
                      <w:szCs w:val="21"/>
                    </w:rPr>
                    <w:t>近三年经营业绩简介（投标人成立不足三年的可从成立之日起）</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vAlign w:val="center"/>
                </w:tcPr>
                <w:p>
                  <w:pPr>
                    <w:spacing w:line="240" w:lineRule="auto"/>
                    <w:rPr>
                      <w:rFonts w:hint="eastAsia" w:ascii="宋体" w:hAnsi="宋体" w:eastAsia="宋体" w:cs="宋体"/>
                      <w:szCs w:val="21"/>
                    </w:rPr>
                  </w:pPr>
                  <w:r>
                    <w:rPr>
                      <w:rFonts w:hint="eastAsia" w:ascii="宋体" w:hAnsi="宋体" w:eastAsia="宋体" w:cs="宋体"/>
                      <w:szCs w:val="21"/>
                    </w:rPr>
                    <w:t>近三年财务报表/审计报告/所得税汇算清缴报表（纳税申报表），投标人成立不足三年的可从成立之日起，加盖公章的复印件。</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vAlign w:val="center"/>
                </w:tcPr>
                <w:p>
                  <w:pPr>
                    <w:spacing w:line="240" w:lineRule="auto"/>
                    <w:rPr>
                      <w:rFonts w:hint="eastAsia" w:ascii="宋体" w:hAnsi="宋体" w:eastAsia="宋体" w:cs="宋体"/>
                      <w:szCs w:val="21"/>
                    </w:rPr>
                  </w:pPr>
                  <w:r>
                    <w:rPr>
                      <w:rFonts w:hint="eastAsia" w:ascii="宋体" w:hAnsi="宋体" w:eastAsia="宋体" w:cs="宋体"/>
                      <w:szCs w:val="21"/>
                    </w:rPr>
                    <w:t>提供投标文件电子文档</w:t>
                  </w:r>
                </w:p>
              </w:tc>
              <w:tc>
                <w:tcPr>
                  <w:tcW w:w="1570" w:type="dxa"/>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vAlign w:val="center"/>
                </w:tcPr>
                <w:p>
                  <w:pPr>
                    <w:spacing w:line="240" w:lineRule="auto"/>
                    <w:rPr>
                      <w:rFonts w:hint="eastAsia" w:ascii="宋体" w:hAnsi="宋体" w:eastAsia="宋体" w:cs="宋体"/>
                      <w:szCs w:val="21"/>
                    </w:rPr>
                  </w:pPr>
                  <w:r>
                    <w:rPr>
                      <w:rFonts w:hint="eastAsia" w:ascii="宋体" w:hAnsi="宋体" w:eastAsia="宋体" w:cs="宋体"/>
                      <w:szCs w:val="21"/>
                    </w:rPr>
                    <w:t>项目控制金额：投标报价超出控制金额的投标将不被接受。</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提供技术文件：各类方案及响应/偏离表</w:t>
                  </w:r>
                </w:p>
              </w:tc>
              <w:tc>
                <w:tcPr>
                  <w:tcW w:w="1570" w:type="dxa"/>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提供商务文件：商务条款响应/偏离表</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投标分项报价表</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无重大违法记录的声明函</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11" w:type="dxa"/>
                </w:tcPr>
                <w:p>
                  <w:pPr>
                    <w:numPr>
                      <w:ilvl w:val="0"/>
                      <w:numId w:val="15"/>
                    </w:numPr>
                    <w:jc w:val="center"/>
                    <w:rPr>
                      <w:rFonts w:hint="eastAsia" w:ascii="宋体" w:hAnsi="宋体" w:eastAsia="宋体" w:cs="宋体"/>
                      <w:szCs w:val="21"/>
                    </w:rPr>
                  </w:pPr>
                </w:p>
              </w:tc>
              <w:tc>
                <w:tcPr>
                  <w:tcW w:w="6624" w:type="dxa"/>
                </w:tcPr>
                <w:p>
                  <w:pPr>
                    <w:spacing w:line="240" w:lineRule="auto"/>
                    <w:rPr>
                      <w:rFonts w:hint="eastAsia" w:ascii="宋体" w:hAnsi="宋体" w:eastAsia="宋体" w:cs="宋体"/>
                      <w:szCs w:val="21"/>
                    </w:rPr>
                  </w:pPr>
                  <w:r>
                    <w:rPr>
                      <w:rFonts w:hint="eastAsia" w:ascii="宋体" w:hAnsi="宋体" w:eastAsia="宋体" w:cs="宋体"/>
                      <w:szCs w:val="21"/>
                    </w:rPr>
                    <w:t>工期承诺</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pPr>
                    <w:numPr>
                      <w:ilvl w:val="0"/>
                      <w:numId w:val="15"/>
                    </w:numPr>
                    <w:jc w:val="center"/>
                    <w:rPr>
                      <w:rFonts w:hint="eastAsia" w:ascii="宋体" w:hAnsi="宋体" w:eastAsia="宋体" w:cs="宋体"/>
                      <w:szCs w:val="21"/>
                    </w:rPr>
                  </w:pPr>
                </w:p>
              </w:tc>
              <w:tc>
                <w:tcPr>
                  <w:tcW w:w="6624" w:type="dxa"/>
                  <w:vAlign w:val="center"/>
                </w:tcPr>
                <w:p>
                  <w:pPr>
                    <w:spacing w:line="240" w:lineRule="auto"/>
                    <w:rPr>
                      <w:rFonts w:hint="eastAsia" w:ascii="宋体" w:hAnsi="宋体" w:eastAsia="宋体" w:cs="宋体"/>
                      <w:szCs w:val="21"/>
                    </w:rPr>
                  </w:pPr>
                  <w:r>
                    <w:rPr>
                      <w:rFonts w:hint="eastAsia" w:ascii="宋体" w:hAnsi="宋体" w:eastAsia="宋体" w:cs="宋体"/>
                      <w:szCs w:val="21"/>
                    </w:rPr>
                    <w:t>结论（合格/不合格）</w:t>
                  </w:r>
                </w:p>
              </w:tc>
              <w:tc>
                <w:tcPr>
                  <w:tcW w:w="1570" w:type="dxa"/>
                  <w:vAlign w:val="center"/>
                </w:tcPr>
                <w:p>
                  <w:pPr>
                    <w:spacing w:line="240" w:lineRule="auto"/>
                    <w:rPr>
                      <w:rFonts w:hint="eastAsia" w:ascii="宋体" w:hAnsi="宋体" w:eastAsia="宋体" w:cs="宋体"/>
                      <w:szCs w:val="21"/>
                    </w:rPr>
                  </w:pPr>
                  <w:r>
                    <w:rPr>
                      <w:rFonts w:hint="eastAsia" w:ascii="宋体" w:hAnsi="宋体" w:eastAsia="宋体" w:cs="宋体"/>
                      <w:szCs w:val="21"/>
                    </w:rPr>
                    <w:t>通过/不通过</w:t>
                  </w:r>
                </w:p>
              </w:tc>
            </w:tr>
          </w:tbl>
          <w:p>
            <w:pPr>
              <w:rPr>
                <w:rFonts w:hint="eastAsia" w:ascii="宋体" w:hAnsi="宋体" w:eastAsia="宋体" w:cs="宋体"/>
              </w:rPr>
            </w:pPr>
          </w:p>
        </w:tc>
      </w:tr>
    </w:tbl>
    <w:p>
      <w:pPr>
        <w:pStyle w:val="9"/>
        <w:rPr>
          <w:rFonts w:hint="eastAsia" w:ascii="宋体" w:hAnsi="宋体" w:eastAsia="宋体" w:cs="宋体"/>
          <w:b/>
          <w:bCs/>
        </w:rPr>
      </w:pPr>
    </w:p>
    <w:p>
      <w:pPr>
        <w:keepNext/>
        <w:rPr>
          <w:rFonts w:hint="eastAsia" w:ascii="宋体" w:hAnsi="宋体" w:eastAsia="宋体" w:cs="宋体"/>
          <w:color w:val="000000" w:themeColor="text1"/>
          <w:sz w:val="24"/>
        </w:rPr>
      </w:pPr>
      <w:r>
        <w:rPr>
          <w:rFonts w:hint="eastAsia" w:ascii="宋体" w:hAnsi="宋体" w:eastAsia="宋体" w:cs="宋体"/>
          <w:color w:val="000000" w:themeColor="text1"/>
          <w:sz w:val="24"/>
        </w:rPr>
        <w:t>综合评估法</w:t>
      </w:r>
    </w:p>
    <w:p>
      <w:pPr>
        <w:widowControl/>
        <w:ind w:firstLine="420" w:firstLineChars="20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采购人组建定标委员会，定标委员会成员对所有进入定标程序的按下列规定对谈判供应商进行排名。监督小组应对定标工作全过程进行监督。</w:t>
      </w:r>
    </w:p>
    <w:p>
      <w:pPr>
        <w:widowControl/>
        <w:ind w:firstLine="420" w:firstLineChars="20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采购人依据评标结果对进入定标程序的各投标单位的投标报价计算得分并对评标专家意见进行分类汇总。</w:t>
      </w:r>
    </w:p>
    <w:p>
      <w:pPr>
        <w:widowControl/>
        <w:ind w:firstLine="420" w:firstLineChars="20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定标委员会根据投标单位的技术标得分（权重为</w:t>
      </w:r>
      <w:r>
        <w:rPr>
          <w:rFonts w:hint="eastAsia" w:ascii="宋体" w:hAnsi="宋体" w:eastAsia="宋体" w:cs="宋体"/>
          <w:color w:val="000000" w:themeColor="text1"/>
          <w:szCs w:val="21"/>
          <w:lang w:val="en-US" w:eastAsia="zh-CN"/>
        </w:rPr>
        <w:t>15</w:t>
      </w:r>
      <w:r>
        <w:rPr>
          <w:rFonts w:hint="eastAsia" w:ascii="宋体" w:hAnsi="宋体" w:eastAsia="宋体" w:cs="宋体"/>
          <w:color w:val="000000" w:themeColor="text1"/>
          <w:szCs w:val="21"/>
        </w:rPr>
        <w:t>%）、商务得分（权重为</w:t>
      </w:r>
      <w:r>
        <w:rPr>
          <w:rFonts w:hint="eastAsia" w:ascii="宋体" w:hAnsi="宋体" w:eastAsia="宋体" w:cs="宋体"/>
          <w:color w:val="000000" w:themeColor="text1"/>
          <w:szCs w:val="21"/>
          <w:lang w:val="en-US" w:eastAsia="zh-CN"/>
        </w:rPr>
        <w:t>25</w:t>
      </w:r>
      <w:r>
        <w:rPr>
          <w:rFonts w:hint="eastAsia" w:ascii="宋体" w:hAnsi="宋体" w:eastAsia="宋体" w:cs="宋体"/>
          <w:color w:val="000000" w:themeColor="text1"/>
          <w:szCs w:val="21"/>
        </w:rPr>
        <w:t>%）以及投标报价得分（权重为60%）对投标单位加权计算总得分，由高至低排名，排名第一的谈判供应商确定为中标人。</w:t>
      </w:r>
    </w:p>
    <w:p>
      <w:pPr>
        <w:widowControl/>
        <w:ind w:firstLine="420" w:firstLineChars="20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中标价以该中标人的投标报价为准。</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注：定标基本程序</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1、技术标得分</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由定标委员会各成员根据评标结果和自己的专业判断对进入定标程序的各投标单位进行打分。</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2、商务得分</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由定标委员会各成员根据评标结果和自己的专业判断对进入定标程序的各投标单位进行打分。</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3、投标报价得分</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报价得分= [1-（Sn-S1）/S1]×60</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Sn为各谈判供应商的投标报价</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S1为</w:t>
      </w:r>
      <w:r>
        <w:rPr>
          <w:rFonts w:hint="eastAsia" w:ascii="宋体" w:hAnsi="宋体" w:eastAsia="宋体" w:cs="宋体"/>
          <w:color w:val="000000" w:themeColor="text1"/>
          <w:szCs w:val="21"/>
        </w:rPr>
        <w:t>进入定标程序的各谈判供应商的投标报价中的</w:t>
      </w:r>
      <w:r>
        <w:rPr>
          <w:rFonts w:hint="eastAsia" w:ascii="宋体" w:hAnsi="宋体" w:eastAsia="宋体" w:cs="宋体"/>
          <w:color w:val="000000" w:themeColor="text1"/>
          <w:szCs w:val="21"/>
        </w:rPr>
        <w:t>最低报价，得60分。</w:t>
      </w:r>
    </w:p>
    <w:p>
      <w:pPr>
        <w:rPr>
          <w:rFonts w:hint="eastAsia" w:ascii="宋体" w:hAnsi="宋体" w:eastAsia="宋体" w:cs="宋体"/>
          <w:color w:val="000000" w:themeColor="text1"/>
        </w:rPr>
      </w:pPr>
      <w:r>
        <w:rPr>
          <w:rFonts w:hint="eastAsia" w:ascii="宋体" w:hAnsi="宋体" w:eastAsia="宋体" w:cs="宋体"/>
          <w:color w:val="000000" w:themeColor="text1"/>
          <w:szCs w:val="21"/>
        </w:rPr>
        <w:t>此处规定当（Sn-S1）≥S1时，即Sn≥2S1时最低得零分（不取负分）。</w:t>
      </w:r>
    </w:p>
    <w:p>
      <w:pPr>
        <w:rPr>
          <w:rFonts w:hint="eastAsia" w:ascii="宋体" w:hAnsi="宋体" w:eastAsia="宋体" w:cs="宋体"/>
          <w:color w:val="000000" w:themeColor="text1"/>
        </w:rPr>
      </w:pPr>
    </w:p>
    <w:p>
      <w:pPr>
        <w:rPr>
          <w:rFonts w:hint="eastAsia" w:ascii="宋体" w:hAnsi="宋体" w:eastAsia="宋体" w:cs="宋体"/>
          <w:color w:val="000000" w:themeColor="text1"/>
        </w:rPr>
      </w:pPr>
      <w:r>
        <w:rPr>
          <w:rFonts w:hint="eastAsia" w:ascii="宋体" w:hAnsi="宋体" w:eastAsia="宋体" w:cs="宋体"/>
          <w:color w:val="000000" w:themeColor="text1"/>
        </w:rPr>
        <w:t>具体评分标准如下表所示：</w:t>
      </w:r>
    </w:p>
    <w:tbl>
      <w:tblPr>
        <w:tblStyle w:val="1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评分因素</w:t>
            </w:r>
          </w:p>
        </w:tc>
        <w:tc>
          <w:tcPr>
            <w:tcW w:w="7759" w:type="dxa"/>
            <w:gridSpan w:val="2"/>
            <w:shd w:val="clear" w:color="auto" w:fill="C7DAF1" w:themeFill="text2" w:themeFillTint="32"/>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评价内容</w:t>
            </w:r>
          </w:p>
        </w:tc>
        <w:tc>
          <w:tcPr>
            <w:tcW w:w="702" w:type="dxa"/>
            <w:shd w:val="clear" w:color="auto" w:fill="C7DAF1" w:themeFill="text2" w:themeFillTint="32"/>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价格标（S）</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（总分60分）</w:t>
            </w:r>
          </w:p>
        </w:tc>
        <w:tc>
          <w:tcPr>
            <w:tcW w:w="1200" w:type="dxa"/>
            <w:shd w:val="clear" w:color="auto" w:fill="auto"/>
            <w:vAlign w:val="center"/>
          </w:tcPr>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投标总价</w:t>
            </w:r>
          </w:p>
        </w:tc>
        <w:tc>
          <w:tcPr>
            <w:tcW w:w="6559"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满足招标文件要求且投标价格最低的投标报价为评标基准价，其价格分为满分。其他投标人的价格分统一按照下列公式计算：</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投标报价得分=(评标基准价／投标报价) ×60。</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四舍五入至小数点后2位。（报价为含税价）</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技术标（J）</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（总分15分）</w:t>
            </w:r>
          </w:p>
        </w:tc>
        <w:tc>
          <w:tcPr>
            <w:tcW w:w="1200"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技术方案响应情况</w:t>
            </w:r>
          </w:p>
        </w:tc>
        <w:tc>
          <w:tcPr>
            <w:tcW w:w="6559"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根据各投标文件中技术方案的合理性、完整性及可实施性等，以及满足或优于项目需求的程度，进行综合评价，横向比较：优得8-10分，良得6-7分，中得4-5分，差得0-3分。</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widowControl/>
              <w:spacing w:line="240" w:lineRule="auto"/>
              <w:rPr>
                <w:rFonts w:hint="eastAsia" w:ascii="宋体" w:hAnsi="宋体" w:eastAsia="宋体" w:cs="宋体"/>
                <w:color w:val="000000"/>
                <w:kern w:val="0"/>
                <w:sz w:val="24"/>
                <w:szCs w:val="24"/>
              </w:rPr>
            </w:pPr>
          </w:p>
        </w:tc>
        <w:tc>
          <w:tcPr>
            <w:tcW w:w="1200"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应急保障措施</w:t>
            </w:r>
          </w:p>
        </w:tc>
        <w:tc>
          <w:tcPr>
            <w:tcW w:w="6559"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根据各投标文件中项目实施应急措施方案完整具体程度，进行综合评价，最高得2分。</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widowControl/>
              <w:spacing w:line="240" w:lineRule="auto"/>
              <w:rPr>
                <w:rFonts w:hint="eastAsia" w:ascii="宋体" w:hAnsi="宋体" w:eastAsia="宋体" w:cs="宋体"/>
                <w:color w:val="000000"/>
                <w:kern w:val="0"/>
                <w:sz w:val="24"/>
                <w:szCs w:val="24"/>
              </w:rPr>
            </w:pPr>
          </w:p>
        </w:tc>
        <w:tc>
          <w:tcPr>
            <w:tcW w:w="1200"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安全措施</w:t>
            </w:r>
          </w:p>
        </w:tc>
        <w:tc>
          <w:tcPr>
            <w:tcW w:w="6559"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根据各投标文件中制定的安全防护方案及措施，进行综合评价，横向比较：优得3分，良得2分，中得1分，差得0分。</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商务标（X）</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分</w:t>
            </w:r>
          </w:p>
        </w:tc>
        <w:tc>
          <w:tcPr>
            <w:tcW w:w="1200"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项目业绩</w:t>
            </w:r>
          </w:p>
        </w:tc>
        <w:tc>
          <w:tcPr>
            <w:tcW w:w="6559"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评审标准：考察投标人（2021年1月1日至本项目投标截标之日）同类业绩情况：</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1、投标人每提供一个有效的</w:t>
            </w:r>
            <w:r>
              <w:rPr>
                <w:rFonts w:hint="eastAsia" w:ascii="宋体" w:hAnsi="宋体" w:eastAsia="宋体" w:cs="宋体"/>
                <w:b/>
                <w:bCs/>
                <w:color w:val="000000"/>
                <w:kern w:val="0"/>
                <w:sz w:val="24"/>
                <w:szCs w:val="24"/>
              </w:rPr>
              <w:t>同类业绩</w:t>
            </w:r>
            <w:r>
              <w:rPr>
                <w:rFonts w:hint="eastAsia" w:ascii="宋体" w:hAnsi="宋体" w:eastAsia="宋体" w:cs="宋体"/>
                <w:color w:val="000000"/>
                <w:kern w:val="0"/>
                <w:sz w:val="24"/>
                <w:szCs w:val="24"/>
              </w:rPr>
              <w:t>即得2分，以此类推，最多得10分；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2、同类业绩中合同金额达人民币10万元（含10万元）以上得1分；20万元（含20万元）以上得2分；最多得4分；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注：有效的同类业绩证明文件：</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widowControl/>
              <w:spacing w:line="240" w:lineRule="auto"/>
              <w:rPr>
                <w:rFonts w:hint="eastAsia" w:ascii="宋体" w:hAnsi="宋体" w:eastAsia="宋体" w:cs="宋体"/>
                <w:color w:val="000000"/>
                <w:kern w:val="0"/>
                <w:sz w:val="24"/>
                <w:szCs w:val="24"/>
              </w:rPr>
            </w:pPr>
          </w:p>
        </w:tc>
        <w:tc>
          <w:tcPr>
            <w:tcW w:w="1200" w:type="dxa"/>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企业实力</w:t>
            </w:r>
          </w:p>
        </w:tc>
        <w:tc>
          <w:tcPr>
            <w:tcW w:w="6559" w:type="dxa"/>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评审标准：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1、近三年财务报表，以及上年度第四季度所得税纳税申报表，显示无亏损的投标人，得6分；每有一年亏损的扣2分。成立不足三年的供应商，可从成立时间开始提供。评定标准以评标委员会意见为准。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证明文件（须同时满足以下要求）：</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1）提供经有资格的会计师事务所审计并附审计报告的财务报表复印件加盖公章。</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2）未提供或不能有效证明的，不得分。</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widowControl/>
              <w:spacing w:line="240" w:lineRule="auto"/>
              <w:rPr>
                <w:rFonts w:hint="eastAsia" w:ascii="宋体" w:hAnsi="宋体" w:eastAsia="宋体" w:cs="宋体"/>
                <w:color w:val="000000"/>
                <w:kern w:val="0"/>
                <w:sz w:val="24"/>
                <w:szCs w:val="24"/>
              </w:rPr>
            </w:pPr>
          </w:p>
        </w:tc>
        <w:tc>
          <w:tcPr>
            <w:tcW w:w="1200"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规模情况</w:t>
            </w:r>
          </w:p>
        </w:tc>
        <w:tc>
          <w:tcPr>
            <w:tcW w:w="6559"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评审标准：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1、投标人公司注册资金在人民币500万（含500万）以上，得1分；最高得1分；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2、投标人公司成立时间在3年（含3年）以上，得1分，最高得1分；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3、投标人每提供一个有效的相关行业资质证书即得1分，最高得1分；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4、提供上年度公司社保证明，得1分。最高得1分；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5、在此网站提供基本信息、许可经营信息。:https://amr.sz.gov.cn/outer/mobile/gs.html，得1分，最高得1分。</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w:t>
            </w:r>
          </w:p>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提供资质证书复印件且证书在有效期内。评定标准以评标委员会意见为准。</w:t>
            </w:r>
          </w:p>
        </w:tc>
        <w:tc>
          <w:tcPr>
            <w:tcW w:w="702" w:type="dxa"/>
            <w:shd w:val="clear" w:color="auto" w:fill="auto"/>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02" w:type="dxa"/>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100分</w:t>
            </w:r>
          </w:p>
        </w:tc>
      </w:tr>
    </w:tbl>
    <w:p>
      <w:pPr>
        <w:rPr>
          <w:rFonts w:hint="eastAsia" w:ascii="宋体" w:hAnsi="宋体" w:eastAsia="宋体" w:cs="宋体"/>
          <w:color w:val="000000" w:themeColor="text1"/>
        </w:rPr>
      </w:pPr>
    </w:p>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注：</w:t>
      </w:r>
    </w:p>
    <w:p>
      <w:pPr>
        <w:rPr>
          <w:rFonts w:hint="eastAsia" w:ascii="宋体" w:hAnsi="宋体" w:eastAsia="宋体" w:cs="宋体"/>
          <w:color w:val="000000" w:themeColor="text1"/>
        </w:rPr>
      </w:pPr>
      <w:r>
        <w:rPr>
          <w:rFonts w:hint="eastAsia" w:ascii="宋体" w:hAnsi="宋体" w:eastAsia="宋体" w:cs="宋体"/>
          <w:color w:val="000000" w:themeColor="text1"/>
          <w:szCs w:val="21"/>
        </w:rPr>
        <w:t>1.本量化表中每一栏的得分采用就高不就低的原则，不累计加分，每项得分最高不得超过该项评审指标的权重；2.表中要求提供相关计分证明文件的内容，投标文件中须明确加以说明，未按要求提供相关文件或说明不清楚的按不符合要求处理。3.综合以上分析比较，评委会将对各投标文件进行书面的量化评定，得分精确到小数点后两位。</w:t>
      </w:r>
      <w:r>
        <w:rPr>
          <w:rFonts w:hint="eastAsia" w:ascii="宋体" w:hAnsi="宋体" w:eastAsia="宋体" w:cs="宋体"/>
          <w:color w:val="000000" w:themeColor="text1"/>
        </w:rPr>
        <w:br w:type="page"/>
      </w:r>
    </w:p>
    <w:p>
      <w:pPr>
        <w:numPr>
          <w:ilvl w:val="1"/>
          <w:numId w:val="13"/>
        </w:numPr>
        <w:jc w:val="center"/>
        <w:outlineLvl w:val="1"/>
        <w:rPr>
          <w:rFonts w:hint="eastAsia" w:ascii="宋体" w:hAnsi="宋体" w:eastAsia="宋体" w:cs="宋体"/>
          <w:color w:val="000000"/>
          <w:sz w:val="28"/>
          <w:szCs w:val="28"/>
        </w:rPr>
      </w:pPr>
      <w:bookmarkStart w:id="163" w:name="_Toc142370556"/>
      <w:bookmarkStart w:id="164" w:name="_Toc143488620"/>
      <w:bookmarkStart w:id="165" w:name="_Toc32088"/>
      <w:bookmarkStart w:id="166" w:name="_Toc143337218"/>
      <w:bookmarkStart w:id="167" w:name="_Toc271798827"/>
      <w:r>
        <w:rPr>
          <w:rFonts w:hint="eastAsia" w:ascii="宋体" w:hAnsi="宋体" w:eastAsia="宋体" w:cs="宋体"/>
          <w:color w:val="000000"/>
          <w:sz w:val="28"/>
          <w:szCs w:val="28"/>
        </w:rPr>
        <w:t>表格样式</w:t>
      </w:r>
      <w:bookmarkEnd w:id="163"/>
      <w:bookmarkEnd w:id="164"/>
      <w:bookmarkEnd w:id="165"/>
      <w:bookmarkEnd w:id="166"/>
      <w:bookmarkEnd w:id="167"/>
    </w:p>
    <w:p>
      <w:pPr>
        <w:rPr>
          <w:rFonts w:hint="eastAsia" w:ascii="宋体" w:hAnsi="宋体" w:eastAsia="宋体" w:cs="宋体"/>
          <w:color w:val="000000" w:themeColor="text1"/>
          <w:sz w:val="24"/>
        </w:rPr>
      </w:pPr>
    </w:p>
    <w:p>
      <w:pPr>
        <w:spacing w:line="24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附件1. 投标书格式</w:t>
      </w:r>
    </w:p>
    <w:p>
      <w:pPr>
        <w:widowControl/>
        <w:spacing w:line="240" w:lineRule="auto"/>
        <w:jc w:val="center"/>
        <w:rPr>
          <w:rFonts w:hint="eastAsia" w:ascii="宋体" w:hAnsi="宋体" w:eastAsia="宋体" w:cs="宋体"/>
          <w:color w:val="000000" w:themeColor="text1"/>
        </w:rPr>
      </w:pPr>
      <w:r>
        <w:rPr>
          <w:rFonts w:hint="eastAsia" w:ascii="宋体" w:hAnsi="宋体" w:eastAsia="宋体" w:cs="宋体"/>
          <w:b/>
          <w:color w:val="000000" w:themeColor="text1"/>
          <w:sz w:val="32"/>
          <w:szCs w:val="32"/>
        </w:rPr>
        <w:t>投标书</w:t>
      </w:r>
    </w:p>
    <w:p>
      <w:pPr>
        <w:adjustRightInd w:val="0"/>
        <w:snapToGrid w:val="0"/>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致：</w:t>
      </w:r>
    </w:p>
    <w:p>
      <w:pPr>
        <w:adjustRightInd w:val="0"/>
        <w:snapToGrid w:val="0"/>
        <w:spacing w:line="240" w:lineRule="auto"/>
        <w:ind w:firstLine="600"/>
        <w:rPr>
          <w:rFonts w:hint="eastAsia" w:ascii="宋体" w:hAnsi="宋体" w:eastAsia="宋体" w:cs="宋体"/>
          <w:color w:val="000000" w:themeColor="text1"/>
        </w:rPr>
      </w:pPr>
      <w:r>
        <w:rPr>
          <w:rFonts w:hint="eastAsia" w:ascii="宋体" w:hAnsi="宋体" w:eastAsia="宋体" w:cs="宋体"/>
          <w:color w:val="000000" w:themeColor="text1"/>
        </w:rPr>
        <w:t>根据贵方为项目的招标公告（招标编号：</w:t>
      </w:r>
      <w:r>
        <w:rPr>
          <w:rFonts w:hint="eastAsia" w:ascii="宋体" w:hAnsi="宋体" w:eastAsia="宋体" w:cs="宋体"/>
          <w:color w:val="000000" w:themeColor="text1"/>
          <w:u w:val="single"/>
        </w:rPr>
        <w:t>　　　　</w:t>
      </w:r>
      <w:r>
        <w:rPr>
          <w:rFonts w:hint="eastAsia" w:ascii="宋体" w:hAnsi="宋体" w:eastAsia="宋体" w:cs="宋体"/>
          <w:color w:val="000000" w:themeColor="text1"/>
        </w:rPr>
        <w:t>），本人代表谈判供应商（谈判供应商名称），提交谈判响应文件。</w:t>
      </w:r>
    </w:p>
    <w:p>
      <w:pPr>
        <w:tabs>
          <w:tab w:val="center" w:pos="4396"/>
        </w:tabs>
        <w:adjustRightInd w:val="0"/>
        <w:snapToGrid w:val="0"/>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据此函，本人宣布如下承诺：</w:t>
      </w:r>
      <w:r>
        <w:rPr>
          <w:rFonts w:hint="eastAsia" w:ascii="宋体" w:hAnsi="宋体" w:eastAsia="宋体" w:cs="宋体"/>
          <w:color w:val="000000" w:themeColor="text1"/>
        </w:rPr>
        <w:tab/>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1．所附“开标一览表”规定的应提供和交付的项目投标总价为：人民币（大写）</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我方将按竞争性谈判文件的规定履行合同责任和义务。</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我方已详细审查全部竞争性谈判文件，包括修改文件（如有的话）以及全部参考资料和有关附件。</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我方的投标自投标截止之日起有效期为90天，如在此之前撤回投标，我方的投标保证金将被贵方没收。</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我方同意提供按照贵方要求的与我方投标有关的一切数据或资料，理解贵方不一定要接受最低报价的投标。</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我方提供的产品规格参数优于或等于为采购人基本技术要求，无负偏离。否则，可能导致的严重影响谈判供应商投标优势的后果，我方自行负责。</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我方理解采购人关于数量、单价及报价要求的具体规定，我方将严格按照竞争性谈判文件的有关要求进行投标，如中标，同标准签订合同。</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为了保证项目的顺利进行，我方理解在本次项目合同执行期间因临时紧急采购、或者取消中标人部分或全部供货资格等原因，采购人可能与本次评标结果中排名第二的备选中标人签订相应品类供货合同。</w:t>
      </w:r>
    </w:p>
    <w:p>
      <w:pPr>
        <w:pStyle w:val="30"/>
        <w:numPr>
          <w:ilvl w:val="0"/>
          <w:numId w:val="16"/>
        </w:numPr>
        <w:adjustRightInd w:val="0"/>
        <w:snapToGrid w:val="0"/>
        <w:spacing w:line="240" w:lineRule="auto"/>
        <w:ind w:firstLineChars="0"/>
        <w:rPr>
          <w:rFonts w:hint="eastAsia" w:ascii="宋体" w:hAnsi="宋体" w:eastAsia="宋体" w:cs="宋体"/>
          <w:color w:val="000000" w:themeColor="text1"/>
        </w:rPr>
      </w:pPr>
      <w:r>
        <w:rPr>
          <w:rFonts w:hint="eastAsia" w:ascii="宋体" w:hAnsi="宋体" w:eastAsia="宋体" w:cs="宋体"/>
          <w:color w:val="000000" w:themeColor="text1"/>
        </w:rPr>
        <w:t>与本投标有关的一切正式往来通讯请寄：</w:t>
      </w:r>
    </w:p>
    <w:p>
      <w:pPr>
        <w:adjustRightInd w:val="0"/>
        <w:snapToGrid w:val="0"/>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地址： 邮编：</w:t>
      </w:r>
    </w:p>
    <w:p>
      <w:pPr>
        <w:adjustRightInd w:val="0"/>
        <w:snapToGrid w:val="0"/>
        <w:spacing w:line="240" w:lineRule="auto"/>
        <w:ind w:left="601" w:leftChars="286"/>
        <w:rPr>
          <w:rFonts w:hint="eastAsia" w:ascii="宋体" w:hAnsi="宋体" w:eastAsia="宋体" w:cs="宋体"/>
          <w:bCs/>
          <w:color w:val="000000" w:themeColor="text1"/>
        </w:rPr>
      </w:pPr>
      <w:r>
        <w:rPr>
          <w:rFonts w:hint="eastAsia" w:ascii="宋体" w:hAnsi="宋体" w:eastAsia="宋体" w:cs="宋体"/>
          <w:bCs/>
          <w:color w:val="000000" w:themeColor="text1"/>
        </w:rPr>
        <w:t>谈判供应商法定代表人姓名、职务（印刷体）：</w:t>
      </w:r>
    </w:p>
    <w:p>
      <w:pPr>
        <w:adjustRightInd w:val="0"/>
        <w:snapToGrid w:val="0"/>
        <w:spacing w:line="240" w:lineRule="auto"/>
        <w:ind w:left="601" w:leftChars="286"/>
        <w:rPr>
          <w:rFonts w:hint="eastAsia" w:ascii="宋体" w:hAnsi="宋体" w:eastAsia="宋体" w:cs="宋体"/>
          <w:bCs/>
          <w:color w:val="000000" w:themeColor="text1"/>
        </w:rPr>
      </w:pPr>
      <w:r>
        <w:rPr>
          <w:rFonts w:hint="eastAsia" w:ascii="宋体" w:hAnsi="宋体" w:eastAsia="宋体" w:cs="宋体"/>
          <w:bCs/>
          <w:color w:val="000000" w:themeColor="text1"/>
        </w:rPr>
        <w:t>谈判供应商名称：</w:t>
      </w:r>
      <w:r>
        <w:rPr>
          <w:rFonts w:hint="eastAsia" w:ascii="宋体" w:hAnsi="宋体" w:eastAsia="宋体" w:cs="宋体"/>
          <w:color w:val="000000" w:themeColor="text1"/>
        </w:rPr>
        <w:t>（加盖公章）</w:t>
      </w:r>
    </w:p>
    <w:p>
      <w:pPr>
        <w:adjustRightInd w:val="0"/>
        <w:snapToGrid w:val="0"/>
        <w:spacing w:line="240" w:lineRule="auto"/>
        <w:ind w:left="601" w:leftChars="286"/>
        <w:rPr>
          <w:rFonts w:hint="eastAsia" w:ascii="宋体" w:hAnsi="宋体" w:eastAsia="宋体" w:cs="宋体"/>
          <w:bCs/>
          <w:color w:val="000000" w:themeColor="text1"/>
        </w:rPr>
      </w:pPr>
      <w:r>
        <w:rPr>
          <w:rFonts w:hint="eastAsia" w:ascii="宋体" w:hAnsi="宋体" w:eastAsia="宋体" w:cs="宋体"/>
          <w:bCs/>
          <w:color w:val="000000" w:themeColor="text1"/>
        </w:rPr>
        <w:t>法定代表人签字（或其委托的全权代表人）：</w:t>
      </w:r>
    </w:p>
    <w:p>
      <w:pPr>
        <w:adjustRightInd w:val="0"/>
        <w:snapToGrid w:val="0"/>
        <w:spacing w:line="240" w:lineRule="auto"/>
        <w:ind w:left="601" w:leftChars="286"/>
        <w:rPr>
          <w:rFonts w:hint="eastAsia" w:ascii="宋体" w:hAnsi="宋体" w:eastAsia="宋体" w:cs="宋体"/>
          <w:color w:val="000000" w:themeColor="text1"/>
        </w:rPr>
      </w:pPr>
      <w:r>
        <w:rPr>
          <w:rFonts w:hint="eastAsia" w:ascii="宋体" w:hAnsi="宋体" w:eastAsia="宋体" w:cs="宋体"/>
          <w:color w:val="000000" w:themeColor="text1"/>
        </w:rPr>
        <w:t>日期：    年   月   日</w:t>
      </w:r>
    </w:p>
    <w:p>
      <w:pPr>
        <w:adjustRightInd w:val="0"/>
        <w:snapToGrid w:val="0"/>
        <w:spacing w:line="240" w:lineRule="auto"/>
        <w:ind w:firstLine="422" w:firstLineChars="200"/>
        <w:rPr>
          <w:rFonts w:hint="eastAsia" w:ascii="宋体" w:hAnsi="宋体" w:eastAsia="宋体" w:cs="宋体"/>
          <w:b/>
          <w:bCs/>
          <w:color w:val="000000" w:themeColor="text1"/>
        </w:rPr>
      </w:pPr>
      <w:r>
        <w:rPr>
          <w:rFonts w:hint="eastAsia" w:ascii="宋体" w:hAnsi="宋体" w:eastAsia="宋体" w:cs="宋体"/>
          <w:b/>
          <w:bCs/>
          <w:color w:val="000000" w:themeColor="text1"/>
        </w:rPr>
        <w:t>注：全权代表须有法定代表人签署的授权委托书。</w:t>
      </w:r>
    </w:p>
    <w:p>
      <w:pPr>
        <w:rPr>
          <w:rFonts w:hint="eastAsia" w:ascii="宋体" w:hAnsi="宋体" w:eastAsia="宋体" w:cs="宋体"/>
          <w:color w:val="000000" w:themeColor="text1"/>
          <w:sz w:val="24"/>
        </w:rPr>
      </w:pPr>
      <w:r>
        <w:rPr>
          <w:rFonts w:hint="eastAsia" w:ascii="宋体" w:hAnsi="宋体" w:eastAsia="宋体" w:cs="宋体"/>
          <w:color w:val="000000" w:themeColor="text1"/>
        </w:rPr>
        <w:br w:type="page"/>
      </w:r>
      <w:r>
        <w:rPr>
          <w:rFonts w:hint="eastAsia" w:ascii="宋体" w:hAnsi="宋体" w:eastAsia="宋体" w:cs="宋体"/>
          <w:color w:val="000000" w:themeColor="text1"/>
          <w:sz w:val="24"/>
        </w:rPr>
        <w:t>附件2. 开标一览表格式</w:t>
      </w:r>
    </w:p>
    <w:p>
      <w:pPr>
        <w:rPr>
          <w:rFonts w:hint="eastAsia" w:ascii="宋体" w:hAnsi="宋体" w:eastAsia="宋体" w:cs="宋体"/>
          <w:color w:val="000000" w:themeColor="text1"/>
        </w:rPr>
      </w:pPr>
    </w:p>
    <w:p>
      <w:pPr>
        <w:spacing w:line="240" w:lineRule="auto"/>
        <w:jc w:val="center"/>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开标一览表</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谈判供应商名称： 招标编号：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74"/>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29" w:type="dxa"/>
            <w:vAlign w:val="bottom"/>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项目名称/包号</w:t>
            </w:r>
          </w:p>
        </w:tc>
        <w:tc>
          <w:tcPr>
            <w:tcW w:w="2774" w:type="dxa"/>
            <w:vAlign w:val="bottom"/>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投标总价</w:t>
            </w:r>
          </w:p>
        </w:tc>
        <w:tc>
          <w:tcPr>
            <w:tcW w:w="2430" w:type="dxa"/>
            <w:vAlign w:val="bottom"/>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729" w:type="dxa"/>
          </w:tcPr>
          <w:p>
            <w:pPr>
              <w:tabs>
                <w:tab w:val="left" w:pos="654"/>
                <w:tab w:val="left" w:pos="1734"/>
                <w:tab w:val="left" w:pos="2814"/>
                <w:tab w:val="left" w:pos="3894"/>
                <w:tab w:val="left" w:pos="5334"/>
                <w:tab w:val="left" w:pos="6414"/>
                <w:tab w:val="left" w:pos="7254"/>
                <w:tab w:val="left" w:pos="8574"/>
                <w:tab w:val="left" w:pos="9654"/>
              </w:tabs>
              <w:spacing w:line="240" w:lineRule="auto"/>
              <w:rPr>
                <w:rFonts w:hint="eastAsia" w:ascii="宋体" w:hAnsi="宋体" w:eastAsia="宋体" w:cs="宋体"/>
                <w:color w:val="000000" w:themeColor="text1"/>
              </w:rPr>
            </w:pPr>
          </w:p>
        </w:tc>
        <w:tc>
          <w:tcPr>
            <w:tcW w:w="2774" w:type="dxa"/>
          </w:tcPr>
          <w:p>
            <w:pPr>
              <w:tabs>
                <w:tab w:val="left" w:pos="654"/>
                <w:tab w:val="left" w:pos="1734"/>
                <w:tab w:val="left" w:pos="2814"/>
                <w:tab w:val="left" w:pos="3894"/>
                <w:tab w:val="left" w:pos="5334"/>
                <w:tab w:val="left" w:pos="6414"/>
                <w:tab w:val="left" w:pos="7254"/>
                <w:tab w:val="left" w:pos="8574"/>
                <w:tab w:val="left" w:pos="9654"/>
              </w:tabs>
              <w:spacing w:line="240" w:lineRule="auto"/>
              <w:rPr>
                <w:rFonts w:hint="eastAsia" w:ascii="宋体" w:hAnsi="宋体" w:eastAsia="宋体" w:cs="宋体"/>
                <w:color w:val="000000" w:themeColor="text1"/>
              </w:rPr>
            </w:pPr>
          </w:p>
        </w:tc>
        <w:tc>
          <w:tcPr>
            <w:tcW w:w="2430" w:type="dxa"/>
          </w:tcPr>
          <w:p>
            <w:pPr>
              <w:tabs>
                <w:tab w:val="left" w:pos="654"/>
                <w:tab w:val="left" w:pos="1734"/>
                <w:tab w:val="left" w:pos="2814"/>
                <w:tab w:val="left" w:pos="3894"/>
                <w:tab w:val="left" w:pos="5334"/>
                <w:tab w:val="left" w:pos="6414"/>
                <w:tab w:val="left" w:pos="7254"/>
                <w:tab w:val="left" w:pos="8574"/>
                <w:tab w:val="left" w:pos="9654"/>
              </w:tabs>
              <w:spacing w:line="240" w:lineRule="auto"/>
              <w:rPr>
                <w:rFonts w:hint="eastAsia" w:ascii="宋体" w:hAnsi="宋体" w:eastAsia="宋体" w:cs="宋体"/>
                <w:color w:val="000000" w:themeColor="text1"/>
              </w:rPr>
            </w:pPr>
          </w:p>
        </w:tc>
      </w:tr>
    </w:tbl>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谈判供应商代表签字：</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谈判供应商盖章：</w:t>
      </w:r>
    </w:p>
    <w:p>
      <w:pPr>
        <w:spacing w:line="240" w:lineRule="auto"/>
        <w:rPr>
          <w:rFonts w:hint="eastAsia" w:ascii="宋体" w:hAnsi="宋体" w:eastAsia="宋体" w:cs="宋体"/>
          <w:color w:val="000000" w:themeColor="text1"/>
        </w:rPr>
      </w:pPr>
    </w:p>
    <w:p>
      <w:pPr>
        <w:spacing w:line="240" w:lineRule="auto"/>
        <w:ind w:left="718" w:hanging="718" w:hangingChars="342"/>
        <w:rPr>
          <w:rFonts w:hint="eastAsia" w:ascii="宋体" w:hAnsi="宋体" w:eastAsia="宋体" w:cs="宋体"/>
          <w:color w:val="000000" w:themeColor="text1"/>
        </w:rPr>
      </w:pPr>
      <w:r>
        <w:rPr>
          <w:rFonts w:hint="eastAsia" w:ascii="宋体" w:hAnsi="宋体" w:eastAsia="宋体" w:cs="宋体"/>
          <w:color w:val="000000" w:themeColor="text1"/>
        </w:rPr>
        <w:t>注：1、此表应按谈判供应商须知的规定密封标记并与授权委托书、投标保证金汇入情况说明及投标保证金汇款底单复印件一同密封装入开标文件，开标文件单独提交。</w:t>
      </w:r>
    </w:p>
    <w:p>
      <w:pPr>
        <w:spacing w:line="240" w:lineRule="auto"/>
        <w:ind w:left="718" w:leftChars="200" w:hanging="298" w:hangingChars="142"/>
        <w:rPr>
          <w:rFonts w:hint="eastAsia" w:ascii="宋体" w:hAnsi="宋体" w:eastAsia="宋体" w:cs="宋体"/>
          <w:color w:val="000000" w:themeColor="text1"/>
        </w:rPr>
      </w:pPr>
      <w:r>
        <w:rPr>
          <w:rFonts w:hint="eastAsia" w:ascii="宋体" w:hAnsi="宋体" w:eastAsia="宋体" w:cs="宋体"/>
          <w:color w:val="000000" w:themeColor="text1"/>
        </w:rPr>
        <w:t>2、依据竞争性谈判文件《合同条款》条款规定，如无特殊说明，本竞争性谈判文件中所称“交货期”指所有货物运抵现场安装调试完毕后交付用户验收的日期。</w:t>
      </w:r>
    </w:p>
    <w:p>
      <w:pPr>
        <w:spacing w:line="240" w:lineRule="auto"/>
        <w:ind w:left="718" w:leftChars="200" w:hanging="298" w:hangingChars="142"/>
        <w:rPr>
          <w:rFonts w:hint="eastAsia" w:ascii="宋体" w:hAnsi="宋体" w:eastAsia="宋体" w:cs="宋体"/>
          <w:color w:val="000000" w:themeColor="text1"/>
        </w:rPr>
      </w:pPr>
      <w:r>
        <w:rPr>
          <w:rFonts w:hint="eastAsia" w:ascii="宋体" w:hAnsi="宋体" w:eastAsia="宋体" w:cs="宋体"/>
          <w:color w:val="000000" w:themeColor="text1"/>
        </w:rPr>
        <w:t>3、温馨提示：未按竞争性谈判文件要求报价、填写开标一览表是导致谈判供应商废标的常见问题，请谈判供应商仔细填写，认真核对。</w:t>
      </w:r>
    </w:p>
    <w:p>
      <w:pPr>
        <w:widowControl/>
        <w:jc w:val="left"/>
        <w:rPr>
          <w:rFonts w:hint="eastAsia" w:ascii="宋体" w:hAnsi="宋体" w:eastAsia="宋体" w:cs="宋体"/>
          <w:color w:val="000000" w:themeColor="text1"/>
        </w:rPr>
      </w:pPr>
      <w:r>
        <w:rPr>
          <w:rFonts w:hint="eastAsia" w:ascii="宋体" w:hAnsi="宋体" w:eastAsia="宋体" w:cs="宋体"/>
          <w:color w:val="000000" w:themeColor="text1"/>
        </w:rPr>
        <w:br w:type="page"/>
      </w:r>
    </w:p>
    <w:p>
      <w:pPr>
        <w:spacing w:line="240" w:lineRule="auto"/>
        <w:rPr>
          <w:rFonts w:hint="eastAsia" w:ascii="宋体" w:hAnsi="宋体" w:eastAsia="宋体" w:cs="宋体"/>
          <w:color w:val="000000" w:themeColor="text1"/>
          <w:sz w:val="24"/>
        </w:rPr>
      </w:pPr>
      <w:bookmarkStart w:id="168" w:name="_Toc271798830"/>
      <w:r>
        <w:rPr>
          <w:rFonts w:hint="eastAsia" w:ascii="宋体" w:hAnsi="宋体" w:eastAsia="宋体" w:cs="宋体"/>
          <w:color w:val="000000" w:themeColor="text1"/>
          <w:sz w:val="24"/>
        </w:rPr>
        <w:t>附件3.谈判供应商基本情况表</w:t>
      </w:r>
    </w:p>
    <w:p>
      <w:pPr>
        <w:spacing w:line="240" w:lineRule="auto"/>
        <w:rPr>
          <w:rFonts w:hint="eastAsia" w:ascii="宋体" w:hAnsi="宋体" w:eastAsia="宋体" w:cs="宋体"/>
          <w:color w:val="000000" w:themeColor="text1"/>
          <w:sz w:val="24"/>
        </w:rPr>
      </w:pPr>
    </w:p>
    <w:p>
      <w:pPr>
        <w:spacing w:line="240" w:lineRule="auto"/>
        <w:jc w:val="center"/>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谈判供应商基本情况表</w:t>
      </w:r>
      <w:bookmarkEnd w:id="168"/>
    </w:p>
    <w:p>
      <w:pPr>
        <w:adjustRightInd w:val="0"/>
        <w:snapToGrid w:val="0"/>
        <w:spacing w:line="240" w:lineRule="auto"/>
        <w:outlineLvl w:val="0"/>
        <w:rPr>
          <w:rFonts w:hint="eastAsia" w:ascii="宋体" w:hAnsi="宋体" w:eastAsia="宋体" w:cs="宋体"/>
          <w:color w:val="000000"/>
        </w:rPr>
      </w:pPr>
      <w:bookmarkStart w:id="169" w:name="_Toc243201872"/>
      <w:bookmarkStart w:id="170" w:name="_Toc271798831"/>
      <w:bookmarkStart w:id="171" w:name="_Toc197199137"/>
      <w:bookmarkStart w:id="172" w:name="_Toc19166"/>
      <w:bookmarkStart w:id="173" w:name="_Toc143488624"/>
      <w:bookmarkStart w:id="174" w:name="_Toc243212938"/>
      <w:bookmarkStart w:id="175" w:name="_Toc142882049"/>
      <w:bookmarkStart w:id="176" w:name="_Toc143337222"/>
      <w:bookmarkStart w:id="177" w:name="_Toc4512"/>
      <w:bookmarkStart w:id="178" w:name="_Toc188959621"/>
      <w:bookmarkStart w:id="179" w:name="_Toc271609005"/>
      <w:bookmarkStart w:id="180" w:name="_Toc192481759"/>
      <w:r>
        <w:rPr>
          <w:rFonts w:hint="eastAsia" w:ascii="宋体" w:hAnsi="宋体" w:eastAsia="宋体" w:cs="宋体"/>
          <w:color w:val="000000"/>
        </w:rPr>
        <w:t>一、公司基本情况</w:t>
      </w:r>
      <w:bookmarkEnd w:id="169"/>
      <w:bookmarkEnd w:id="170"/>
      <w:bookmarkEnd w:id="171"/>
      <w:bookmarkEnd w:id="172"/>
      <w:bookmarkEnd w:id="173"/>
      <w:bookmarkEnd w:id="174"/>
      <w:bookmarkEnd w:id="175"/>
      <w:bookmarkEnd w:id="176"/>
      <w:bookmarkEnd w:id="177"/>
      <w:bookmarkEnd w:id="178"/>
      <w:bookmarkEnd w:id="179"/>
      <w:bookmarkEnd w:id="180"/>
    </w:p>
    <w:p>
      <w:pPr>
        <w:adjustRightInd w:val="0"/>
        <w:snapToGrid w:val="0"/>
        <w:spacing w:line="240" w:lineRule="auto"/>
        <w:rPr>
          <w:rFonts w:hint="eastAsia" w:ascii="宋体" w:hAnsi="宋体" w:eastAsia="宋体" w:cs="宋体"/>
          <w:color w:val="000000"/>
        </w:rPr>
      </w:pPr>
      <w:r>
        <w:rPr>
          <w:rFonts w:hint="eastAsia" w:ascii="宋体" w:hAnsi="宋体" w:eastAsia="宋体" w:cs="宋体"/>
          <w:color w:val="000000"/>
        </w:rPr>
        <w:t>1．公司名称：</w:t>
      </w:r>
      <w:r>
        <w:rPr>
          <w:rFonts w:hint="eastAsia" w:ascii="宋体" w:hAnsi="宋体" w:eastAsia="宋体" w:cs="宋体"/>
          <w:color w:val="000000"/>
          <w:u w:val="single"/>
        </w:rPr>
        <w:t xml:space="preserve">                             　　　　　　　　　　　　 </w:t>
      </w:r>
    </w:p>
    <w:p>
      <w:pPr>
        <w:adjustRightInd w:val="0"/>
        <w:snapToGrid w:val="0"/>
        <w:spacing w:line="240" w:lineRule="auto"/>
        <w:rPr>
          <w:rFonts w:hint="eastAsia" w:ascii="宋体" w:hAnsi="宋体" w:eastAsia="宋体" w:cs="宋体"/>
          <w:color w:val="000000"/>
        </w:rPr>
      </w:pPr>
      <w:r>
        <w:rPr>
          <w:rFonts w:hint="eastAsia" w:ascii="宋体" w:hAnsi="宋体" w:eastAsia="宋体" w:cs="宋体"/>
          <w:color w:val="000000"/>
        </w:rPr>
        <w:t>2．地    址：</w:t>
      </w:r>
      <w:r>
        <w:rPr>
          <w:rFonts w:hint="eastAsia" w:ascii="宋体" w:hAnsi="宋体" w:eastAsia="宋体" w:cs="宋体"/>
          <w:color w:val="000000"/>
          <w:u w:val="single"/>
        </w:rPr>
        <w:t xml:space="preserve">                           　　　　　　　　　　　　　 </w:t>
      </w:r>
    </w:p>
    <w:p>
      <w:pPr>
        <w:adjustRightInd w:val="0"/>
        <w:snapToGrid w:val="0"/>
        <w:spacing w:line="240" w:lineRule="auto"/>
        <w:rPr>
          <w:rFonts w:hint="eastAsia" w:ascii="宋体" w:hAnsi="宋体" w:eastAsia="宋体" w:cs="宋体"/>
          <w:color w:val="000000"/>
          <w:u w:val="single"/>
        </w:rPr>
      </w:pPr>
      <w:r>
        <w:rPr>
          <w:rFonts w:hint="eastAsia" w:ascii="宋体" w:hAnsi="宋体" w:eastAsia="宋体" w:cs="宋体"/>
          <w:color w:val="000000"/>
        </w:rPr>
        <w:t>3．注册资金：  经济性质：</w:t>
      </w:r>
      <w:r>
        <w:rPr>
          <w:rFonts w:hint="eastAsia" w:ascii="宋体" w:hAnsi="宋体" w:eastAsia="宋体" w:cs="宋体"/>
          <w:color w:val="000000"/>
          <w:u w:val="single"/>
        </w:rPr>
        <w:t xml:space="preserve">       　   </w:t>
      </w:r>
    </w:p>
    <w:p>
      <w:pPr>
        <w:adjustRightInd w:val="0"/>
        <w:snapToGrid w:val="0"/>
        <w:spacing w:line="240" w:lineRule="auto"/>
        <w:rPr>
          <w:rFonts w:hint="eastAsia" w:ascii="宋体" w:hAnsi="宋体" w:eastAsia="宋体" w:cs="宋体"/>
          <w:color w:val="000000"/>
        </w:rPr>
      </w:pPr>
      <w:r>
        <w:rPr>
          <w:rFonts w:hint="eastAsia" w:ascii="宋体" w:hAnsi="宋体" w:eastAsia="宋体" w:cs="宋体"/>
          <w:color w:val="000000"/>
        </w:rPr>
        <w:t>4．公司开户银行名称及账号：</w:t>
      </w:r>
    </w:p>
    <w:p>
      <w:pPr>
        <w:tabs>
          <w:tab w:val="left" w:pos="420"/>
        </w:tabs>
        <w:adjustRightInd w:val="0"/>
        <w:snapToGrid w:val="0"/>
        <w:spacing w:line="240" w:lineRule="auto"/>
        <w:ind w:left="420" w:hanging="420"/>
        <w:rPr>
          <w:rFonts w:hint="eastAsia" w:ascii="宋体" w:hAnsi="宋体" w:eastAsia="宋体" w:cs="宋体"/>
          <w:color w:val="000000"/>
        </w:rPr>
      </w:pPr>
      <w:r>
        <w:rPr>
          <w:rFonts w:hint="eastAsia" w:ascii="宋体" w:hAnsi="宋体" w:eastAsia="宋体" w:cs="宋体"/>
          <w:color w:val="000000"/>
        </w:rPr>
        <w:t>5．营业注册执照号：</w:t>
      </w:r>
      <w:r>
        <w:rPr>
          <w:rFonts w:hint="eastAsia" w:ascii="宋体" w:hAnsi="宋体" w:eastAsia="宋体" w:cs="宋体"/>
          <w:color w:val="000000"/>
          <w:u w:val="single"/>
        </w:rPr>
        <w:t xml:space="preserve">             　</w:t>
      </w:r>
      <w:r>
        <w:rPr>
          <w:rFonts w:hint="eastAsia" w:ascii="宋体" w:hAnsi="宋体" w:eastAsia="宋体" w:cs="宋体"/>
          <w:color w:val="000000"/>
        </w:rPr>
        <w:t>（随本表格附交一份最新营业执照副本的复印件加盖公章）</w:t>
      </w:r>
    </w:p>
    <w:p>
      <w:pPr>
        <w:adjustRightInd w:val="0"/>
        <w:snapToGrid w:val="0"/>
        <w:spacing w:line="240" w:lineRule="auto"/>
        <w:rPr>
          <w:rFonts w:hint="eastAsia" w:ascii="宋体" w:hAnsi="宋体" w:eastAsia="宋体" w:cs="宋体"/>
          <w:color w:val="000000"/>
        </w:rPr>
      </w:pPr>
      <w:r>
        <w:rPr>
          <w:rFonts w:hint="eastAsia" w:ascii="宋体" w:hAnsi="宋体" w:eastAsia="宋体" w:cs="宋体"/>
          <w:color w:val="000000"/>
        </w:rPr>
        <w:t>6．公司简介：（自行描述）</w:t>
      </w: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p>
    <w:p>
      <w:pPr>
        <w:adjustRightInd w:val="0"/>
        <w:snapToGrid w:val="0"/>
        <w:spacing w:line="240" w:lineRule="auto"/>
        <w:ind w:firstLine="630" w:firstLineChars="300"/>
        <w:rPr>
          <w:rFonts w:hint="eastAsia" w:ascii="宋体" w:hAnsi="宋体" w:eastAsia="宋体" w:cs="宋体"/>
          <w:color w:val="000000"/>
        </w:rPr>
      </w:pPr>
      <w:r>
        <w:rPr>
          <w:rFonts w:hint="eastAsia" w:ascii="宋体" w:hAnsi="宋体" w:eastAsia="宋体" w:cs="宋体"/>
          <w:color w:val="000000"/>
        </w:rPr>
        <w:t>我/我们声明以上所述是正确无误的，您有权进行您认为必要的所有调查。</w:t>
      </w:r>
    </w:p>
    <w:p>
      <w:pPr>
        <w:adjustRightInd w:val="0"/>
        <w:snapToGrid w:val="0"/>
        <w:spacing w:line="240" w:lineRule="auto"/>
        <w:ind w:firstLine="359" w:firstLineChars="171"/>
        <w:rPr>
          <w:rFonts w:hint="eastAsia" w:ascii="宋体" w:hAnsi="宋体" w:eastAsia="宋体" w:cs="宋体"/>
          <w:color w:val="000000"/>
        </w:rPr>
      </w:pPr>
      <w:r>
        <w:rPr>
          <w:rFonts w:hint="eastAsia" w:ascii="宋体" w:hAnsi="宋体" w:eastAsia="宋体" w:cs="宋体"/>
          <w:color w:val="000000"/>
        </w:rPr>
        <w:t>谈判</w:t>
      </w:r>
      <w:r>
        <w:rPr>
          <w:rFonts w:hint="eastAsia" w:ascii="宋体" w:hAnsi="宋体" w:eastAsia="宋体" w:cs="宋体"/>
          <w:color w:val="000000"/>
        </w:rPr>
        <w:t>供应商</w:t>
      </w:r>
      <w:r>
        <w:rPr>
          <w:rFonts w:hint="eastAsia" w:ascii="宋体" w:hAnsi="宋体" w:eastAsia="宋体" w:cs="宋体"/>
          <w:color w:val="000000"/>
        </w:rPr>
        <w:t>名称：（加盖公章）</w:t>
      </w:r>
    </w:p>
    <w:p>
      <w:pPr>
        <w:adjustRightInd w:val="0"/>
        <w:snapToGrid w:val="0"/>
        <w:spacing w:line="240" w:lineRule="auto"/>
        <w:ind w:firstLine="359" w:firstLineChars="171"/>
        <w:rPr>
          <w:rFonts w:hint="eastAsia" w:ascii="宋体" w:hAnsi="宋体" w:eastAsia="宋体" w:cs="宋体"/>
          <w:color w:val="000000"/>
        </w:rPr>
      </w:pPr>
      <w:r>
        <w:rPr>
          <w:rFonts w:hint="eastAsia" w:ascii="宋体" w:hAnsi="宋体" w:eastAsia="宋体" w:cs="宋体"/>
          <w:color w:val="000000"/>
        </w:rPr>
        <w:t>法定代表人（或其委托的全权代表人）签名：</w:t>
      </w:r>
    </w:p>
    <w:p>
      <w:pPr>
        <w:adjustRightInd w:val="0"/>
        <w:snapToGrid w:val="0"/>
        <w:spacing w:line="240" w:lineRule="auto"/>
        <w:ind w:firstLine="359" w:firstLineChars="171"/>
        <w:rPr>
          <w:rFonts w:hint="eastAsia" w:ascii="宋体" w:hAnsi="宋体" w:eastAsia="宋体" w:cs="宋体"/>
          <w:color w:val="000000"/>
        </w:rPr>
      </w:pPr>
      <w:r>
        <w:rPr>
          <w:rFonts w:hint="eastAsia" w:ascii="宋体" w:hAnsi="宋体" w:eastAsia="宋体" w:cs="宋体"/>
          <w:color w:val="000000"/>
        </w:rPr>
        <w:t>日期：</w:t>
      </w: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br w:type="page"/>
      </w:r>
    </w:p>
    <w:p>
      <w:pPr>
        <w:rPr>
          <w:rStyle w:val="33"/>
          <w:rFonts w:hint="eastAsia" w:ascii="宋体" w:hAnsi="宋体" w:eastAsia="宋体" w:cs="宋体"/>
          <w:bCs w:val="0"/>
          <w:color w:val="000000" w:themeColor="text1"/>
          <w:sz w:val="24"/>
        </w:rPr>
      </w:pPr>
      <w:r>
        <w:rPr>
          <w:rFonts w:hint="eastAsia" w:ascii="宋体" w:hAnsi="宋体" w:eastAsia="宋体" w:cs="宋体"/>
          <w:color w:val="000000" w:themeColor="text1"/>
          <w:sz w:val="24"/>
        </w:rPr>
        <w:t>附件4.服务方案格式</w:t>
      </w:r>
    </w:p>
    <w:p>
      <w:pPr>
        <w:pStyle w:val="10"/>
        <w:snapToGrid w:val="0"/>
        <w:spacing w:line="240" w:lineRule="auto"/>
        <w:rPr>
          <w:rFonts w:hint="eastAsia" w:ascii="宋体" w:hAnsi="宋体" w:eastAsia="宋体" w:cs="宋体"/>
          <w:color w:val="000000" w:themeColor="text1"/>
          <w:sz w:val="21"/>
          <w:highlight w:val="none"/>
        </w:rPr>
      </w:pPr>
    </w:p>
    <w:p>
      <w:pPr>
        <w:spacing w:line="240" w:lineRule="auto"/>
        <w:jc w:val="center"/>
        <w:rPr>
          <w:rFonts w:hint="eastAsia" w:ascii="宋体" w:hAnsi="宋体" w:eastAsia="宋体" w:cs="宋体"/>
          <w:color w:val="000000" w:themeColor="text1"/>
          <w:sz w:val="32"/>
          <w:szCs w:val="32"/>
          <w:highlight w:val="none"/>
        </w:rPr>
      </w:pPr>
      <w:r>
        <w:rPr>
          <w:rFonts w:hint="eastAsia" w:ascii="宋体" w:hAnsi="宋体" w:eastAsia="宋体" w:cs="宋体"/>
          <w:color w:val="000000" w:themeColor="text1"/>
          <w:sz w:val="32"/>
          <w:szCs w:val="32"/>
          <w:highlight w:val="none"/>
        </w:rPr>
        <w:t>服务方案</w:t>
      </w:r>
    </w:p>
    <w:p>
      <w:pPr>
        <w:spacing w:line="240" w:lineRule="auto"/>
        <w:jc w:val="center"/>
        <w:rPr>
          <w:rFonts w:hint="eastAsia" w:ascii="宋体" w:hAnsi="宋体" w:eastAsia="宋体" w:cs="宋体"/>
          <w:color w:val="000000" w:themeColor="text1"/>
          <w:highlight w:val="none"/>
        </w:rPr>
      </w:pPr>
    </w:p>
    <w:p>
      <w:pPr>
        <w:spacing w:line="24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一、提供服务的人员配备、技术力量</w:t>
      </w:r>
    </w:p>
    <w:p>
      <w:pPr>
        <w:spacing w:line="24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二、培训方案</w:t>
      </w:r>
    </w:p>
    <w:p>
      <w:pPr>
        <w:spacing w:line="24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三、技术服务方案</w:t>
      </w:r>
    </w:p>
    <w:p>
      <w:pPr>
        <w:spacing w:line="24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四、应急方案</w:t>
      </w:r>
    </w:p>
    <w:p>
      <w:pPr>
        <w:spacing w:line="24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五、现场服务方案</w:t>
      </w:r>
    </w:p>
    <w:p>
      <w:pPr>
        <w:spacing w:line="240" w:lineRule="auto"/>
        <w:rPr>
          <w:rFonts w:hint="eastAsia" w:ascii="宋体" w:hAnsi="宋体" w:eastAsia="宋体" w:cs="宋体"/>
          <w:snapToGrid w:val="0"/>
          <w:color w:val="000000" w:themeColor="text1"/>
          <w:kern w:val="0"/>
          <w:highlight w:val="none"/>
        </w:rPr>
      </w:pPr>
      <w:r>
        <w:rPr>
          <w:rFonts w:hint="eastAsia" w:ascii="宋体" w:hAnsi="宋体" w:eastAsia="宋体" w:cs="宋体"/>
          <w:color w:val="000000" w:themeColor="text1"/>
          <w:highlight w:val="none"/>
        </w:rPr>
        <w:t>六、其他</w:t>
      </w:r>
    </w:p>
    <w:p>
      <w:pPr>
        <w:adjustRightInd w:val="0"/>
        <w:snapToGrid w:val="0"/>
        <w:spacing w:line="240" w:lineRule="auto"/>
        <w:rPr>
          <w:rFonts w:hint="eastAsia" w:ascii="宋体" w:hAnsi="宋体" w:eastAsia="宋体" w:cs="宋体"/>
          <w:snapToGrid w:val="0"/>
          <w:color w:val="000000" w:themeColor="text1"/>
          <w:kern w:val="0"/>
        </w:rPr>
      </w:pPr>
    </w:p>
    <w:p>
      <w:pPr>
        <w:adjustRightInd w:val="0"/>
        <w:snapToGrid w:val="0"/>
        <w:spacing w:line="240" w:lineRule="auto"/>
        <w:rPr>
          <w:rFonts w:hint="eastAsia" w:ascii="宋体" w:hAnsi="宋体" w:eastAsia="宋体" w:cs="宋体"/>
          <w:snapToGrid w:val="0"/>
          <w:color w:val="000000" w:themeColor="text1"/>
          <w:kern w:val="0"/>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谈判供应商代表签字：</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谈判供应商盖章：</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sz w:val="24"/>
        </w:rPr>
      </w:pPr>
      <w:r>
        <w:rPr>
          <w:rFonts w:hint="eastAsia" w:ascii="宋体" w:hAnsi="宋体" w:eastAsia="宋体" w:cs="宋体"/>
          <w:color w:val="000000" w:themeColor="text1"/>
        </w:rPr>
        <w:br w:type="page"/>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sz w:val="24"/>
        </w:rPr>
        <w:t>附件5. 资格证明文件格式</w:t>
      </w:r>
    </w:p>
    <w:p>
      <w:pPr>
        <w:spacing w:line="240" w:lineRule="auto"/>
        <w:rPr>
          <w:rFonts w:hint="eastAsia" w:ascii="宋体" w:hAnsi="宋体" w:eastAsia="宋体" w:cs="宋体"/>
          <w:color w:val="000000" w:themeColor="text1"/>
        </w:rPr>
      </w:pPr>
    </w:p>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目　录</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一、关于资格的声明函（附件5-1）</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二、法定代表人证明书（附件5-2）</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三、法定代表人授权书（附件5-3）</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四、</w:t>
      </w:r>
      <w:r>
        <w:rPr>
          <w:rFonts w:hint="eastAsia" w:ascii="宋体" w:hAnsi="宋体" w:eastAsia="宋体" w:cs="宋体"/>
          <w:color w:val="000000" w:themeColor="text1"/>
        </w:rPr>
        <w:t>营业执照副本</w:t>
      </w:r>
      <w:r>
        <w:rPr>
          <w:rFonts w:hint="eastAsia" w:ascii="宋体" w:hAnsi="宋体" w:eastAsia="宋体" w:cs="宋体"/>
          <w:color w:val="000000" w:themeColor="text1"/>
        </w:rPr>
        <w:t>、国税登记证、地税登记证及投标资料表要求的有关资质证书</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五、经营业绩证明材料（附件6-4）</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六、谈判文件要求的其他资格证明材料</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注：1、资格证明文件中属复印件的须加盖投标单位公章。</w:t>
      </w:r>
    </w:p>
    <w:p>
      <w:pPr>
        <w:spacing w:line="240" w:lineRule="auto"/>
        <w:ind w:firstLine="422" w:firstLineChars="200"/>
        <w:rPr>
          <w:rFonts w:hint="eastAsia" w:ascii="宋体" w:hAnsi="宋体" w:eastAsia="宋体" w:cs="宋体"/>
          <w:b/>
          <w:color w:val="000000" w:themeColor="text1"/>
        </w:rPr>
      </w:pPr>
      <w:r>
        <w:rPr>
          <w:rFonts w:hint="eastAsia" w:ascii="宋体" w:hAnsi="宋体" w:eastAsia="宋体" w:cs="宋体"/>
          <w:b/>
          <w:color w:val="000000" w:themeColor="text1"/>
        </w:rPr>
        <w:t>2、温馨提示：请谈判供应商仔细核对谈判响应文件，确认已按竞争性谈判文件要求递交了全部证明材料。</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br w:type="page"/>
      </w:r>
      <w:r>
        <w:rPr>
          <w:rFonts w:hint="eastAsia" w:ascii="宋体" w:hAnsi="宋体" w:eastAsia="宋体" w:cs="宋体"/>
          <w:color w:val="000000" w:themeColor="text1"/>
          <w:sz w:val="24"/>
        </w:rPr>
        <w:t>附件5-1 资格声明格式　</w:t>
      </w:r>
    </w:p>
    <w:p>
      <w:pPr>
        <w:spacing w:line="240" w:lineRule="auto"/>
        <w:rPr>
          <w:rFonts w:hint="eastAsia" w:ascii="宋体" w:hAnsi="宋体" w:eastAsia="宋体" w:cs="宋体"/>
          <w:color w:val="000000" w:themeColor="text1"/>
        </w:rPr>
      </w:pPr>
    </w:p>
    <w:p>
      <w:pPr>
        <w:spacing w:line="24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关于资格的声明函</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致：深圳市设计之都运营发展有限公司</w:t>
      </w:r>
    </w:p>
    <w:p>
      <w:pPr>
        <w:spacing w:line="240" w:lineRule="auto"/>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为响应你方</w:t>
      </w:r>
      <w:r>
        <w:rPr>
          <w:rFonts w:hint="eastAsia" w:ascii="宋体" w:hAnsi="宋体" w:eastAsia="宋体" w:cs="宋体"/>
          <w:i/>
          <w:color w:val="000000" w:themeColor="text1"/>
          <w:u w:val="single"/>
        </w:rPr>
        <w:t>（项目名称）（编号）</w:t>
      </w:r>
      <w:r>
        <w:rPr>
          <w:rFonts w:hint="eastAsia" w:ascii="宋体" w:hAnsi="宋体" w:eastAsia="宋体" w:cs="宋体"/>
          <w:color w:val="000000" w:themeColor="text1"/>
        </w:rPr>
        <w:t>邀请，下述签字人愿参与竞争性谈判，提供谈判文件规定的货物及服务，提交下述文件并声明全部说明是真实的和正确的。</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1、我方投标代表的授权文件一份。</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2、</w:t>
      </w:r>
      <w:r>
        <w:rPr>
          <w:rFonts w:hint="eastAsia" w:ascii="宋体" w:hAnsi="宋体" w:eastAsia="宋体" w:cs="宋体"/>
          <w:color w:val="000000" w:themeColor="text1"/>
        </w:rPr>
        <w:t>我</w:t>
      </w:r>
      <w:r>
        <w:rPr>
          <w:rFonts w:hint="eastAsia" w:ascii="宋体" w:hAnsi="宋体" w:eastAsia="宋体" w:cs="宋体"/>
          <w:color w:val="000000" w:themeColor="text1"/>
        </w:rPr>
        <w:t>方</w:t>
      </w:r>
      <w:r>
        <w:rPr>
          <w:rFonts w:hint="eastAsia" w:ascii="宋体" w:hAnsi="宋体" w:eastAsia="宋体" w:cs="宋体"/>
          <w:color w:val="000000" w:themeColor="text1"/>
        </w:rPr>
        <w:t>营业执照副本</w:t>
      </w:r>
      <w:r>
        <w:rPr>
          <w:rFonts w:hint="eastAsia" w:ascii="宋体" w:hAnsi="宋体" w:eastAsia="宋体" w:cs="宋体"/>
          <w:color w:val="000000" w:themeColor="text1"/>
        </w:rPr>
        <w:t>及资质证书</w:t>
      </w:r>
      <w:r>
        <w:rPr>
          <w:rFonts w:hint="eastAsia" w:ascii="宋体" w:hAnsi="宋体" w:eastAsia="宋体" w:cs="宋体"/>
          <w:color w:val="000000" w:themeColor="text1"/>
        </w:rPr>
        <w:t>复印件（加盖公章)</w:t>
      </w:r>
      <w:r>
        <w:rPr>
          <w:rFonts w:hint="eastAsia" w:ascii="宋体" w:hAnsi="宋体" w:eastAsia="宋体" w:cs="宋体"/>
          <w:color w:val="000000" w:themeColor="text1"/>
        </w:rPr>
        <w:t>份，共页。</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序号</w:t>
            </w:r>
          </w:p>
        </w:tc>
        <w:tc>
          <w:tcPr>
            <w:tcW w:w="180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证书名称</w:t>
            </w:r>
          </w:p>
        </w:tc>
        <w:tc>
          <w:tcPr>
            <w:tcW w:w="144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发证机构</w:t>
            </w:r>
          </w:p>
        </w:tc>
        <w:tc>
          <w:tcPr>
            <w:tcW w:w="126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证书等级</w:t>
            </w:r>
          </w:p>
        </w:tc>
        <w:tc>
          <w:tcPr>
            <w:tcW w:w="1401"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证书有限期</w:t>
            </w:r>
          </w:p>
        </w:tc>
        <w:tc>
          <w:tcPr>
            <w:tcW w:w="2073"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r>
              <w:rPr>
                <w:rFonts w:hint="eastAsia" w:ascii="宋体" w:hAnsi="宋体" w:eastAsia="宋体" w:cs="宋体"/>
                <w:color w:val="000000" w:themeColor="text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80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44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26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401"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2073"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80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44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26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401"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2073"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80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44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260"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1401"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c>
          <w:tcPr>
            <w:tcW w:w="2073" w:type="dxa"/>
            <w:tcBorders>
              <w:top w:val="single" w:color="auto" w:sz="6" w:space="0"/>
              <w:left w:val="single" w:color="auto" w:sz="6" w:space="0"/>
              <w:bottom w:val="single" w:color="auto" w:sz="6" w:space="0"/>
              <w:right w:val="single" w:color="auto" w:sz="6" w:space="0"/>
            </w:tcBorders>
          </w:tcPr>
          <w:p>
            <w:pPr>
              <w:spacing w:line="240" w:lineRule="auto"/>
              <w:jc w:val="center"/>
              <w:rPr>
                <w:rFonts w:hint="eastAsia" w:ascii="宋体" w:hAnsi="宋体" w:eastAsia="宋体" w:cs="宋体"/>
                <w:color w:val="000000" w:themeColor="text1"/>
              </w:rPr>
            </w:pPr>
          </w:p>
        </w:tc>
      </w:tr>
    </w:tbl>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3、我方的资格声明一份。</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4、</w:t>
      </w:r>
      <w:r>
        <w:rPr>
          <w:rFonts w:hint="eastAsia" w:ascii="宋体" w:hAnsi="宋体" w:eastAsia="宋体" w:cs="宋体"/>
          <w:color w:val="000000" w:themeColor="text1"/>
        </w:rPr>
        <w:t>竞争性谈判文件要求的</w:t>
      </w:r>
      <w:r>
        <w:rPr>
          <w:rFonts w:hint="eastAsia" w:ascii="宋体" w:hAnsi="宋体" w:eastAsia="宋体" w:cs="宋体"/>
          <w:color w:val="000000" w:themeColor="text1"/>
        </w:rPr>
        <w:t>其他</w:t>
      </w:r>
      <w:r>
        <w:rPr>
          <w:rFonts w:hint="eastAsia" w:ascii="宋体" w:hAnsi="宋体" w:eastAsia="宋体" w:cs="宋体"/>
          <w:color w:val="000000" w:themeColor="text1"/>
        </w:rPr>
        <w:t>资格证明文件。</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本签字人确认资格文件中的</w:t>
      </w:r>
      <w:r>
        <w:rPr>
          <w:rFonts w:hint="eastAsia" w:ascii="宋体" w:hAnsi="宋体" w:eastAsia="宋体" w:cs="宋体"/>
          <w:color w:val="000000" w:themeColor="text1"/>
        </w:rPr>
        <w:t>内容</w:t>
      </w:r>
      <w:r>
        <w:rPr>
          <w:rFonts w:hint="eastAsia" w:ascii="宋体" w:hAnsi="宋体" w:eastAsia="宋体" w:cs="宋体"/>
          <w:color w:val="000000" w:themeColor="text1"/>
        </w:rPr>
        <w:t>是真实的、准确的</w:t>
      </w:r>
      <w:r>
        <w:rPr>
          <w:rFonts w:hint="eastAsia" w:ascii="宋体" w:hAnsi="宋体" w:eastAsia="宋体" w:cs="宋体"/>
          <w:color w:val="000000" w:themeColor="text1"/>
        </w:rPr>
        <w:t>，您有权进行您认为必要的所有调查。</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谈判供应商的名称：</w:t>
      </w:r>
      <w:r>
        <w:rPr>
          <w:rFonts w:hint="eastAsia" w:ascii="宋体" w:hAnsi="宋体" w:eastAsia="宋体" w:cs="宋体"/>
          <w:color w:val="000000" w:themeColor="text1"/>
        </w:rPr>
        <w:tab/>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授权签署本资格文件的签字人姓名、职务（印刷字体)：</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谈判供应商盖章： </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谈判供应商代表签字：</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地址：</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传真：</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签字：</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邮编：</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电话：</w:t>
      </w:r>
      <w:r>
        <w:rPr>
          <w:rFonts w:hint="eastAsia" w:ascii="宋体" w:hAnsi="宋体" w:eastAsia="宋体" w:cs="宋体"/>
          <w:color w:val="000000" w:themeColor="text1"/>
        </w:rPr>
        <w:br w:type="page"/>
      </w:r>
      <w:r>
        <w:rPr>
          <w:rFonts w:hint="eastAsia" w:ascii="宋体" w:hAnsi="宋体" w:eastAsia="宋体" w:cs="宋体"/>
          <w:color w:val="000000" w:themeColor="text1"/>
          <w:sz w:val="24"/>
        </w:rPr>
        <w:t>附件5－2. 法定代表人证明书格式</w:t>
      </w:r>
    </w:p>
    <w:p>
      <w:pPr>
        <w:spacing w:line="240" w:lineRule="auto"/>
        <w:rPr>
          <w:rFonts w:hint="eastAsia" w:ascii="宋体" w:hAnsi="宋体" w:eastAsia="宋体" w:cs="宋体"/>
          <w:color w:val="000000" w:themeColor="text1"/>
        </w:rPr>
      </w:pPr>
    </w:p>
    <w:p>
      <w:pPr>
        <w:spacing w:line="24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法定代表人证明书</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 xml:space="preserve">   　先生/小姐，现任我单位职务，为法定代表人，特此证明。</w:t>
      </w: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有效日期：               签发日期：        单位：                 （盖章）</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附：代表人性别：        年龄：       身份证号码：</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营业执照号码：                       经济性质：</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主营（产）：</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兼营（产）：</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进口物品经营许可证号码：</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主营（产）：</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兼营（产）：</w:t>
      </w: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p>
    <w:p>
      <w:pPr>
        <w:spacing w:line="240" w:lineRule="auto"/>
        <w:ind w:firstLine="422" w:firstLineChars="200"/>
        <w:rPr>
          <w:rFonts w:hint="eastAsia" w:ascii="宋体" w:hAnsi="宋体" w:eastAsia="宋体" w:cs="宋体"/>
          <w:color w:val="000000" w:themeColor="text1"/>
        </w:rPr>
      </w:pPr>
      <w:r>
        <w:rPr>
          <w:rFonts w:hint="eastAsia" w:ascii="宋体" w:hAnsi="宋体" w:eastAsia="宋体" w:cs="宋体"/>
          <w:b/>
          <w:color w:val="000000" w:themeColor="text1"/>
        </w:rPr>
        <w:t>注：法定代表人身份证明书需附法人代表身份证复印件（加盖公章）</w:t>
      </w:r>
      <w:r>
        <w:rPr>
          <w:rFonts w:hint="eastAsia" w:ascii="宋体" w:hAnsi="宋体" w:eastAsia="宋体" w:cs="宋体"/>
          <w:b/>
          <w:color w:val="000000" w:themeColor="text1"/>
          <w:sz w:val="24"/>
        </w:rPr>
        <w:t>。</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sz w:val="24"/>
        </w:rPr>
        <w:br w:type="page"/>
      </w:r>
      <w:r>
        <w:rPr>
          <w:rFonts w:hint="eastAsia" w:ascii="宋体" w:hAnsi="宋体" w:eastAsia="宋体" w:cs="宋体"/>
          <w:color w:val="000000" w:themeColor="text1"/>
          <w:sz w:val="24"/>
        </w:rPr>
        <w:t>附件5－3.法定代表人授权书格式</w:t>
      </w:r>
    </w:p>
    <w:p>
      <w:pPr>
        <w:spacing w:line="240" w:lineRule="auto"/>
        <w:rPr>
          <w:rFonts w:hint="eastAsia" w:ascii="宋体" w:hAnsi="宋体" w:eastAsia="宋体" w:cs="宋体"/>
          <w:color w:val="000000" w:themeColor="text1"/>
        </w:rPr>
      </w:pPr>
    </w:p>
    <w:p>
      <w:pPr>
        <w:spacing w:line="24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法定代表人授权书</w:t>
      </w:r>
    </w:p>
    <w:p>
      <w:pPr>
        <w:spacing w:line="240" w:lineRule="auto"/>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本授权书声明：注册于</w:t>
      </w:r>
      <w:r>
        <w:rPr>
          <w:rFonts w:hint="eastAsia" w:ascii="宋体" w:hAnsi="宋体" w:eastAsia="宋体" w:cs="宋体"/>
          <w:i/>
          <w:color w:val="000000" w:themeColor="text1"/>
          <w:u w:val="single"/>
        </w:rPr>
        <w:t>（国家或地区的名称）</w:t>
      </w:r>
      <w:r>
        <w:rPr>
          <w:rFonts w:hint="eastAsia" w:ascii="宋体" w:hAnsi="宋体" w:eastAsia="宋体" w:cs="宋体"/>
          <w:color w:val="000000" w:themeColor="text1"/>
        </w:rPr>
        <w:t>的</w:t>
      </w:r>
      <w:r>
        <w:rPr>
          <w:rFonts w:hint="eastAsia" w:ascii="宋体" w:hAnsi="宋体" w:eastAsia="宋体" w:cs="宋体"/>
          <w:i/>
          <w:color w:val="000000" w:themeColor="text1"/>
          <w:u w:val="single"/>
        </w:rPr>
        <w:t>（公司名称）</w:t>
      </w:r>
      <w:r>
        <w:rPr>
          <w:rFonts w:hint="eastAsia" w:ascii="宋体" w:hAnsi="宋体" w:eastAsia="宋体" w:cs="宋体"/>
          <w:color w:val="000000" w:themeColor="text1"/>
        </w:rPr>
        <w:t>的在下面签字的</w:t>
      </w:r>
      <w:r>
        <w:rPr>
          <w:rFonts w:hint="eastAsia" w:ascii="宋体" w:hAnsi="宋体" w:eastAsia="宋体" w:cs="宋体"/>
          <w:i/>
          <w:color w:val="000000" w:themeColor="text1"/>
          <w:u w:val="single"/>
        </w:rPr>
        <w:t>（法定代表人姓名、职务）</w:t>
      </w:r>
      <w:r>
        <w:rPr>
          <w:rFonts w:hint="eastAsia" w:ascii="宋体" w:hAnsi="宋体" w:eastAsia="宋体" w:cs="宋体"/>
          <w:color w:val="000000" w:themeColor="text1"/>
        </w:rPr>
        <w:t>代表本公司授权</w:t>
      </w:r>
      <w:r>
        <w:rPr>
          <w:rFonts w:hint="eastAsia" w:ascii="宋体" w:hAnsi="宋体" w:eastAsia="宋体" w:cs="宋体"/>
          <w:i/>
          <w:color w:val="000000" w:themeColor="text1"/>
          <w:u w:val="single"/>
        </w:rPr>
        <w:t>（单位名称）</w:t>
      </w:r>
      <w:r>
        <w:rPr>
          <w:rFonts w:hint="eastAsia" w:ascii="宋体" w:hAnsi="宋体" w:eastAsia="宋体" w:cs="宋体"/>
          <w:color w:val="000000" w:themeColor="text1"/>
        </w:rPr>
        <w:t>的在下面签字的</w:t>
      </w:r>
      <w:r>
        <w:rPr>
          <w:rFonts w:hint="eastAsia" w:ascii="宋体" w:hAnsi="宋体" w:eastAsia="宋体" w:cs="宋体"/>
          <w:i/>
          <w:color w:val="000000" w:themeColor="text1"/>
          <w:u w:val="single"/>
        </w:rPr>
        <w:t>（被授权人的姓名、职务）</w:t>
      </w:r>
      <w:r>
        <w:rPr>
          <w:rFonts w:hint="eastAsia" w:ascii="宋体" w:hAnsi="宋体" w:eastAsia="宋体" w:cs="宋体"/>
          <w:color w:val="000000" w:themeColor="text1"/>
        </w:rPr>
        <w:t>为本公司的合法代理人，就</w:t>
      </w:r>
      <w:r>
        <w:rPr>
          <w:rFonts w:hint="eastAsia" w:ascii="宋体" w:hAnsi="宋体" w:eastAsia="宋体" w:cs="宋体"/>
          <w:i/>
          <w:color w:val="000000" w:themeColor="text1"/>
          <w:u w:val="single"/>
        </w:rPr>
        <w:t>（项目名称）</w:t>
      </w:r>
      <w:r>
        <w:rPr>
          <w:rFonts w:hint="eastAsia" w:ascii="宋体" w:hAnsi="宋体" w:eastAsia="宋体" w:cs="宋体"/>
          <w:color w:val="000000" w:themeColor="text1"/>
        </w:rPr>
        <w:t>投标及参加项目谈判，以本公司名义处理一切与之有关的事务。</w:t>
      </w: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本授权书于</w:t>
      </w:r>
      <w:r>
        <w:rPr>
          <w:rFonts w:hint="eastAsia" w:ascii="宋体" w:hAnsi="宋体" w:eastAsia="宋体" w:cs="宋体"/>
          <w:color w:val="000000" w:themeColor="text1"/>
          <w:u w:val="single"/>
        </w:rPr>
        <w:t>　　</w:t>
      </w:r>
      <w:r>
        <w:rPr>
          <w:rFonts w:hint="eastAsia" w:ascii="宋体" w:hAnsi="宋体" w:eastAsia="宋体" w:cs="宋体"/>
          <w:color w:val="000000" w:themeColor="text1"/>
        </w:rPr>
        <w:t>年</w:t>
      </w:r>
      <w:r>
        <w:rPr>
          <w:rFonts w:hint="eastAsia" w:ascii="宋体" w:hAnsi="宋体" w:eastAsia="宋体" w:cs="宋体"/>
          <w:color w:val="000000" w:themeColor="text1"/>
          <w:u w:val="single"/>
        </w:rPr>
        <w:t>　　</w:t>
      </w:r>
      <w:r>
        <w:rPr>
          <w:rFonts w:hint="eastAsia" w:ascii="宋体" w:hAnsi="宋体" w:eastAsia="宋体" w:cs="宋体"/>
          <w:color w:val="000000" w:themeColor="text1"/>
        </w:rPr>
        <w:t>月</w:t>
      </w:r>
      <w:r>
        <w:rPr>
          <w:rFonts w:hint="eastAsia" w:ascii="宋体" w:hAnsi="宋体" w:eastAsia="宋体" w:cs="宋体"/>
          <w:color w:val="000000" w:themeColor="text1"/>
          <w:u w:val="single"/>
        </w:rPr>
        <w:t>　　</w:t>
      </w:r>
      <w:r>
        <w:rPr>
          <w:rFonts w:hint="eastAsia" w:ascii="宋体" w:hAnsi="宋体" w:eastAsia="宋体" w:cs="宋体"/>
          <w:color w:val="000000" w:themeColor="text1"/>
        </w:rPr>
        <w:t>日签字生效，特此声明。</w:t>
      </w: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法定代表人签字： </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被授权人签字：　</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单位盖章：　</w:t>
      </w:r>
    </w:p>
    <w:p>
      <w:pPr>
        <w:spacing w:line="240" w:lineRule="auto"/>
        <w:ind w:firstLine="420" w:firstLineChars="200"/>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附：</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被授权人姓名：</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职务：</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详细通讯地址：</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邮政编码：</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电话：</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移动电话：</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传真：</w:t>
      </w: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b/>
          <w:color w:val="000000" w:themeColor="text1"/>
        </w:rPr>
      </w:pPr>
      <w:r>
        <w:rPr>
          <w:rFonts w:hint="eastAsia" w:ascii="宋体" w:hAnsi="宋体" w:eastAsia="宋体" w:cs="宋体"/>
          <w:b/>
          <w:color w:val="000000" w:themeColor="text1"/>
        </w:rPr>
        <w:t>注：1、法定代表人授权书除装订于谈判响应文件中外，还须另置一份按“谈判供应商须知”要求单独密封。</w:t>
      </w:r>
    </w:p>
    <w:p>
      <w:pPr>
        <w:spacing w:line="240" w:lineRule="auto"/>
        <w:ind w:firstLine="413" w:firstLineChars="196"/>
        <w:rPr>
          <w:rFonts w:hint="eastAsia" w:ascii="宋体" w:hAnsi="宋体" w:eastAsia="宋体" w:cs="宋体"/>
          <w:color w:val="000000" w:themeColor="text1"/>
        </w:rPr>
      </w:pPr>
      <w:r>
        <w:rPr>
          <w:rFonts w:hint="eastAsia" w:ascii="宋体" w:hAnsi="宋体" w:eastAsia="宋体" w:cs="宋体"/>
          <w:b/>
          <w:color w:val="000000" w:themeColor="text1"/>
        </w:rPr>
        <w:t>2、提供被授权人的身份证复印件盖公章。</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br w:type="page"/>
      </w:r>
      <w:r>
        <w:rPr>
          <w:rFonts w:hint="eastAsia" w:ascii="宋体" w:hAnsi="宋体" w:eastAsia="宋体" w:cs="宋体"/>
          <w:color w:val="000000" w:themeColor="text1"/>
          <w:sz w:val="24"/>
        </w:rPr>
        <w:t>附件5－4经营业绩证明材料格式</w:t>
      </w:r>
    </w:p>
    <w:p>
      <w:pPr>
        <w:spacing w:line="240" w:lineRule="auto"/>
        <w:rPr>
          <w:rFonts w:hint="eastAsia" w:ascii="宋体" w:hAnsi="宋体" w:eastAsia="宋体" w:cs="宋体"/>
          <w:color w:val="000000" w:themeColor="text1"/>
        </w:rPr>
      </w:pPr>
    </w:p>
    <w:p>
      <w:pPr>
        <w:spacing w:line="24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经营业绩一览表</w:t>
      </w:r>
    </w:p>
    <w:p>
      <w:pPr>
        <w:spacing w:line="240" w:lineRule="auto"/>
        <w:jc w:val="center"/>
        <w:rPr>
          <w:rFonts w:hint="eastAsia" w:ascii="宋体" w:hAnsi="宋体" w:eastAsia="宋体" w:cs="宋体"/>
          <w:color w:val="000000" w:themeColor="text1"/>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序号</w:t>
            </w: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项目名称</w:t>
            </w: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采购单位</w:t>
            </w: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合同金额</w:t>
            </w: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完成时间</w:t>
            </w: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240" w:lineRule="auto"/>
              <w:rPr>
                <w:rFonts w:hint="eastAsia" w:ascii="宋体" w:hAnsi="宋体" w:eastAsia="宋体" w:cs="宋体"/>
                <w:color w:val="000000" w:themeColor="text1"/>
              </w:rPr>
            </w:pPr>
          </w:p>
        </w:tc>
      </w:tr>
    </w:tbl>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谈判供应商代表签字：</w:t>
      </w:r>
    </w:p>
    <w:p>
      <w:pPr>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谈判供应商盖章：</w:t>
      </w:r>
    </w:p>
    <w:p>
      <w:pPr>
        <w:spacing w:line="240" w:lineRule="auto"/>
        <w:rPr>
          <w:rFonts w:hint="eastAsia" w:ascii="宋体" w:hAnsi="宋体" w:eastAsia="宋体" w:cs="宋体"/>
          <w:color w:val="000000" w:themeColor="text1"/>
        </w:rPr>
      </w:pP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注：</w:t>
      </w:r>
    </w:p>
    <w:p>
      <w:pPr>
        <w:spacing w:line="240" w:lineRule="auto"/>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 xml:space="preserve">主要经营业绩须提交中标通知书或合同复印件并加盖公章， 供应商资格要求中对合格供应商经营业绩有特殊要求的应按其要求提交资料。 </w:t>
      </w:r>
    </w:p>
    <w:p>
      <w:pPr>
        <w:spacing w:line="240" w:lineRule="auto"/>
        <w:rPr>
          <w:rFonts w:hint="eastAsia" w:ascii="宋体" w:hAnsi="宋体" w:eastAsia="宋体" w:cs="宋体"/>
          <w:color w:val="000000"/>
        </w:rPr>
      </w:pPr>
    </w:p>
    <w:sectPr>
      <w:headerReference r:id="rId3" w:type="default"/>
      <w:footerReference r:id="rId4" w:type="default"/>
      <w:pgSz w:w="11906" w:h="16838"/>
      <w:pgMar w:top="1440" w:right="1800" w:bottom="1440" w:left="1800"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Impact">
    <w:panose1 w:val="020B080603090205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95282"/>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720" w:firstLineChars="400"/>
      <w:jc w:val="left"/>
    </w:pPr>
    <w:r>
      <w:rPr>
        <w:rFonts w:hint="eastAsia" w:ascii="幼圆" w:eastAsia="幼圆"/>
      </w:rPr>
      <w:drawing>
        <wp:anchor distT="0" distB="0" distL="114300" distR="114300" simplePos="0" relativeHeight="251659264" behindDoc="0" locked="0" layoutInCell="1" allowOverlap="1">
          <wp:simplePos x="0" y="0"/>
          <wp:positionH relativeFrom="column">
            <wp:posOffset>15875</wp:posOffset>
          </wp:positionH>
          <wp:positionV relativeFrom="paragraph">
            <wp:posOffset>-87630</wp:posOffset>
          </wp:positionV>
          <wp:extent cx="400050" cy="276225"/>
          <wp:effectExtent l="0" t="0" r="0" b="9525"/>
          <wp:wrapNone/>
          <wp:docPr id="1" name="图片 1" descr="集团 logo 中英全称 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 logo 中英全称 横"/>
                  <pic:cNvPicPr>
                    <a:picLocks noChangeAspect="1" noChangeArrowheads="1"/>
                  </pic:cNvPicPr>
                </pic:nvPicPr>
                <pic:blipFill>
                  <a:blip r:embed="rId1">
                    <a:extLst>
                      <a:ext uri="{28A0092B-C50C-407E-A947-70E740481C1C}">
                        <a14:useLocalDpi xmlns:a14="http://schemas.microsoft.com/office/drawing/2010/main" val="0"/>
                      </a:ext>
                    </a:extLst>
                  </a:blip>
                  <a:srcRect r="60332"/>
                  <a:stretch>
                    <a:fillRect/>
                  </a:stretch>
                </pic:blipFill>
                <pic:spPr>
                  <a:xfrm>
                    <a:off x="0" y="0"/>
                    <a:ext cx="400050" cy="276225"/>
                  </a:xfrm>
                  <a:prstGeom prst="rect">
                    <a:avLst/>
                  </a:prstGeom>
                  <a:noFill/>
                  <a:ln>
                    <a:noFill/>
                  </a:ln>
                </pic:spPr>
              </pic:pic>
            </a:graphicData>
          </a:graphic>
        </wp:anchor>
      </w:drawing>
    </w:r>
    <w:r>
      <w:rPr>
        <w:rFonts w:hint="eastAsia" w:ascii="幼圆" w:eastAsia="幼圆"/>
      </w:rPr>
      <w:t>深圳市设计之都运营发展有限公司</w:t>
    </w:r>
    <w:r>
      <w:rPr>
        <w:rFonts w:ascii="黑体" w:eastAsia="黑体" w:hAnsiTheme="minorEastAsia"/>
        <w:color w:val="000000"/>
      </w:rP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8CB35"/>
    <w:multiLevelType w:val="singleLevel"/>
    <w:tmpl w:val="8088CB35"/>
    <w:lvl w:ilvl="0" w:tentative="0">
      <w:start w:val="1"/>
      <w:numFmt w:val="decimal"/>
      <w:lvlText w:val="%1."/>
      <w:lvlJc w:val="left"/>
      <w:pPr>
        <w:tabs>
          <w:tab w:val="left" w:pos="312"/>
        </w:tabs>
      </w:pPr>
    </w:lvl>
  </w:abstractNum>
  <w:abstractNum w:abstractNumId="1">
    <w:nsid w:val="9E6699F0"/>
    <w:multiLevelType w:val="singleLevel"/>
    <w:tmpl w:val="9E6699F0"/>
    <w:lvl w:ilvl="0" w:tentative="0">
      <w:start w:val="1"/>
      <w:numFmt w:val="decimal"/>
      <w:lvlText w:val="%1."/>
      <w:lvlJc w:val="left"/>
      <w:pPr>
        <w:ind w:left="425" w:hanging="425"/>
      </w:pPr>
      <w:rPr>
        <w:rFonts w:hint="default"/>
      </w:rPr>
    </w:lvl>
  </w:abstractNum>
  <w:abstractNum w:abstractNumId="2">
    <w:nsid w:val="AA98FB27"/>
    <w:multiLevelType w:val="singleLevel"/>
    <w:tmpl w:val="AA98FB27"/>
    <w:lvl w:ilvl="0" w:tentative="0">
      <w:start w:val="1"/>
      <w:numFmt w:val="chineseCounting"/>
      <w:suff w:val="nothing"/>
      <w:lvlText w:val="%1、"/>
      <w:lvlJc w:val="left"/>
      <w:pPr>
        <w:ind w:left="0" w:firstLine="420"/>
      </w:pPr>
      <w:rPr>
        <w:rFonts w:hint="eastAsia" w:ascii="宋体" w:hAnsi="宋体" w:eastAsia="宋体" w:cs="宋体"/>
        <w:b/>
        <w:bCs/>
        <w:sz w:val="21"/>
        <w:szCs w:val="21"/>
      </w:rPr>
    </w:lvl>
  </w:abstractNum>
  <w:abstractNum w:abstractNumId="3">
    <w:nsid w:val="B3D7E7F0"/>
    <w:multiLevelType w:val="singleLevel"/>
    <w:tmpl w:val="B3D7E7F0"/>
    <w:lvl w:ilvl="0" w:tentative="0">
      <w:start w:val="1"/>
      <w:numFmt w:val="chineseCounting"/>
      <w:suff w:val="space"/>
      <w:lvlText w:val="第%1条"/>
      <w:lvlJc w:val="left"/>
      <w:rPr>
        <w:rFonts w:hint="eastAsia"/>
        <w:sz w:val="21"/>
        <w:szCs w:val="21"/>
      </w:rPr>
    </w:lvl>
  </w:abstractNum>
  <w:abstractNum w:abstractNumId="4">
    <w:nsid w:val="B6CF9086"/>
    <w:multiLevelType w:val="multilevel"/>
    <w:tmpl w:val="B6CF908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3E702CA"/>
    <w:multiLevelType w:val="multilevel"/>
    <w:tmpl w:val="C3E702C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b w:val="0"/>
        <w:bCs w:val="0"/>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CAE2B055"/>
    <w:multiLevelType w:val="singleLevel"/>
    <w:tmpl w:val="CAE2B055"/>
    <w:lvl w:ilvl="0" w:tentative="0">
      <w:start w:val="1"/>
      <w:numFmt w:val="chineseCounting"/>
      <w:suff w:val="nothing"/>
      <w:lvlText w:val="（%1）"/>
      <w:lvlJc w:val="left"/>
      <w:pPr>
        <w:ind w:left="0" w:firstLine="420"/>
      </w:pPr>
      <w:rPr>
        <w:rFonts w:hint="eastAsia"/>
        <w:sz w:val="21"/>
        <w:szCs w:val="21"/>
      </w:rPr>
    </w:lvl>
  </w:abstractNum>
  <w:abstractNum w:abstractNumId="7">
    <w:nsid w:val="DF1AEA30"/>
    <w:multiLevelType w:val="singleLevel"/>
    <w:tmpl w:val="DF1AEA30"/>
    <w:lvl w:ilvl="0" w:tentative="0">
      <w:start w:val="1"/>
      <w:numFmt w:val="decimal"/>
      <w:lvlText w:val="%1."/>
      <w:lvlJc w:val="left"/>
      <w:pPr>
        <w:ind w:left="425" w:hanging="425"/>
      </w:pPr>
      <w:rPr>
        <w:rFonts w:hint="default"/>
      </w:rPr>
    </w:lvl>
  </w:abstractNum>
  <w:abstractNum w:abstractNumId="8">
    <w:nsid w:val="05901FB6"/>
    <w:multiLevelType w:val="multilevel"/>
    <w:tmpl w:val="05901FB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CACA2A7"/>
    <w:multiLevelType w:val="multilevel"/>
    <w:tmpl w:val="0CACA2A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0FA901D1"/>
    <w:multiLevelType w:val="multilevel"/>
    <w:tmpl w:val="0FA901D1"/>
    <w:lvl w:ilvl="0" w:tentative="0">
      <w:start w:val="1"/>
      <w:numFmt w:val="decimal"/>
      <w:lvlText w:val="%1."/>
      <w:lvlJc w:val="left"/>
      <w:pPr>
        <w:ind w:left="360" w:hanging="36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E26CD"/>
    <w:multiLevelType w:val="singleLevel"/>
    <w:tmpl w:val="1AAE26CD"/>
    <w:lvl w:ilvl="0" w:tentative="0">
      <w:start w:val="1"/>
      <w:numFmt w:val="chineseCounting"/>
      <w:suff w:val="nothing"/>
      <w:lvlText w:val="%1、"/>
      <w:lvlJc w:val="left"/>
      <w:pPr>
        <w:ind w:left="0" w:firstLine="420"/>
      </w:pPr>
      <w:rPr>
        <w:rFonts w:hint="eastAsia"/>
      </w:rPr>
    </w:lvl>
  </w:abstractNum>
  <w:abstractNum w:abstractNumId="12">
    <w:nsid w:val="483150FD"/>
    <w:multiLevelType w:val="multilevel"/>
    <w:tmpl w:val="483150FD"/>
    <w:lvl w:ilvl="0" w:tentative="0">
      <w:start w:val="1"/>
      <w:numFmt w:val="decimal"/>
      <w:lvlText w:val="%1)"/>
      <w:lvlJc w:val="left"/>
      <w:pPr>
        <w:tabs>
          <w:tab w:val="left" w:pos="840"/>
        </w:tabs>
        <w:ind w:left="840" w:hanging="420"/>
      </w:pPr>
      <w:rPr>
        <w:rFonts w:hint="eastAsia"/>
        <w:b w:val="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4B56A6B0"/>
    <w:multiLevelType w:val="singleLevel"/>
    <w:tmpl w:val="4B56A6B0"/>
    <w:lvl w:ilvl="0" w:tentative="0">
      <w:start w:val="1"/>
      <w:numFmt w:val="decimal"/>
      <w:lvlText w:val="%1."/>
      <w:lvlJc w:val="left"/>
      <w:pPr>
        <w:ind w:left="425" w:hanging="425"/>
      </w:pPr>
      <w:rPr>
        <w:rFonts w:hint="default"/>
      </w:rPr>
    </w:lvl>
  </w:abstractNum>
  <w:abstractNum w:abstractNumId="14">
    <w:nsid w:val="5B447A09"/>
    <w:multiLevelType w:val="multilevel"/>
    <w:tmpl w:val="5B447A09"/>
    <w:lvl w:ilvl="0" w:tentative="0">
      <w:start w:val="1"/>
      <w:numFmt w:val="decimal"/>
      <w:lvlText w:val="%1．"/>
      <w:lvlJc w:val="left"/>
      <w:pPr>
        <w:ind w:left="420" w:hanging="420"/>
      </w:pPr>
      <w:rPr>
        <w:rFonts w:hint="eastAsia"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BB6CF1"/>
    <w:multiLevelType w:val="singleLevel"/>
    <w:tmpl w:val="74BB6CF1"/>
    <w:lvl w:ilvl="0" w:tentative="0">
      <w:start w:val="1"/>
      <w:numFmt w:val="chineseCounting"/>
      <w:suff w:val="nothing"/>
      <w:lvlText w:val="%1、"/>
      <w:lvlJc w:val="left"/>
      <w:rPr>
        <w:rFonts w:hint="eastAsia"/>
      </w:rPr>
    </w:lvl>
  </w:abstractNum>
  <w:num w:numId="1">
    <w:abstractNumId w:val="4"/>
  </w:num>
  <w:num w:numId="2">
    <w:abstractNumId w:val="11"/>
  </w:num>
  <w:num w:numId="3">
    <w:abstractNumId w:val="10"/>
  </w:num>
  <w:num w:numId="4">
    <w:abstractNumId w:val="12"/>
  </w:num>
  <w:num w:numId="5">
    <w:abstractNumId w:val="8"/>
  </w:num>
  <w:num w:numId="6">
    <w:abstractNumId w:val="9"/>
  </w:num>
  <w:num w:numId="7">
    <w:abstractNumId w:val="2"/>
  </w:num>
  <w:num w:numId="8">
    <w:abstractNumId w:val="6"/>
  </w:num>
  <w:num w:numId="9">
    <w:abstractNumId w:val="3"/>
  </w:num>
  <w:num w:numId="10">
    <w:abstractNumId w:val="0"/>
  </w:num>
  <w:num w:numId="11">
    <w:abstractNumId w:val="7"/>
  </w:num>
  <w:num w:numId="12">
    <w:abstractNumId w:val="13"/>
  </w:num>
  <w:num w:numId="13">
    <w:abstractNumId w:val="5"/>
  </w:num>
  <w:num w:numId="14">
    <w:abstractNumId w:val="15"/>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dit="trackedChanges" w:enforcement="1"/>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OWQ4NWUxYTM1MjU1OWM2MGU5NThlM2FlZjk0ODkifQ=="/>
  </w:docVars>
  <w:rsids>
    <w:rsidRoot w:val="00075BC4"/>
    <w:rsid w:val="00000F07"/>
    <w:rsid w:val="00035849"/>
    <w:rsid w:val="00040640"/>
    <w:rsid w:val="0005064A"/>
    <w:rsid w:val="00056D4D"/>
    <w:rsid w:val="000572B2"/>
    <w:rsid w:val="00075BC4"/>
    <w:rsid w:val="00087EB5"/>
    <w:rsid w:val="000A2874"/>
    <w:rsid w:val="000B3FCC"/>
    <w:rsid w:val="000C0AED"/>
    <w:rsid w:val="000D2B38"/>
    <w:rsid w:val="000E41A0"/>
    <w:rsid w:val="00104AA6"/>
    <w:rsid w:val="001051A7"/>
    <w:rsid w:val="0010749D"/>
    <w:rsid w:val="00144355"/>
    <w:rsid w:val="0014469F"/>
    <w:rsid w:val="00191DC3"/>
    <w:rsid w:val="001B5667"/>
    <w:rsid w:val="001C5FAC"/>
    <w:rsid w:val="001D4972"/>
    <w:rsid w:val="001E0430"/>
    <w:rsid w:val="001E0E78"/>
    <w:rsid w:val="001F2703"/>
    <w:rsid w:val="002149B1"/>
    <w:rsid w:val="00251253"/>
    <w:rsid w:val="00254FCE"/>
    <w:rsid w:val="002562AD"/>
    <w:rsid w:val="002649E0"/>
    <w:rsid w:val="00266B84"/>
    <w:rsid w:val="00270AB1"/>
    <w:rsid w:val="00291869"/>
    <w:rsid w:val="00313253"/>
    <w:rsid w:val="00320E80"/>
    <w:rsid w:val="00325523"/>
    <w:rsid w:val="0034217C"/>
    <w:rsid w:val="00365738"/>
    <w:rsid w:val="00395F84"/>
    <w:rsid w:val="003B11E0"/>
    <w:rsid w:val="003D4E56"/>
    <w:rsid w:val="0040416B"/>
    <w:rsid w:val="0043769C"/>
    <w:rsid w:val="004423C5"/>
    <w:rsid w:val="00471D3A"/>
    <w:rsid w:val="00472F4C"/>
    <w:rsid w:val="00474D0D"/>
    <w:rsid w:val="00480596"/>
    <w:rsid w:val="00483084"/>
    <w:rsid w:val="00494236"/>
    <w:rsid w:val="00495D3A"/>
    <w:rsid w:val="00514F41"/>
    <w:rsid w:val="00521509"/>
    <w:rsid w:val="0054725A"/>
    <w:rsid w:val="00560DB4"/>
    <w:rsid w:val="005D6E6E"/>
    <w:rsid w:val="005F01E3"/>
    <w:rsid w:val="005F25BC"/>
    <w:rsid w:val="0060142B"/>
    <w:rsid w:val="00603DDB"/>
    <w:rsid w:val="006135AB"/>
    <w:rsid w:val="006150A4"/>
    <w:rsid w:val="00630494"/>
    <w:rsid w:val="00640E40"/>
    <w:rsid w:val="006A7D24"/>
    <w:rsid w:val="006B0B1B"/>
    <w:rsid w:val="006C6BF1"/>
    <w:rsid w:val="006F1F09"/>
    <w:rsid w:val="006F3A3C"/>
    <w:rsid w:val="006F6A5F"/>
    <w:rsid w:val="007007C0"/>
    <w:rsid w:val="00706372"/>
    <w:rsid w:val="00726941"/>
    <w:rsid w:val="00747DB6"/>
    <w:rsid w:val="00790AD2"/>
    <w:rsid w:val="007A1C76"/>
    <w:rsid w:val="007A3703"/>
    <w:rsid w:val="007D3E0B"/>
    <w:rsid w:val="007F38CC"/>
    <w:rsid w:val="0086085D"/>
    <w:rsid w:val="008642FE"/>
    <w:rsid w:val="0088180B"/>
    <w:rsid w:val="008A2235"/>
    <w:rsid w:val="008B410A"/>
    <w:rsid w:val="008B7D85"/>
    <w:rsid w:val="008E0748"/>
    <w:rsid w:val="009113A2"/>
    <w:rsid w:val="009164D4"/>
    <w:rsid w:val="00935A72"/>
    <w:rsid w:val="009565BE"/>
    <w:rsid w:val="00977470"/>
    <w:rsid w:val="009A0723"/>
    <w:rsid w:val="009B2DDC"/>
    <w:rsid w:val="009B5FFC"/>
    <w:rsid w:val="009D0421"/>
    <w:rsid w:val="009E30E4"/>
    <w:rsid w:val="009E4669"/>
    <w:rsid w:val="00A000AD"/>
    <w:rsid w:val="00A00DCF"/>
    <w:rsid w:val="00A0142B"/>
    <w:rsid w:val="00A065C0"/>
    <w:rsid w:val="00A11B41"/>
    <w:rsid w:val="00A12E67"/>
    <w:rsid w:val="00A2514D"/>
    <w:rsid w:val="00A32CC1"/>
    <w:rsid w:val="00A4290C"/>
    <w:rsid w:val="00A51E1D"/>
    <w:rsid w:val="00A72602"/>
    <w:rsid w:val="00AB0FD1"/>
    <w:rsid w:val="00AB273A"/>
    <w:rsid w:val="00AF141F"/>
    <w:rsid w:val="00B25D55"/>
    <w:rsid w:val="00B438FC"/>
    <w:rsid w:val="00B62941"/>
    <w:rsid w:val="00B66C29"/>
    <w:rsid w:val="00B958AE"/>
    <w:rsid w:val="00B97670"/>
    <w:rsid w:val="00BA7F7D"/>
    <w:rsid w:val="00BD1CEE"/>
    <w:rsid w:val="00BD661B"/>
    <w:rsid w:val="00C029A6"/>
    <w:rsid w:val="00C11E19"/>
    <w:rsid w:val="00C64CDB"/>
    <w:rsid w:val="00C827C2"/>
    <w:rsid w:val="00C953C1"/>
    <w:rsid w:val="00CA0A3A"/>
    <w:rsid w:val="00CE7AE6"/>
    <w:rsid w:val="00CF2C87"/>
    <w:rsid w:val="00D05B77"/>
    <w:rsid w:val="00D124A3"/>
    <w:rsid w:val="00D21C75"/>
    <w:rsid w:val="00D41E9E"/>
    <w:rsid w:val="00D509CD"/>
    <w:rsid w:val="00D6371F"/>
    <w:rsid w:val="00D6592B"/>
    <w:rsid w:val="00D9369D"/>
    <w:rsid w:val="00D96D2A"/>
    <w:rsid w:val="00DA4184"/>
    <w:rsid w:val="00DB7897"/>
    <w:rsid w:val="00DE320E"/>
    <w:rsid w:val="00DE6082"/>
    <w:rsid w:val="00DE70C3"/>
    <w:rsid w:val="00DF08A3"/>
    <w:rsid w:val="00E01B57"/>
    <w:rsid w:val="00E15A60"/>
    <w:rsid w:val="00E453F2"/>
    <w:rsid w:val="00E53D36"/>
    <w:rsid w:val="00E57A00"/>
    <w:rsid w:val="00E75511"/>
    <w:rsid w:val="00E850F1"/>
    <w:rsid w:val="00E901E4"/>
    <w:rsid w:val="00EB01BF"/>
    <w:rsid w:val="00EB4CF2"/>
    <w:rsid w:val="00EB59A6"/>
    <w:rsid w:val="00EE6008"/>
    <w:rsid w:val="00EE79AB"/>
    <w:rsid w:val="00F07656"/>
    <w:rsid w:val="00F1399B"/>
    <w:rsid w:val="00F2493E"/>
    <w:rsid w:val="00F43901"/>
    <w:rsid w:val="00F45294"/>
    <w:rsid w:val="00F51181"/>
    <w:rsid w:val="00F60BD0"/>
    <w:rsid w:val="00F66243"/>
    <w:rsid w:val="00F82BAC"/>
    <w:rsid w:val="00F8398B"/>
    <w:rsid w:val="00FA7DBC"/>
    <w:rsid w:val="00FC1E30"/>
    <w:rsid w:val="00FD0A9E"/>
    <w:rsid w:val="00FD44CF"/>
    <w:rsid w:val="00FE16A0"/>
    <w:rsid w:val="00FF61C1"/>
    <w:rsid w:val="013D1841"/>
    <w:rsid w:val="01D1660C"/>
    <w:rsid w:val="02783976"/>
    <w:rsid w:val="035F4058"/>
    <w:rsid w:val="03661CA4"/>
    <w:rsid w:val="036F0F6F"/>
    <w:rsid w:val="03936690"/>
    <w:rsid w:val="042E35BE"/>
    <w:rsid w:val="044B76B8"/>
    <w:rsid w:val="049F168E"/>
    <w:rsid w:val="04D34972"/>
    <w:rsid w:val="051E21FC"/>
    <w:rsid w:val="05341DD6"/>
    <w:rsid w:val="05483AD3"/>
    <w:rsid w:val="05EA2DDC"/>
    <w:rsid w:val="062B2B49"/>
    <w:rsid w:val="0644429B"/>
    <w:rsid w:val="078D7E04"/>
    <w:rsid w:val="08675989"/>
    <w:rsid w:val="08EC3C9C"/>
    <w:rsid w:val="095347F5"/>
    <w:rsid w:val="09F1455A"/>
    <w:rsid w:val="0A494730"/>
    <w:rsid w:val="0A535A33"/>
    <w:rsid w:val="0AC43BFC"/>
    <w:rsid w:val="0B0F1D1A"/>
    <w:rsid w:val="0BAC6132"/>
    <w:rsid w:val="0BB5541A"/>
    <w:rsid w:val="0BE36224"/>
    <w:rsid w:val="0BF15B04"/>
    <w:rsid w:val="0C0614F4"/>
    <w:rsid w:val="0C486A13"/>
    <w:rsid w:val="0C57284E"/>
    <w:rsid w:val="0D156991"/>
    <w:rsid w:val="0D240982"/>
    <w:rsid w:val="0D2766C4"/>
    <w:rsid w:val="0D8E6766"/>
    <w:rsid w:val="0E010CC3"/>
    <w:rsid w:val="0E1028CD"/>
    <w:rsid w:val="0E7A765E"/>
    <w:rsid w:val="0EDC0BF0"/>
    <w:rsid w:val="0EEA1757"/>
    <w:rsid w:val="0F334EAC"/>
    <w:rsid w:val="0F6C5013"/>
    <w:rsid w:val="0F7A0D2D"/>
    <w:rsid w:val="101C6EA5"/>
    <w:rsid w:val="10883BA1"/>
    <w:rsid w:val="10A67900"/>
    <w:rsid w:val="110E2943"/>
    <w:rsid w:val="11446C05"/>
    <w:rsid w:val="12771554"/>
    <w:rsid w:val="12C624DB"/>
    <w:rsid w:val="13892D03"/>
    <w:rsid w:val="1410604D"/>
    <w:rsid w:val="14164D9C"/>
    <w:rsid w:val="14172FEE"/>
    <w:rsid w:val="145620A9"/>
    <w:rsid w:val="14CD31AF"/>
    <w:rsid w:val="150F589E"/>
    <w:rsid w:val="153F59F6"/>
    <w:rsid w:val="157B75AD"/>
    <w:rsid w:val="159B6C13"/>
    <w:rsid w:val="16EB0762"/>
    <w:rsid w:val="16F5338F"/>
    <w:rsid w:val="17282396"/>
    <w:rsid w:val="17361823"/>
    <w:rsid w:val="177559EB"/>
    <w:rsid w:val="185F1ECC"/>
    <w:rsid w:val="18DC2AE8"/>
    <w:rsid w:val="193F689E"/>
    <w:rsid w:val="19A00E89"/>
    <w:rsid w:val="19C534ED"/>
    <w:rsid w:val="1A0F29BA"/>
    <w:rsid w:val="1AD87250"/>
    <w:rsid w:val="1ADE6204"/>
    <w:rsid w:val="1C2344FA"/>
    <w:rsid w:val="1C2C344C"/>
    <w:rsid w:val="1C8F6548"/>
    <w:rsid w:val="1C982DC5"/>
    <w:rsid w:val="1D7F5576"/>
    <w:rsid w:val="1DF60118"/>
    <w:rsid w:val="1E334EC9"/>
    <w:rsid w:val="1F2504CB"/>
    <w:rsid w:val="1F9A7964"/>
    <w:rsid w:val="1FE761AE"/>
    <w:rsid w:val="2023514E"/>
    <w:rsid w:val="20CE041B"/>
    <w:rsid w:val="21A67760"/>
    <w:rsid w:val="22043B6F"/>
    <w:rsid w:val="22784BE0"/>
    <w:rsid w:val="22E76168"/>
    <w:rsid w:val="230C30B9"/>
    <w:rsid w:val="231D4366"/>
    <w:rsid w:val="2322375E"/>
    <w:rsid w:val="236B2A0F"/>
    <w:rsid w:val="23786C69"/>
    <w:rsid w:val="23AA01A0"/>
    <w:rsid w:val="23E06A66"/>
    <w:rsid w:val="24150BCD"/>
    <w:rsid w:val="244E463F"/>
    <w:rsid w:val="247B689F"/>
    <w:rsid w:val="24FE77F3"/>
    <w:rsid w:val="259E18C6"/>
    <w:rsid w:val="25BA0C9E"/>
    <w:rsid w:val="25E75211"/>
    <w:rsid w:val="261E645E"/>
    <w:rsid w:val="266A16A4"/>
    <w:rsid w:val="272D0F38"/>
    <w:rsid w:val="27580F7E"/>
    <w:rsid w:val="27D901DB"/>
    <w:rsid w:val="283B38A8"/>
    <w:rsid w:val="28F90ABD"/>
    <w:rsid w:val="29070B9D"/>
    <w:rsid w:val="2953641F"/>
    <w:rsid w:val="295D104C"/>
    <w:rsid w:val="29B80B7E"/>
    <w:rsid w:val="2BFA2A19"/>
    <w:rsid w:val="2C3B319A"/>
    <w:rsid w:val="2CAF3A12"/>
    <w:rsid w:val="2CBF4FE8"/>
    <w:rsid w:val="2CFA0F82"/>
    <w:rsid w:val="2D572346"/>
    <w:rsid w:val="2D9011F0"/>
    <w:rsid w:val="2D9A0AA6"/>
    <w:rsid w:val="2DD1025A"/>
    <w:rsid w:val="2EC92CDF"/>
    <w:rsid w:val="30915A7F"/>
    <w:rsid w:val="30B33C47"/>
    <w:rsid w:val="30F3371F"/>
    <w:rsid w:val="314A45AB"/>
    <w:rsid w:val="318F1FBE"/>
    <w:rsid w:val="31B656FC"/>
    <w:rsid w:val="32326E2F"/>
    <w:rsid w:val="32862630"/>
    <w:rsid w:val="32C83002"/>
    <w:rsid w:val="32D566D2"/>
    <w:rsid w:val="330E5059"/>
    <w:rsid w:val="331035D3"/>
    <w:rsid w:val="33154745"/>
    <w:rsid w:val="33220BAB"/>
    <w:rsid w:val="33AC1DDC"/>
    <w:rsid w:val="33E02FA5"/>
    <w:rsid w:val="34484172"/>
    <w:rsid w:val="346904C3"/>
    <w:rsid w:val="34A23C1A"/>
    <w:rsid w:val="354B0068"/>
    <w:rsid w:val="354F39CB"/>
    <w:rsid w:val="356025DB"/>
    <w:rsid w:val="35967540"/>
    <w:rsid w:val="35DA163E"/>
    <w:rsid w:val="35FE3BB6"/>
    <w:rsid w:val="36293C2D"/>
    <w:rsid w:val="362C24D2"/>
    <w:rsid w:val="3662413F"/>
    <w:rsid w:val="377D2CD9"/>
    <w:rsid w:val="38C70CB8"/>
    <w:rsid w:val="391935A5"/>
    <w:rsid w:val="3A9E7729"/>
    <w:rsid w:val="3AAE5A75"/>
    <w:rsid w:val="3ACB4F85"/>
    <w:rsid w:val="3B1A56C2"/>
    <w:rsid w:val="3B647709"/>
    <w:rsid w:val="3BBB276B"/>
    <w:rsid w:val="3C124329"/>
    <w:rsid w:val="3C485F05"/>
    <w:rsid w:val="3CA628B2"/>
    <w:rsid w:val="3D081560"/>
    <w:rsid w:val="3D6A1B31"/>
    <w:rsid w:val="3D9F7A2D"/>
    <w:rsid w:val="3DB23467"/>
    <w:rsid w:val="3DDA6CB7"/>
    <w:rsid w:val="3DE55CEB"/>
    <w:rsid w:val="3EF67B21"/>
    <w:rsid w:val="3F6727CC"/>
    <w:rsid w:val="3F8A1170"/>
    <w:rsid w:val="3FE95415"/>
    <w:rsid w:val="41641E74"/>
    <w:rsid w:val="416F6B0D"/>
    <w:rsid w:val="41B25855"/>
    <w:rsid w:val="41EA30D8"/>
    <w:rsid w:val="421610D5"/>
    <w:rsid w:val="42164036"/>
    <w:rsid w:val="428B4190"/>
    <w:rsid w:val="42BB7FB1"/>
    <w:rsid w:val="435543AD"/>
    <w:rsid w:val="435B3335"/>
    <w:rsid w:val="436C6603"/>
    <w:rsid w:val="43A5385B"/>
    <w:rsid w:val="43DD4C31"/>
    <w:rsid w:val="449812F5"/>
    <w:rsid w:val="44EE3048"/>
    <w:rsid w:val="45481F44"/>
    <w:rsid w:val="45486BFC"/>
    <w:rsid w:val="4582210E"/>
    <w:rsid w:val="46050649"/>
    <w:rsid w:val="46492C2C"/>
    <w:rsid w:val="468B348B"/>
    <w:rsid w:val="46CB53EF"/>
    <w:rsid w:val="46E3440D"/>
    <w:rsid w:val="475915D3"/>
    <w:rsid w:val="47A1451B"/>
    <w:rsid w:val="47FE1C2A"/>
    <w:rsid w:val="486039E3"/>
    <w:rsid w:val="48747943"/>
    <w:rsid w:val="48EC0FE7"/>
    <w:rsid w:val="49306CA2"/>
    <w:rsid w:val="49357497"/>
    <w:rsid w:val="49935F6C"/>
    <w:rsid w:val="4A1B5B8C"/>
    <w:rsid w:val="4AA20B5D"/>
    <w:rsid w:val="4AB56AE2"/>
    <w:rsid w:val="4ABF56F5"/>
    <w:rsid w:val="4AE01CB2"/>
    <w:rsid w:val="4B575FCA"/>
    <w:rsid w:val="4B5B1FDD"/>
    <w:rsid w:val="4B6B1A24"/>
    <w:rsid w:val="4CC34DBA"/>
    <w:rsid w:val="4CD069FA"/>
    <w:rsid w:val="4D154F42"/>
    <w:rsid w:val="4D2414C2"/>
    <w:rsid w:val="4D266337"/>
    <w:rsid w:val="4D30280F"/>
    <w:rsid w:val="4D353705"/>
    <w:rsid w:val="4DA44BEC"/>
    <w:rsid w:val="4E02025A"/>
    <w:rsid w:val="4E2676B1"/>
    <w:rsid w:val="4E481C3E"/>
    <w:rsid w:val="4E7D377A"/>
    <w:rsid w:val="4ED35788"/>
    <w:rsid w:val="4FAB400F"/>
    <w:rsid w:val="4FAE1D52"/>
    <w:rsid w:val="50146347"/>
    <w:rsid w:val="50AA25DD"/>
    <w:rsid w:val="50DD28EE"/>
    <w:rsid w:val="51256043"/>
    <w:rsid w:val="527A5F1B"/>
    <w:rsid w:val="52D043E1"/>
    <w:rsid w:val="531E1711"/>
    <w:rsid w:val="53B6481E"/>
    <w:rsid w:val="53F97F46"/>
    <w:rsid w:val="543427CF"/>
    <w:rsid w:val="54721BF2"/>
    <w:rsid w:val="548A4B3B"/>
    <w:rsid w:val="55481E7E"/>
    <w:rsid w:val="55482C14"/>
    <w:rsid w:val="56E147BB"/>
    <w:rsid w:val="57C50882"/>
    <w:rsid w:val="58120797"/>
    <w:rsid w:val="58901EBA"/>
    <w:rsid w:val="58BE59E5"/>
    <w:rsid w:val="58FF717A"/>
    <w:rsid w:val="5A236E98"/>
    <w:rsid w:val="5A3D7F5A"/>
    <w:rsid w:val="5A624DE8"/>
    <w:rsid w:val="5A6503AB"/>
    <w:rsid w:val="5ADC48C6"/>
    <w:rsid w:val="5C1949F7"/>
    <w:rsid w:val="5C384E7D"/>
    <w:rsid w:val="5C930305"/>
    <w:rsid w:val="5D401EF9"/>
    <w:rsid w:val="5D414205"/>
    <w:rsid w:val="5D5F28DD"/>
    <w:rsid w:val="5D9B12D1"/>
    <w:rsid w:val="5E0D2339"/>
    <w:rsid w:val="5E211C93"/>
    <w:rsid w:val="5E4C2A70"/>
    <w:rsid w:val="5E512226"/>
    <w:rsid w:val="5E710B1A"/>
    <w:rsid w:val="5F0674B4"/>
    <w:rsid w:val="5F434A5F"/>
    <w:rsid w:val="5F560AF4"/>
    <w:rsid w:val="602A7A08"/>
    <w:rsid w:val="605C7DC8"/>
    <w:rsid w:val="609819EF"/>
    <w:rsid w:val="60CA4511"/>
    <w:rsid w:val="613D6968"/>
    <w:rsid w:val="620572E1"/>
    <w:rsid w:val="64177A6E"/>
    <w:rsid w:val="649A3634"/>
    <w:rsid w:val="64FD47E1"/>
    <w:rsid w:val="658347B1"/>
    <w:rsid w:val="662965DD"/>
    <w:rsid w:val="662B76DC"/>
    <w:rsid w:val="668C4743"/>
    <w:rsid w:val="669C55C5"/>
    <w:rsid w:val="66A42CF3"/>
    <w:rsid w:val="672229B1"/>
    <w:rsid w:val="67572F38"/>
    <w:rsid w:val="680774E2"/>
    <w:rsid w:val="6A746E12"/>
    <w:rsid w:val="6B9145AA"/>
    <w:rsid w:val="6BC44B80"/>
    <w:rsid w:val="6C0F3586"/>
    <w:rsid w:val="6C200B48"/>
    <w:rsid w:val="6D952DD1"/>
    <w:rsid w:val="6DC9627D"/>
    <w:rsid w:val="6DF76824"/>
    <w:rsid w:val="6E6D5BAB"/>
    <w:rsid w:val="6E874588"/>
    <w:rsid w:val="6F2B6CC6"/>
    <w:rsid w:val="6F937640"/>
    <w:rsid w:val="6FA32AFD"/>
    <w:rsid w:val="707F3039"/>
    <w:rsid w:val="71D0417F"/>
    <w:rsid w:val="71F53502"/>
    <w:rsid w:val="72504F3B"/>
    <w:rsid w:val="733E17AF"/>
    <w:rsid w:val="73814F04"/>
    <w:rsid w:val="73A625D6"/>
    <w:rsid w:val="73F531FC"/>
    <w:rsid w:val="741967CA"/>
    <w:rsid w:val="745E77D3"/>
    <w:rsid w:val="74837BE2"/>
    <w:rsid w:val="74F459FA"/>
    <w:rsid w:val="75314C92"/>
    <w:rsid w:val="758F4452"/>
    <w:rsid w:val="75976C60"/>
    <w:rsid w:val="75BC0475"/>
    <w:rsid w:val="76C67537"/>
    <w:rsid w:val="775F15F9"/>
    <w:rsid w:val="776C1A27"/>
    <w:rsid w:val="77D53A70"/>
    <w:rsid w:val="77DA2E34"/>
    <w:rsid w:val="77DE23DB"/>
    <w:rsid w:val="7877490D"/>
    <w:rsid w:val="7879264D"/>
    <w:rsid w:val="795457C0"/>
    <w:rsid w:val="797A667D"/>
    <w:rsid w:val="79C93160"/>
    <w:rsid w:val="79FB35BE"/>
    <w:rsid w:val="7A077F60"/>
    <w:rsid w:val="7A4C209D"/>
    <w:rsid w:val="7AAD7D85"/>
    <w:rsid w:val="7C5E0911"/>
    <w:rsid w:val="7C645ACD"/>
    <w:rsid w:val="7CB54BCA"/>
    <w:rsid w:val="7CBB76D8"/>
    <w:rsid w:val="7CBF3C51"/>
    <w:rsid w:val="7D580C9E"/>
    <w:rsid w:val="7EB937A4"/>
    <w:rsid w:val="7F1C3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widowControl/>
      <w:spacing w:after="100" w:line="276" w:lineRule="auto"/>
      <w:jc w:val="left"/>
    </w:pPr>
    <w:rPr>
      <w:kern w:val="0"/>
      <w:sz w:val="22"/>
    </w:rPr>
  </w:style>
  <w:style w:type="paragraph" w:styleId="6">
    <w:name w:val="annotation text"/>
    <w:basedOn w:val="1"/>
    <w:semiHidden/>
    <w:qFormat/>
    <w:uiPriority w:val="0"/>
    <w:pPr>
      <w:jc w:val="left"/>
    </w:pPr>
    <w:rPr>
      <w:sz w:val="24"/>
      <w:szCs w:val="20"/>
    </w:rPr>
  </w:style>
  <w:style w:type="paragraph" w:styleId="7">
    <w:name w:val="Body Text"/>
    <w:basedOn w:val="1"/>
    <w:next w:val="1"/>
    <w:qFormat/>
    <w:uiPriority w:val="0"/>
    <w:rPr>
      <w:rFonts w:ascii="楷体_GB2312" w:hAnsi="Arial" w:eastAsia="楷体_GB2312"/>
      <w:sz w:val="28"/>
      <w:lang w:val="zh-CN"/>
    </w:rPr>
  </w:style>
  <w:style w:type="paragraph" w:styleId="8">
    <w:name w:val="Body Text Indent"/>
    <w:basedOn w:val="1"/>
    <w:link w:val="25"/>
    <w:qFormat/>
    <w:uiPriority w:val="0"/>
    <w:pPr>
      <w:ind w:left="2098"/>
    </w:pPr>
    <w:rPr>
      <w:rFonts w:ascii="Times New Roman" w:hAnsi="Times New Roman" w:eastAsia="宋体" w:cs="Times New Roman"/>
      <w:color w:val="000000"/>
      <w:sz w:val="24"/>
      <w:szCs w:val="24"/>
    </w:rPr>
  </w:style>
  <w:style w:type="paragraph" w:styleId="9">
    <w:name w:val="Plain Text"/>
    <w:basedOn w:val="1"/>
    <w:link w:val="26"/>
    <w:qFormat/>
    <w:uiPriority w:val="0"/>
    <w:rPr>
      <w:rFonts w:ascii="宋体" w:hAnsi="Courier New" w:eastAsia="宋体" w:cs="Courier New"/>
      <w:szCs w:val="21"/>
    </w:rPr>
  </w:style>
  <w:style w:type="paragraph" w:styleId="10">
    <w:name w:val="Date"/>
    <w:basedOn w:val="1"/>
    <w:next w:val="1"/>
    <w:link w:val="22"/>
    <w:qFormat/>
    <w:uiPriority w:val="0"/>
    <w:pPr>
      <w:autoSpaceDE w:val="0"/>
      <w:autoSpaceDN w:val="0"/>
      <w:adjustRightInd w:val="0"/>
      <w:textAlignment w:val="baseline"/>
    </w:pPr>
    <w:rPr>
      <w:rFonts w:ascii="宋体" w:hAnsi="Times New Roman" w:eastAsia="宋体" w:cs="Times New Roman"/>
      <w:kern w:val="0"/>
      <w:sz w:val="28"/>
      <w:szCs w:val="20"/>
    </w:rPr>
  </w:style>
  <w:style w:type="paragraph" w:styleId="11">
    <w:name w:val="Balloon Text"/>
    <w:basedOn w:val="1"/>
    <w:link w:val="31"/>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rFonts w:ascii="Times New Roman" w:hAnsi="Times New Roman" w:eastAsia="宋体" w:cs="Times New Roman"/>
      <w:sz w:val="24"/>
      <w:szCs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semiHidden/>
    <w:qFormat/>
    <w:uiPriority w:val="0"/>
    <w:rPr>
      <w:sz w:val="21"/>
      <w:szCs w:val="21"/>
    </w:rPr>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标题 1 Char"/>
    <w:basedOn w:val="17"/>
    <w:link w:val="3"/>
    <w:qFormat/>
    <w:uiPriority w:val="0"/>
    <w:rPr>
      <w:rFonts w:ascii="Times New Roman" w:hAnsi="Times New Roman" w:eastAsia="宋体" w:cs="Times New Roman"/>
      <w:b/>
      <w:bCs/>
      <w:kern w:val="44"/>
      <w:sz w:val="44"/>
      <w:szCs w:val="44"/>
    </w:rPr>
  </w:style>
  <w:style w:type="character" w:customStyle="1" w:styleId="22">
    <w:name w:val="日期 Char"/>
    <w:basedOn w:val="17"/>
    <w:link w:val="10"/>
    <w:qFormat/>
    <w:uiPriority w:val="0"/>
    <w:rPr>
      <w:rFonts w:ascii="宋体" w:hAnsi="Times New Roman" w:eastAsia="宋体" w:cs="Times New Roman"/>
      <w:kern w:val="0"/>
      <w:sz w:val="28"/>
      <w:szCs w:val="20"/>
    </w:rPr>
  </w:style>
  <w:style w:type="paragraph" w:customStyle="1" w:styleId="23">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cs="Times New Roman"/>
      <w:kern w:val="0"/>
      <w:sz w:val="30"/>
      <w:szCs w:val="20"/>
    </w:rPr>
  </w:style>
  <w:style w:type="character" w:customStyle="1" w:styleId="24">
    <w:name w:val="标题 2 Char"/>
    <w:basedOn w:val="17"/>
    <w:link w:val="4"/>
    <w:qFormat/>
    <w:uiPriority w:val="0"/>
    <w:rPr>
      <w:rFonts w:ascii="Arial" w:hAnsi="Arial" w:eastAsia="黑体" w:cs="Times New Roman"/>
      <w:b/>
      <w:bCs/>
      <w:sz w:val="32"/>
      <w:szCs w:val="32"/>
    </w:rPr>
  </w:style>
  <w:style w:type="character" w:customStyle="1" w:styleId="25">
    <w:name w:val="正文文本缩进 Char"/>
    <w:basedOn w:val="17"/>
    <w:link w:val="8"/>
    <w:qFormat/>
    <w:uiPriority w:val="0"/>
    <w:rPr>
      <w:rFonts w:ascii="Times New Roman" w:hAnsi="Times New Roman" w:eastAsia="宋体" w:cs="Times New Roman"/>
      <w:color w:val="000000"/>
      <w:sz w:val="24"/>
      <w:szCs w:val="24"/>
    </w:rPr>
  </w:style>
  <w:style w:type="character" w:customStyle="1" w:styleId="26">
    <w:name w:val="纯文本 Char"/>
    <w:basedOn w:val="17"/>
    <w:link w:val="9"/>
    <w:qFormat/>
    <w:uiPriority w:val="0"/>
    <w:rPr>
      <w:rFonts w:ascii="宋体" w:hAnsi="Courier New" w:eastAsia="宋体" w:cs="Courier New"/>
      <w:szCs w:val="21"/>
    </w:rPr>
  </w:style>
  <w:style w:type="character" w:customStyle="1" w:styleId="27">
    <w:name w:val="标题 3 Char"/>
    <w:basedOn w:val="17"/>
    <w:link w:val="5"/>
    <w:qFormat/>
    <w:uiPriority w:val="0"/>
    <w:rPr>
      <w:rFonts w:ascii="Times New Roman" w:hAnsi="Times New Roman" w:eastAsia="宋体" w:cs="Times New Roman"/>
      <w:b/>
      <w:bCs/>
      <w:sz w:val="32"/>
      <w:szCs w:val="32"/>
    </w:rPr>
  </w:style>
  <w:style w:type="character" w:customStyle="1" w:styleId="28">
    <w:name w:val="页眉 Char"/>
    <w:basedOn w:val="17"/>
    <w:link w:val="13"/>
    <w:qFormat/>
    <w:uiPriority w:val="0"/>
    <w:rPr>
      <w:sz w:val="18"/>
      <w:szCs w:val="18"/>
    </w:rPr>
  </w:style>
  <w:style w:type="character" w:customStyle="1" w:styleId="29">
    <w:name w:val="页脚 Char"/>
    <w:basedOn w:val="17"/>
    <w:link w:val="12"/>
    <w:qFormat/>
    <w:uiPriority w:val="99"/>
    <w:rPr>
      <w:sz w:val="18"/>
      <w:szCs w:val="18"/>
    </w:rPr>
  </w:style>
  <w:style w:type="paragraph" w:styleId="30">
    <w:name w:val="List Paragraph"/>
    <w:basedOn w:val="1"/>
    <w:link w:val="32"/>
    <w:qFormat/>
    <w:uiPriority w:val="34"/>
    <w:pPr>
      <w:ind w:firstLine="420" w:firstLineChars="200"/>
    </w:pPr>
  </w:style>
  <w:style w:type="character" w:customStyle="1" w:styleId="31">
    <w:name w:val="批注框文本 Char"/>
    <w:basedOn w:val="17"/>
    <w:link w:val="11"/>
    <w:semiHidden/>
    <w:qFormat/>
    <w:uiPriority w:val="99"/>
    <w:rPr>
      <w:sz w:val="18"/>
      <w:szCs w:val="18"/>
    </w:rPr>
  </w:style>
  <w:style w:type="character" w:customStyle="1" w:styleId="32">
    <w:name w:val="列出段落 Char"/>
    <w:link w:val="30"/>
    <w:qFormat/>
    <w:locked/>
    <w:uiPriority w:val="34"/>
  </w:style>
  <w:style w:type="character" w:customStyle="1" w:styleId="33">
    <w:name w:val="标题 3 Char Char"/>
    <w:qFormat/>
    <w:uiPriority w:val="0"/>
    <w:rPr>
      <w:rFonts w:ascii="黑体" w:eastAsia="黑体"/>
      <w:bCs/>
      <w:sz w:val="30"/>
    </w:rPr>
  </w:style>
  <w:style w:type="character" w:customStyle="1" w:styleId="34">
    <w:name w:val="日期 Char1"/>
    <w:basedOn w:val="17"/>
    <w:qFormat/>
    <w:uiPriority w:val="0"/>
    <w:rPr>
      <w:rFonts w:ascii="宋体" w:hAnsi="Courier New" w:eastAsia="宋体" w:cs="Times New Roman"/>
      <w:sz w:val="32"/>
      <w:szCs w:val="20"/>
    </w:rPr>
  </w:style>
  <w:style w:type="paragraph" w:customStyle="1" w:styleId="35">
    <w:name w:val="Char Char Char"/>
    <w:basedOn w:val="1"/>
    <w:qFormat/>
    <w:uiPriority w:val="0"/>
    <w:rPr>
      <w:rFonts w:ascii="Times New Roman" w:hAnsi="Times New Roman" w:eastAsia="宋体" w:cs="Times New Roman"/>
      <w:szCs w:val="20"/>
    </w:rPr>
  </w:style>
  <w:style w:type="character" w:customStyle="1" w:styleId="36">
    <w:name w:val="email"/>
    <w:basedOn w:val="17"/>
    <w:qFormat/>
    <w:uiPriority w:val="0"/>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D14D5-A89C-4033-9CEC-53F08F6320BF}">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32</Pages>
  <Words>3928</Words>
  <Characters>22396</Characters>
  <Lines>186</Lines>
  <Paragraphs>52</Paragraphs>
  <TotalTime>4</TotalTime>
  <ScaleCrop>false</ScaleCrop>
  <LinksUpToDate>false</LinksUpToDate>
  <CharactersWithSpaces>26272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2017-01-17T07:48:00Z</dcterms:created>
  <dc:creator>fuyuxiong</dc:creator>
  <cp:lastModifiedBy>查无此人。</cp:lastModifiedBy>
  <cp:lastPrinted>2017-03-15T10:14:00Z</cp:lastPrinted>
  <dcterms:modified xsi:type="dcterms:W3CDTF">2024-06-14T11:34:14Z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8A26722C4A3B41F7BEC735928DD33B50_13</vt:lpwstr>
  </property>
</Properties>
</file>