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color w:val="000000"/>
          <w:kern w:val="0"/>
          <w:sz w:val="52"/>
          <w:szCs w:val="52"/>
        </w:rPr>
      </w:pPr>
    </w:p>
    <w:p>
      <w:pPr>
        <w:jc w:val="center"/>
        <w:rPr>
          <w:rFonts w:eastAsia="黑体"/>
          <w:b/>
          <w:color w:val="000000"/>
          <w:kern w:val="0"/>
          <w:sz w:val="52"/>
          <w:szCs w:val="52"/>
        </w:rPr>
      </w:pPr>
    </w:p>
    <w:p>
      <w:pPr>
        <w:rPr>
          <w:rFonts w:eastAsia="黑体"/>
          <w:b/>
          <w:color w:val="000000"/>
          <w:kern w:val="0"/>
          <w:sz w:val="52"/>
          <w:szCs w:val="52"/>
        </w:rPr>
      </w:pPr>
    </w:p>
    <w:p>
      <w:pPr>
        <w:jc w:val="center"/>
        <w:rPr>
          <w:rFonts w:eastAsia="黑体"/>
          <w:b/>
          <w:color w:val="000000"/>
          <w:kern w:val="0"/>
          <w:sz w:val="52"/>
          <w:szCs w:val="52"/>
        </w:rPr>
      </w:pPr>
    </w:p>
    <w:p>
      <w:pPr>
        <w:jc w:val="center"/>
        <w:rPr>
          <w:rFonts w:eastAsia="黑体"/>
          <w:b/>
          <w:color w:val="000000"/>
          <w:kern w:val="0"/>
          <w:sz w:val="52"/>
          <w:szCs w:val="52"/>
        </w:rPr>
      </w:pPr>
    </w:p>
    <w:p>
      <w:pPr>
        <w:pStyle w:val="3"/>
        <w:spacing w:before="0" w:after="0" w:line="360" w:lineRule="auto"/>
        <w:jc w:val="center"/>
        <w:rPr>
          <w:rFonts w:ascii="宋体" w:hAnsi="宋体" w:cs="宋体"/>
          <w:sz w:val="52"/>
          <w:szCs w:val="52"/>
        </w:rPr>
      </w:pPr>
      <w:bookmarkStart w:id="0" w:name="_Toc857"/>
      <w:bookmarkStart w:id="1" w:name="_Toc23094"/>
      <w:bookmarkStart w:id="2" w:name="_Toc1381"/>
      <w:bookmarkStart w:id="3" w:name="_Toc29746"/>
      <w:r>
        <w:rPr>
          <w:rFonts w:hint="eastAsia" w:ascii="宋体" w:hAnsi="宋体" w:cs="宋体"/>
          <w:sz w:val="52"/>
          <w:szCs w:val="52"/>
        </w:rPr>
        <w:t>2024年</w:t>
      </w:r>
      <w:bookmarkEnd w:id="0"/>
      <w:r>
        <w:rPr>
          <w:rFonts w:hint="eastAsia" w:ascii="宋体" w:hAnsi="宋体" w:cs="宋体"/>
          <w:sz w:val="52"/>
          <w:szCs w:val="52"/>
        </w:rPr>
        <w:t>第十三届深圳动漫节</w:t>
      </w:r>
    </w:p>
    <w:p>
      <w:pPr>
        <w:pStyle w:val="3"/>
        <w:spacing w:before="0" w:after="0" w:line="360" w:lineRule="auto"/>
        <w:jc w:val="center"/>
        <w:rPr>
          <w:rFonts w:ascii="宋体" w:hAnsi="宋体" w:cs="宋体"/>
          <w:sz w:val="52"/>
          <w:szCs w:val="52"/>
        </w:rPr>
      </w:pPr>
      <w:r>
        <w:rPr>
          <w:rFonts w:hint="eastAsia" w:ascii="宋体" w:hAnsi="宋体" w:cs="宋体"/>
          <w:sz w:val="52"/>
          <w:szCs w:val="52"/>
        </w:rPr>
        <w:t>x世纪汇联名活动项目</w:t>
      </w:r>
    </w:p>
    <w:bookmarkEnd w:id="1"/>
    <w:bookmarkEnd w:id="2"/>
    <w:bookmarkEnd w:id="3"/>
    <w:p>
      <w:pPr>
        <w:jc w:val="center"/>
        <w:rPr>
          <w:rFonts w:eastAsia="黑体"/>
          <w:b/>
          <w:color w:val="000000" w:themeColor="text1"/>
          <w:kern w:val="0"/>
          <w:sz w:val="52"/>
          <w:szCs w:val="52"/>
          <w14:textFill>
            <w14:solidFill>
              <w14:schemeClr w14:val="tx1"/>
            </w14:solidFill>
          </w14:textFill>
        </w:rPr>
      </w:pPr>
    </w:p>
    <w:p>
      <w:pPr>
        <w:jc w:val="center"/>
        <w:rPr>
          <w:rFonts w:eastAsia="黑体"/>
          <w:b/>
          <w:color w:val="000000" w:themeColor="text1"/>
          <w:kern w:val="0"/>
          <w:sz w:val="52"/>
          <w:szCs w:val="52"/>
          <w14:textFill>
            <w14:solidFill>
              <w14:schemeClr w14:val="tx1"/>
            </w14:solidFill>
          </w14:textFill>
        </w:rPr>
      </w:pPr>
    </w:p>
    <w:p>
      <w:pPr>
        <w:tabs>
          <w:tab w:val="left" w:pos="3073"/>
        </w:tabs>
        <w:rPr>
          <w:rFonts w:eastAsia="黑体"/>
          <w:b/>
          <w:color w:val="000000" w:themeColor="text1"/>
          <w:kern w:val="0"/>
          <w:sz w:val="52"/>
          <w:szCs w:val="52"/>
          <w14:textFill>
            <w14:solidFill>
              <w14:schemeClr w14:val="tx1"/>
            </w14:solidFill>
          </w14:textFill>
        </w:rPr>
      </w:pPr>
      <w:r>
        <w:rPr>
          <w:rFonts w:eastAsia="黑体"/>
          <w:b/>
          <w:color w:val="000000" w:themeColor="text1"/>
          <w:kern w:val="0"/>
          <w:sz w:val="52"/>
          <w:szCs w:val="52"/>
          <w14:textFill>
            <w14:solidFill>
              <w14:schemeClr w14:val="tx1"/>
            </w14:solidFill>
          </w14:textFill>
        </w:rPr>
        <w:tab/>
      </w:r>
    </w:p>
    <w:p>
      <w:pPr>
        <w:jc w:val="center"/>
        <w:rPr>
          <w:rFonts w:eastAsia="黑体"/>
          <w:b/>
          <w:bCs/>
          <w:color w:val="000000" w:themeColor="text1"/>
          <w:sz w:val="84"/>
          <w:szCs w:val="21"/>
          <w14:textFill>
            <w14:solidFill>
              <w14:schemeClr w14:val="tx1"/>
            </w14:solidFill>
          </w14:textFill>
        </w:rPr>
      </w:pPr>
      <w:r>
        <w:rPr>
          <w:rFonts w:hint="eastAsia" w:eastAsia="黑体"/>
          <w:b/>
          <w:bCs/>
          <w:color w:val="000000" w:themeColor="text1"/>
          <w:sz w:val="84"/>
          <w:szCs w:val="21"/>
          <w14:textFill>
            <w14:solidFill>
              <w14:schemeClr w14:val="tx1"/>
            </w14:solidFill>
          </w14:textFill>
        </w:rPr>
        <w:t>邀请招标文件</w:t>
      </w:r>
    </w:p>
    <w:p>
      <w:pPr>
        <w:jc w:val="center"/>
        <w:outlineLvl w:val="0"/>
        <w:rPr>
          <w:rFonts w:hint="default" w:eastAsia="黑体"/>
          <w:color w:val="000000" w:themeColor="text1"/>
          <w:sz w:val="34"/>
          <w:szCs w:val="21"/>
          <w:highlight w:val="yellow"/>
          <w:lang w:val="en-US" w:eastAsia="zh-CN"/>
          <w14:textFill>
            <w14:solidFill>
              <w14:schemeClr w14:val="tx1"/>
            </w14:solidFill>
          </w14:textFill>
        </w:rPr>
      </w:pPr>
      <w:bookmarkStart w:id="4" w:name="_Toc21400"/>
      <w:bookmarkStart w:id="5" w:name="_Toc14798"/>
      <w:bookmarkStart w:id="6" w:name="_Toc4793"/>
      <w:r>
        <w:rPr>
          <w:rFonts w:hint="eastAsia" w:ascii="黑体" w:eastAsia="黑体" w:hAnsiTheme="minorEastAsia"/>
          <w:b/>
          <w:color w:val="000000" w:themeColor="text1"/>
          <w:sz w:val="34"/>
          <w:szCs w:val="21"/>
          <w14:textFill>
            <w14:solidFill>
              <w14:schemeClr w14:val="tx1"/>
            </w14:solidFill>
          </w14:textFill>
        </w:rPr>
        <w:t>采购编号</w:t>
      </w:r>
      <w:r>
        <w:rPr>
          <w:rFonts w:hint="eastAsia" w:eastAsia="黑体"/>
          <w:color w:val="000000" w:themeColor="text1"/>
          <w:sz w:val="34"/>
          <w:szCs w:val="21"/>
          <w14:textFill>
            <w14:solidFill>
              <w14:schemeClr w14:val="tx1"/>
            </w14:solidFill>
          </w14:textFill>
        </w:rPr>
        <w:t>：</w:t>
      </w:r>
      <w:r>
        <w:rPr>
          <w:rFonts w:hint="eastAsia" w:ascii="Impact" w:hAnsi="Impact" w:eastAsia="黑体"/>
          <w:color w:val="000000" w:themeColor="text1"/>
          <w:sz w:val="34"/>
          <w:szCs w:val="21"/>
          <w:lang w:val="en-US" w:eastAsia="zh-CN"/>
          <w14:textFill>
            <w14:solidFill>
              <w14:schemeClr w14:val="tx1"/>
            </w14:solidFill>
          </w14:textFill>
        </w:rPr>
        <w:t>SJZD</w:t>
      </w:r>
      <w:r>
        <w:rPr>
          <w:rFonts w:ascii="Impact" w:hAnsi="Impact" w:eastAsia="黑体"/>
          <w:color w:val="000000" w:themeColor="text1"/>
          <w:sz w:val="34"/>
          <w:szCs w:val="21"/>
          <w14:textFill>
            <w14:solidFill>
              <w14:schemeClr w14:val="tx1"/>
            </w14:solidFill>
          </w14:textFill>
        </w:rPr>
        <w:t>-2</w:t>
      </w:r>
      <w:r>
        <w:rPr>
          <w:rFonts w:hint="eastAsia" w:ascii="Impact" w:hAnsi="Impact" w:eastAsia="黑体"/>
          <w:color w:val="000000" w:themeColor="text1"/>
          <w:sz w:val="34"/>
          <w:szCs w:val="21"/>
          <w:lang w:val="en-US" w:eastAsia="zh-CN"/>
          <w14:textFill>
            <w14:solidFill>
              <w14:schemeClr w14:val="tx1"/>
            </w14:solidFill>
          </w14:textFill>
        </w:rPr>
        <w:t>024</w:t>
      </w:r>
      <w:r>
        <w:rPr>
          <w:rFonts w:hint="eastAsia" w:ascii="Impact" w:hAnsi="Impact" w:eastAsia="黑体"/>
          <w:color w:val="000000" w:themeColor="text1"/>
          <w:sz w:val="34"/>
          <w:szCs w:val="21"/>
          <w:highlight w:val="none"/>
          <w14:textFill>
            <w14:solidFill>
              <w14:schemeClr w14:val="tx1"/>
            </w14:solidFill>
          </w14:textFill>
        </w:rPr>
        <w:t>0</w:t>
      </w:r>
      <w:bookmarkEnd w:id="4"/>
      <w:bookmarkEnd w:id="5"/>
      <w:bookmarkEnd w:id="6"/>
      <w:r>
        <w:rPr>
          <w:rFonts w:hint="eastAsia" w:ascii="Impact" w:hAnsi="Impact" w:eastAsia="黑体"/>
          <w:color w:val="000000" w:themeColor="text1"/>
          <w:sz w:val="34"/>
          <w:szCs w:val="21"/>
          <w:highlight w:val="none"/>
          <w:lang w:val="en-US" w:eastAsia="zh-CN"/>
          <w14:textFill>
            <w14:solidFill>
              <w14:schemeClr w14:val="tx1"/>
            </w14:solidFill>
          </w14:textFill>
        </w:rPr>
        <w:t>17</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both"/>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outlineLvl w:val="0"/>
        <w:rPr>
          <w:b/>
          <w:sz w:val="28"/>
          <w:szCs w:val="28"/>
        </w:rPr>
      </w:pPr>
      <w:bookmarkStart w:id="7" w:name="_Toc30647"/>
      <w:bookmarkStart w:id="8" w:name="_Toc5867"/>
      <w:bookmarkStart w:id="9" w:name="_Toc4212"/>
      <w:r>
        <w:rPr>
          <w:rFonts w:hint="eastAsia" w:ascii="黑体" w:hAnsi="黑体" w:eastAsia="黑体"/>
          <w:color w:val="000000"/>
          <w:sz w:val="48"/>
          <w:szCs w:val="48"/>
        </w:rPr>
        <w:t>深圳市</w:t>
      </w:r>
      <w:r>
        <w:rPr>
          <w:rFonts w:hint="eastAsia" w:ascii="黑体" w:hAnsi="黑体" w:eastAsia="黑体"/>
          <w:color w:val="000000"/>
          <w:sz w:val="48"/>
          <w:szCs w:val="48"/>
          <w:lang w:val="en-US" w:eastAsia="zh-CN"/>
        </w:rPr>
        <w:t>设计之都运营发展</w:t>
      </w:r>
      <w:r>
        <w:rPr>
          <w:rFonts w:hint="eastAsia" w:ascii="黑体" w:hAnsi="黑体" w:eastAsia="黑体"/>
          <w:color w:val="000000"/>
          <w:sz w:val="48"/>
          <w:szCs w:val="48"/>
        </w:rPr>
        <w:t>有限公司</w:t>
      </w:r>
      <w:bookmarkEnd w:id="7"/>
      <w:bookmarkEnd w:id="8"/>
      <w:bookmarkEnd w:id="9"/>
    </w:p>
    <w:p>
      <w:pPr>
        <w:jc w:val="center"/>
        <w:rPr>
          <w:color w:val="000000"/>
        </w:rPr>
      </w:pPr>
    </w:p>
    <w:p>
      <w:pPr>
        <w:spacing w:before="0" w:beforeLines="0" w:after="0" w:afterLines="0" w:line="240" w:lineRule="auto"/>
        <w:ind w:left="0" w:leftChars="0" w:right="0" w:rightChars="0" w:firstLine="0" w:firstLineChars="0"/>
        <w:jc w:val="center"/>
      </w:pPr>
      <w:r>
        <w:br w:type="page"/>
      </w:r>
    </w:p>
    <w:sdt>
      <w:sdtPr>
        <w:rPr>
          <w:rFonts w:ascii="宋体" w:hAnsi="宋体" w:eastAsia="宋体" w:cs="Times New Roman"/>
          <w:kern w:val="2"/>
          <w:sz w:val="21"/>
          <w:szCs w:val="24"/>
          <w:lang w:val="en-US" w:eastAsia="zh-CN" w:bidi="ar-SA"/>
        </w:rPr>
        <w:id w:val="147478290"/>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48"/>
            <w:tabs>
              <w:tab w:val="right" w:leader="dot" w:pos="8312"/>
            </w:tabs>
          </w:pPr>
          <w:r>
            <w:fldChar w:fldCharType="begin"/>
          </w:r>
          <w:r>
            <w:instrText xml:space="preserve">TOC \o "1-1" \h \u </w:instrText>
          </w:r>
          <w:r>
            <w:fldChar w:fldCharType="separate"/>
          </w:r>
        </w:p>
        <w:p>
          <w:pPr>
            <w:pStyle w:val="48"/>
            <w:tabs>
              <w:tab w:val="right" w:leader="dot" w:pos="8312"/>
            </w:tabs>
          </w:pPr>
          <w:r>
            <w:fldChar w:fldCharType="begin"/>
          </w:r>
          <w:r>
            <w:instrText xml:space="preserve"> HYPERLINK \l _Toc26576 </w:instrText>
          </w:r>
          <w:r>
            <w:fldChar w:fldCharType="separate"/>
          </w:r>
          <w:r>
            <w:rPr>
              <w:rFonts w:hint="eastAsia"/>
            </w:rPr>
            <w:t>招标文件第一册</w:t>
          </w:r>
          <w:r>
            <w:tab/>
          </w:r>
          <w:r>
            <w:fldChar w:fldCharType="begin"/>
          </w:r>
          <w:r>
            <w:instrText xml:space="preserve"> PAGEREF _Toc26576 \h </w:instrText>
          </w:r>
          <w:r>
            <w:fldChar w:fldCharType="separate"/>
          </w:r>
          <w:r>
            <w:t>3</w:t>
          </w:r>
          <w:r>
            <w:fldChar w:fldCharType="end"/>
          </w:r>
          <w:r>
            <w:fldChar w:fldCharType="end"/>
          </w:r>
        </w:p>
        <w:p>
          <w:pPr>
            <w:pStyle w:val="48"/>
            <w:tabs>
              <w:tab w:val="right" w:leader="dot" w:pos="8312"/>
            </w:tabs>
          </w:pPr>
          <w:r>
            <w:fldChar w:fldCharType="begin"/>
          </w:r>
          <w:r>
            <w:instrText xml:space="preserve"> HYPERLINK \l _Toc27395 </w:instrText>
          </w:r>
          <w:r>
            <w:fldChar w:fldCharType="separate"/>
          </w:r>
          <w:r>
            <w:rPr>
              <w:rFonts w:hint="eastAsia" w:ascii="黑体" w:eastAsia="黑体"/>
              <w:szCs w:val="44"/>
            </w:rPr>
            <w:t>第一章 投标邀请</w:t>
          </w:r>
          <w:r>
            <w:tab/>
          </w:r>
          <w:r>
            <w:fldChar w:fldCharType="begin"/>
          </w:r>
          <w:r>
            <w:instrText xml:space="preserve"> PAGEREF _Toc27395 \h </w:instrText>
          </w:r>
          <w:r>
            <w:fldChar w:fldCharType="separate"/>
          </w:r>
          <w:r>
            <w:t>4</w:t>
          </w:r>
          <w:r>
            <w:fldChar w:fldCharType="end"/>
          </w:r>
          <w:r>
            <w:fldChar w:fldCharType="end"/>
          </w:r>
        </w:p>
        <w:p>
          <w:pPr>
            <w:pStyle w:val="48"/>
            <w:tabs>
              <w:tab w:val="right" w:leader="dot" w:pos="8312"/>
            </w:tabs>
          </w:pPr>
          <w:r>
            <w:fldChar w:fldCharType="begin"/>
          </w:r>
          <w:r>
            <w:instrText xml:space="preserve"> HYPERLINK \l _Toc22010 </w:instrText>
          </w:r>
          <w:r>
            <w:fldChar w:fldCharType="separate"/>
          </w:r>
          <w:r>
            <w:rPr>
              <w:rFonts w:hint="eastAsia" w:ascii="黑体" w:eastAsia="黑体"/>
              <w:szCs w:val="44"/>
            </w:rPr>
            <w:t>第二章 投标资料表</w:t>
          </w:r>
          <w:r>
            <w:tab/>
          </w:r>
          <w:r>
            <w:fldChar w:fldCharType="begin"/>
          </w:r>
          <w:r>
            <w:instrText xml:space="preserve"> PAGEREF _Toc22010 \h </w:instrText>
          </w:r>
          <w:r>
            <w:fldChar w:fldCharType="separate"/>
          </w:r>
          <w:r>
            <w:t>5</w:t>
          </w:r>
          <w:r>
            <w:fldChar w:fldCharType="end"/>
          </w:r>
          <w:r>
            <w:fldChar w:fldCharType="end"/>
          </w:r>
        </w:p>
        <w:p>
          <w:pPr>
            <w:pStyle w:val="48"/>
            <w:tabs>
              <w:tab w:val="right" w:leader="dot" w:pos="8312"/>
            </w:tabs>
          </w:pPr>
          <w:r>
            <w:fldChar w:fldCharType="begin"/>
          </w:r>
          <w:r>
            <w:instrText xml:space="preserve"> HYPERLINK \l _Toc9313 </w:instrText>
          </w:r>
          <w:r>
            <w:fldChar w:fldCharType="separate"/>
          </w:r>
          <w:r>
            <w:rPr>
              <w:rFonts w:hint="eastAsia" w:ascii="黑体" w:eastAsia="黑体"/>
              <w:szCs w:val="44"/>
            </w:rPr>
            <w:t>第三章 用户需求书</w:t>
          </w:r>
          <w:r>
            <w:tab/>
          </w:r>
          <w:r>
            <w:fldChar w:fldCharType="begin"/>
          </w:r>
          <w:r>
            <w:instrText xml:space="preserve"> PAGEREF _Toc9313 \h </w:instrText>
          </w:r>
          <w:r>
            <w:fldChar w:fldCharType="separate"/>
          </w:r>
          <w:r>
            <w:t>10</w:t>
          </w:r>
          <w:r>
            <w:fldChar w:fldCharType="end"/>
          </w:r>
          <w:r>
            <w:fldChar w:fldCharType="end"/>
          </w:r>
        </w:p>
        <w:p>
          <w:pPr>
            <w:pStyle w:val="48"/>
            <w:tabs>
              <w:tab w:val="right" w:leader="dot" w:pos="8312"/>
            </w:tabs>
          </w:pPr>
          <w:r>
            <w:fldChar w:fldCharType="begin"/>
          </w:r>
          <w:r>
            <w:instrText xml:space="preserve"> HYPERLINK \l _Toc12236 </w:instrText>
          </w:r>
          <w:r>
            <w:fldChar w:fldCharType="separate"/>
          </w:r>
          <w:r>
            <w:rPr>
              <w:rFonts w:hint="eastAsia" w:eastAsia="宋体"/>
              <w:szCs w:val="44"/>
            </w:rPr>
            <w:t>招标文件第二册</w:t>
          </w:r>
          <w:r>
            <w:tab/>
          </w:r>
          <w:r>
            <w:fldChar w:fldCharType="begin"/>
          </w:r>
          <w:r>
            <w:instrText xml:space="preserve"> PAGEREF _Toc12236 \h </w:instrText>
          </w:r>
          <w:r>
            <w:fldChar w:fldCharType="separate"/>
          </w:r>
          <w:r>
            <w:t>14</w:t>
          </w:r>
          <w:r>
            <w:fldChar w:fldCharType="end"/>
          </w:r>
          <w:r>
            <w:fldChar w:fldCharType="end"/>
          </w:r>
        </w:p>
        <w:p>
          <w:pPr>
            <w:pStyle w:val="48"/>
            <w:tabs>
              <w:tab w:val="right" w:leader="dot" w:pos="8312"/>
            </w:tabs>
          </w:pPr>
          <w:r>
            <w:fldChar w:fldCharType="begin"/>
          </w:r>
          <w:r>
            <w:instrText xml:space="preserve"> HYPERLINK \l _Toc17444 </w:instrText>
          </w:r>
          <w:r>
            <w:fldChar w:fldCharType="separate"/>
          </w:r>
          <w:r>
            <w:rPr>
              <w:rFonts w:hint="eastAsia" w:ascii="黑体" w:eastAsia="黑体"/>
              <w:szCs w:val="44"/>
            </w:rPr>
            <w:t>第四章 投标人须知</w:t>
          </w:r>
          <w:r>
            <w:tab/>
          </w:r>
          <w:r>
            <w:fldChar w:fldCharType="begin"/>
          </w:r>
          <w:r>
            <w:instrText xml:space="preserve"> PAGEREF _Toc17444 \h </w:instrText>
          </w:r>
          <w:r>
            <w:fldChar w:fldCharType="separate"/>
          </w:r>
          <w:r>
            <w:t>15</w:t>
          </w:r>
          <w:r>
            <w:fldChar w:fldCharType="end"/>
          </w:r>
          <w:r>
            <w:fldChar w:fldCharType="end"/>
          </w:r>
        </w:p>
        <w:p>
          <w:pPr>
            <w:pStyle w:val="48"/>
            <w:tabs>
              <w:tab w:val="right" w:leader="dot" w:pos="8312"/>
            </w:tabs>
          </w:pPr>
          <w:r>
            <w:fldChar w:fldCharType="begin"/>
          </w:r>
          <w:r>
            <w:instrText xml:space="preserve"> HYPERLINK \l _Toc15172 </w:instrText>
          </w:r>
          <w:r>
            <w:fldChar w:fldCharType="separate"/>
          </w:r>
          <w:r>
            <w:rPr>
              <w:rFonts w:hint="eastAsia" w:ascii="黑体" w:eastAsia="黑体"/>
              <w:szCs w:val="44"/>
            </w:rPr>
            <w:t>第五章 合同条款</w:t>
          </w:r>
          <w:r>
            <w:tab/>
          </w:r>
          <w:r>
            <w:fldChar w:fldCharType="begin"/>
          </w:r>
          <w:r>
            <w:instrText xml:space="preserve"> PAGEREF _Toc15172 \h </w:instrText>
          </w:r>
          <w:r>
            <w:fldChar w:fldCharType="separate"/>
          </w:r>
          <w:r>
            <w:t>24</w:t>
          </w:r>
          <w:r>
            <w:fldChar w:fldCharType="end"/>
          </w:r>
          <w:r>
            <w:fldChar w:fldCharType="end"/>
          </w:r>
        </w:p>
        <w:p>
          <w:pPr>
            <w:pStyle w:val="48"/>
            <w:tabs>
              <w:tab w:val="right" w:leader="dot" w:pos="8312"/>
            </w:tabs>
          </w:pPr>
          <w:r>
            <w:fldChar w:fldCharType="begin"/>
          </w:r>
          <w:r>
            <w:instrText xml:space="preserve"> HYPERLINK \l _Toc28843 </w:instrText>
          </w:r>
          <w:r>
            <w:fldChar w:fldCharType="separate"/>
          </w:r>
          <w:r>
            <w:rPr>
              <w:rFonts w:hint="eastAsia" w:ascii="黑体" w:eastAsia="黑体"/>
              <w:szCs w:val="44"/>
            </w:rPr>
            <w:t>第六章 附件－投标文件格式</w:t>
          </w:r>
          <w:r>
            <w:tab/>
          </w:r>
          <w:r>
            <w:fldChar w:fldCharType="begin"/>
          </w:r>
          <w:r>
            <w:instrText xml:space="preserve"> PAGEREF _Toc28843 \h </w:instrText>
          </w:r>
          <w:r>
            <w:fldChar w:fldCharType="separate"/>
          </w:r>
          <w:r>
            <w:t>25</w:t>
          </w:r>
          <w:r>
            <w:fldChar w:fldCharType="end"/>
          </w:r>
          <w:r>
            <w:fldChar w:fldCharType="end"/>
          </w:r>
        </w:p>
        <w:p>
          <w:r>
            <w:fldChar w:fldCharType="end"/>
          </w:r>
        </w:p>
      </w:sdtContent>
    </w:sdt>
    <w:p>
      <w:pPr>
        <w:ind w:firstLine="315" w:firstLineChars="150"/>
        <w:rPr>
          <w:rFonts w:ascii="黑体" w:eastAsia="黑体"/>
          <w:sz w:val="24"/>
        </w:rPr>
      </w:pPr>
      <w:r>
        <w:rPr>
          <w:rFonts w:hint="eastAsia" w:ascii="楷体_GB2312" w:eastAsia="楷体_GB2312"/>
        </w:rPr>
        <w:t>注：第一册的内容是对具体招标项目的说明、补充、完善和对第二册的修改等，第二册是招标文件的通用条款，第一册与第二册内容如有差异，以第一册内容为准。</w:t>
      </w:r>
    </w:p>
    <w:p>
      <w:pPr>
        <w:widowControl/>
        <w:jc w:val="left"/>
        <w:rPr>
          <w:rFonts w:eastAsia="黑体"/>
          <w:sz w:val="52"/>
          <w:szCs w:val="52"/>
        </w:rPr>
      </w:pPr>
      <w:r>
        <w:br w:type="page"/>
      </w: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pStyle w:val="3"/>
        <w:jc w:val="center"/>
      </w:pPr>
      <w:bookmarkStart w:id="10" w:name="_Toc26576"/>
      <w:r>
        <w:rPr>
          <w:rFonts w:hint="eastAsia"/>
        </w:rPr>
        <w:t>招标文件第一册</w:t>
      </w:r>
      <w:bookmarkEnd w:id="10"/>
    </w:p>
    <w:p>
      <w:pPr>
        <w:numPr>
          <w:ilvl w:val="-1"/>
          <w:numId w:val="0"/>
        </w:numPr>
        <w:spacing w:before="0" w:beforeLines="-2147483648" w:after="0" w:afterLines="-2147483648"/>
        <w:ind w:firstLine="0"/>
        <w:jc w:val="left"/>
        <w:rPr>
          <w:rFonts w:ascii="黑体" w:eastAsia="黑体"/>
          <w:sz w:val="44"/>
          <w:szCs w:val="44"/>
        </w:rPr>
      </w:pPr>
      <w:r>
        <w:rPr>
          <w:rFonts w:hint="eastAsia" w:ascii="黑体" w:eastAsia="黑体"/>
          <w:sz w:val="44"/>
          <w:szCs w:val="44"/>
        </w:rPr>
        <w:br w:type="page"/>
      </w:r>
    </w:p>
    <w:p>
      <w:pPr>
        <w:numPr>
          <w:ilvl w:val="0"/>
          <w:numId w:val="1"/>
        </w:numPr>
        <w:spacing w:before="312" w:beforeLines="100" w:after="312" w:afterLines="100"/>
        <w:ind w:firstLine="402"/>
        <w:jc w:val="center"/>
        <w:outlineLvl w:val="0"/>
        <w:rPr>
          <w:rFonts w:ascii="黑体" w:eastAsia="黑体"/>
          <w:sz w:val="44"/>
          <w:szCs w:val="44"/>
        </w:rPr>
      </w:pPr>
      <w:bookmarkStart w:id="11" w:name="_Toc27395"/>
      <w:r>
        <w:rPr>
          <w:rFonts w:hint="eastAsia" w:ascii="黑体" w:eastAsia="黑体"/>
          <w:sz w:val="44"/>
          <w:szCs w:val="44"/>
        </w:rPr>
        <w:t>投标邀请</w:t>
      </w:r>
      <w:bookmarkEnd w:id="11"/>
    </w:p>
    <w:p>
      <w:pPr>
        <w:autoSpaceDE w:val="0"/>
        <w:autoSpaceDN w:val="0"/>
        <w:adjustRightInd w:val="0"/>
        <w:snapToGrid w:val="0"/>
        <w:spacing w:line="360" w:lineRule="auto"/>
        <w:ind w:firstLine="426"/>
        <w:rPr>
          <w:rFonts w:ascii="宋体" w:hAnsi="宋体" w:cs="Arial"/>
          <w:color w:val="000000" w:themeColor="text1"/>
          <w:lang w:val="zh-CN"/>
          <w14:textFill>
            <w14:solidFill>
              <w14:schemeClr w14:val="tx1"/>
            </w14:solidFill>
          </w14:textFill>
        </w:rPr>
      </w:pPr>
      <w:r>
        <w:rPr>
          <w:rFonts w:hint="eastAsia" w:ascii="宋体" w:hAnsi="宋体" w:cs="仿宋_GB2312"/>
          <w:color w:val="000000" w:themeColor="text1"/>
          <w14:textFill>
            <w14:solidFill>
              <w14:schemeClr w14:val="tx1"/>
            </w14:solidFill>
          </w14:textFill>
        </w:rPr>
        <w:t>根据政府相关法律法规及</w:t>
      </w:r>
      <w:r>
        <w:rPr>
          <w:rFonts w:hint="eastAsia" w:ascii="宋体" w:hAnsi="宋体" w:cs="仿宋_GB2312"/>
          <w:color w:val="000000" w:themeColor="text1"/>
          <w:lang w:eastAsia="zh-CN"/>
          <w14:textFill>
            <w14:solidFill>
              <w14:schemeClr w14:val="tx1"/>
            </w14:solidFill>
          </w14:textFill>
        </w:rPr>
        <w:t>深圳市设计之都运营发展有限公司</w:t>
      </w:r>
      <w:r>
        <w:rPr>
          <w:rFonts w:hint="eastAsia" w:ascii="宋体" w:hAnsi="宋体" w:cs="仿宋_GB2312"/>
          <w:color w:val="000000" w:themeColor="text1"/>
          <w14:textFill>
            <w14:solidFill>
              <w14:schemeClr w14:val="tx1"/>
            </w14:solidFill>
          </w14:textFill>
        </w:rPr>
        <w:t>关于招标的各项规定，就</w:t>
      </w:r>
      <w:r>
        <w:rPr>
          <w:rFonts w:hint="eastAsia" w:ascii="宋体" w:hAnsi="宋体" w:cs="仿宋_GB2312"/>
          <w:b/>
          <w:color w:val="000000" w:themeColor="text1"/>
          <w:highlight w:val="none"/>
          <w:u w:val="single"/>
          <w:lang w:val="en-US" w:eastAsia="zh-CN"/>
          <w14:textFill>
            <w14:solidFill>
              <w14:schemeClr w14:val="tx1"/>
            </w14:solidFill>
          </w14:textFill>
        </w:rPr>
        <w:t>2024年第十三届深圳动漫节x世纪汇联名活动</w:t>
      </w:r>
      <w:r>
        <w:rPr>
          <w:rFonts w:hint="eastAsia" w:ascii="宋体" w:hAnsi="宋体" w:cs="仿宋_GB2312"/>
          <w:b/>
          <w:color w:val="000000" w:themeColor="text1"/>
          <w:u w:val="single"/>
          <w14:textFill>
            <w14:solidFill>
              <w14:schemeClr w14:val="tx1"/>
            </w14:solidFill>
          </w14:textFill>
        </w:rPr>
        <w:t>项目</w:t>
      </w:r>
      <w:r>
        <w:rPr>
          <w:rFonts w:hint="eastAsia" w:ascii="宋体" w:hAnsi="宋体" w:cs="仿宋_GB2312"/>
          <w:color w:val="000000" w:themeColor="text1"/>
          <w14:textFill>
            <w14:solidFill>
              <w14:schemeClr w14:val="tx1"/>
            </w14:solidFill>
          </w14:textFill>
        </w:rPr>
        <w:t>进行邀请招标</w:t>
      </w:r>
      <w:r>
        <w:rPr>
          <w:rFonts w:ascii="宋体" w:hAnsi="宋体" w:cs="Arial"/>
          <w:color w:val="000000" w:themeColor="text1"/>
          <w:lang w:val="zh-CN"/>
          <w14:textFill>
            <w14:solidFill>
              <w14:schemeClr w14:val="tx1"/>
            </w14:solidFill>
          </w14:textFill>
        </w:rPr>
        <w:t>，欢迎符合资质要求并能提供相关服务的投标人参加投标。</w:t>
      </w:r>
      <w:r>
        <w:rPr>
          <w:rFonts w:hint="eastAsia" w:ascii="宋体" w:hAnsi="宋体" w:cs="Arial"/>
          <w:color w:val="000000" w:themeColor="text1"/>
          <w:lang w:val="zh-CN"/>
          <w14:textFill>
            <w14:solidFill>
              <w14:schemeClr w14:val="tx1"/>
            </w14:solidFill>
          </w14:textFill>
        </w:rPr>
        <w:t>本项目招标</w:t>
      </w:r>
      <w:r>
        <w:rPr>
          <w:rFonts w:ascii="宋体" w:hAnsi="宋体" w:cs="Arial"/>
          <w:bCs/>
          <w:color w:val="000000" w:themeColor="text1"/>
          <w14:textFill>
            <w14:solidFill>
              <w14:schemeClr w14:val="tx1"/>
            </w14:solidFill>
          </w14:textFill>
        </w:rPr>
        <w:t>编号：</w:t>
      </w:r>
      <w:r>
        <w:rPr>
          <w:rFonts w:hint="eastAsia" w:ascii="宋体" w:hAnsi="宋体" w:cs="宋体"/>
          <w:color w:val="000000" w:themeColor="text1"/>
          <w:u w:val="single"/>
          <w:lang w:val="en-US" w:eastAsia="zh-CN"/>
          <w14:textFill>
            <w14:solidFill>
              <w14:schemeClr w14:val="tx1"/>
            </w14:solidFill>
          </w14:textFill>
        </w:rPr>
        <w:t>SJZD</w:t>
      </w:r>
      <w:r>
        <w:rPr>
          <w:rFonts w:hint="eastAsia" w:ascii="宋体" w:hAnsi="宋体" w:cs="宋体"/>
          <w:color w:val="000000" w:themeColor="text1"/>
          <w:u w:val="single"/>
          <w14:textFill>
            <w14:solidFill>
              <w14:schemeClr w14:val="tx1"/>
            </w14:solidFill>
          </w14:textFill>
        </w:rPr>
        <w:t>-20</w:t>
      </w:r>
      <w:r>
        <w:rPr>
          <w:rFonts w:hint="eastAsia" w:ascii="宋体" w:hAnsi="宋体" w:cs="宋体"/>
          <w:color w:val="000000" w:themeColor="text1"/>
          <w:u w:val="single"/>
          <w:lang w:val="en-US" w:eastAsia="zh-CN"/>
          <w14:textFill>
            <w14:solidFill>
              <w14:schemeClr w14:val="tx1"/>
            </w14:solidFill>
          </w14:textFill>
        </w:rPr>
        <w:t>24</w:t>
      </w:r>
      <w:r>
        <w:rPr>
          <w:rFonts w:hint="eastAsia" w:ascii="宋体" w:hAnsi="宋体" w:cs="宋体"/>
          <w:color w:val="000000" w:themeColor="text1"/>
          <w:highlight w:val="none"/>
          <w:u w:val="single"/>
          <w:lang w:val="en-US" w:eastAsia="zh-CN"/>
          <w14:textFill>
            <w14:solidFill>
              <w14:schemeClr w14:val="tx1"/>
            </w14:solidFill>
          </w14:textFill>
        </w:rPr>
        <w:t>017</w:t>
      </w:r>
      <w:r>
        <w:rPr>
          <w:rFonts w:hint="eastAsia" w:ascii="宋体" w:hAnsi="宋体" w:cs="宋体"/>
          <w:color w:val="000000" w:themeColor="text1"/>
          <w14:textFill>
            <w14:solidFill>
              <w14:schemeClr w14:val="tx1"/>
            </w14:solidFill>
          </w14:textFill>
        </w:rPr>
        <w:t>。</w:t>
      </w:r>
    </w:p>
    <w:p>
      <w:pPr>
        <w:numPr>
          <w:ilvl w:val="0"/>
          <w:numId w:val="2"/>
        </w:numPr>
        <w:autoSpaceDE w:val="0"/>
        <w:autoSpaceDN w:val="0"/>
        <w:adjustRightInd w:val="0"/>
        <w:snapToGrid w:val="0"/>
        <w:spacing w:before="156" w:beforeLines="50" w:after="156" w:afterLines="50"/>
        <w:ind w:firstLine="420"/>
        <w:outlineLvl w:val="0"/>
        <w:rPr>
          <w:rFonts w:ascii="宋体" w:hAnsi="宋体" w:cs="Arial"/>
          <w:b/>
          <w:bCs/>
          <w:color w:val="000000" w:themeColor="text1"/>
          <w:lang w:val="zh-CN"/>
          <w14:textFill>
            <w14:solidFill>
              <w14:schemeClr w14:val="tx1"/>
            </w14:solidFill>
          </w14:textFill>
        </w:rPr>
      </w:pPr>
      <w:bookmarkStart w:id="12" w:name="_Toc13312"/>
      <w:bookmarkStart w:id="13" w:name="_Toc8622"/>
      <w:bookmarkStart w:id="14" w:name="_Toc21712"/>
      <w:r>
        <w:rPr>
          <w:rFonts w:ascii="宋体" w:hAnsi="宋体" w:cs="Arial"/>
          <w:b/>
          <w:bCs/>
          <w:color w:val="000000" w:themeColor="text1"/>
          <w:lang w:val="zh-CN"/>
          <w14:textFill>
            <w14:solidFill>
              <w14:schemeClr w14:val="tx1"/>
            </w14:solidFill>
          </w14:textFill>
        </w:rPr>
        <w:t>招标项目名称</w:t>
      </w:r>
      <w:r>
        <w:rPr>
          <w:rFonts w:hint="eastAsia"/>
          <w:b/>
          <w:color w:val="000000" w:themeColor="text1"/>
          <w14:textFill>
            <w14:solidFill>
              <w14:schemeClr w14:val="tx1"/>
            </w14:solidFill>
          </w14:textFill>
        </w:rPr>
        <w:t>、用途、简要技术要求或者招标项目的性质</w:t>
      </w:r>
      <w:r>
        <w:rPr>
          <w:rFonts w:ascii="宋体" w:hAnsi="宋体" w:cs="Arial"/>
          <w:b/>
          <w:bCs/>
          <w:color w:val="000000" w:themeColor="text1"/>
          <w:lang w:val="zh-CN"/>
          <w14:textFill>
            <w14:solidFill>
              <w14:schemeClr w14:val="tx1"/>
            </w14:solidFill>
          </w14:textFill>
        </w:rPr>
        <w:t>：</w:t>
      </w:r>
      <w:bookmarkEnd w:id="12"/>
      <w:bookmarkEnd w:id="13"/>
      <w:bookmarkEnd w:id="14"/>
    </w:p>
    <w:p>
      <w:pPr>
        <w:autoSpaceDE w:val="0"/>
        <w:autoSpaceDN w:val="0"/>
        <w:adjustRightInd w:val="0"/>
        <w:snapToGrid w:val="0"/>
        <w:spacing w:line="360" w:lineRule="auto"/>
        <w:ind w:firstLine="478" w:firstLineChars="228"/>
        <w:rPr>
          <w:rFonts w:hint="default" w:ascii="宋体" w:hAnsi="宋体" w:eastAsia="宋体" w:cs="仿宋_GB2312"/>
          <w:color w:val="000000" w:themeColor="text1"/>
          <w:lang w:val="en-US" w:eastAsia="zh-CN"/>
          <w14:textFill>
            <w14:solidFill>
              <w14:schemeClr w14:val="tx1"/>
            </w14:solidFill>
          </w14:textFill>
        </w:rPr>
      </w:pPr>
      <w:r>
        <w:rPr>
          <w:rFonts w:hint="eastAsia" w:ascii="宋体" w:hAnsi="宋体" w:cs="仿宋_GB2312"/>
          <w:color w:val="000000" w:themeColor="text1"/>
          <w14:textFill>
            <w14:solidFill>
              <w14:schemeClr w14:val="tx1"/>
            </w14:solidFill>
          </w14:textFill>
        </w:rPr>
        <w:t>1、项目名称：</w:t>
      </w:r>
      <w:r>
        <w:rPr>
          <w:rFonts w:hint="eastAsia" w:ascii="宋体" w:hAnsi="宋体" w:cs="仿宋_GB2312"/>
          <w:b/>
          <w:color w:val="000000" w:themeColor="text1"/>
          <w:highlight w:val="none"/>
          <w:u w:val="single"/>
          <w:lang w:val="en-US" w:eastAsia="zh-CN"/>
          <w14:textFill>
            <w14:solidFill>
              <w14:schemeClr w14:val="tx1"/>
            </w14:solidFill>
          </w14:textFill>
        </w:rPr>
        <w:t>2024年第十三届深圳动漫节x世纪汇联名活动</w:t>
      </w:r>
    </w:p>
    <w:p>
      <w:pPr>
        <w:autoSpaceDE w:val="0"/>
        <w:autoSpaceDN w:val="0"/>
        <w:adjustRightInd w:val="0"/>
        <w:snapToGrid w:val="0"/>
        <w:spacing w:line="360" w:lineRule="auto"/>
        <w:ind w:firstLine="480"/>
        <w:rPr>
          <w:rFonts w:ascii="宋体" w:hAnsi="宋体" w:cs="仿宋_GB2312"/>
        </w:rPr>
      </w:pPr>
      <w:r>
        <w:rPr>
          <w:rFonts w:hint="eastAsia" w:ascii="宋体" w:hAnsi="宋体" w:cs="仿宋_GB2312"/>
        </w:rPr>
        <w:t>2、简要技术要求或招标项目的性质：详细内容请参阅招标文件第三章《用户需求书》。</w:t>
      </w:r>
    </w:p>
    <w:p>
      <w:pPr>
        <w:autoSpaceDE w:val="0"/>
        <w:autoSpaceDN w:val="0"/>
        <w:adjustRightInd w:val="0"/>
        <w:snapToGrid w:val="0"/>
        <w:spacing w:line="360" w:lineRule="auto"/>
        <w:ind w:firstLine="480"/>
        <w:rPr>
          <w:rFonts w:ascii="宋体" w:hAnsi="宋体" w:cs="仿宋_GB2312"/>
        </w:rPr>
      </w:pPr>
    </w:p>
    <w:p>
      <w:pPr>
        <w:numPr>
          <w:ilvl w:val="0"/>
          <w:numId w:val="2"/>
        </w:numPr>
        <w:autoSpaceDE w:val="0"/>
        <w:autoSpaceDN w:val="0"/>
        <w:adjustRightInd w:val="0"/>
        <w:snapToGrid w:val="0"/>
        <w:spacing w:before="156" w:beforeLines="50" w:after="156" w:afterLines="50"/>
        <w:ind w:firstLine="420"/>
        <w:rPr>
          <w:b/>
        </w:rPr>
      </w:pPr>
      <w:r>
        <w:rPr>
          <w:rFonts w:hint="eastAsia"/>
          <w:b/>
        </w:rPr>
        <w:t>投标人需具有的相关</w:t>
      </w:r>
      <w:r>
        <w:rPr>
          <w:b/>
        </w:rPr>
        <w:t>资质：</w:t>
      </w:r>
    </w:p>
    <w:p>
      <w:pPr>
        <w:autoSpaceDE w:val="0"/>
        <w:autoSpaceDN w:val="0"/>
        <w:adjustRightInd w:val="0"/>
        <w:snapToGrid w:val="0"/>
        <w:spacing w:line="36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1、行业资质要求：受邀人必须是在中国境内注册的独立法人企业，具有履行合同的服</w:t>
      </w:r>
    </w:p>
    <w:p>
      <w:pPr>
        <w:autoSpaceDE w:val="0"/>
        <w:autoSpaceDN w:val="0"/>
        <w:adjustRightInd w:val="0"/>
        <w:snapToGrid w:val="0"/>
        <w:spacing w:line="360" w:lineRule="auto"/>
        <w:ind w:firstLine="735" w:firstLineChars="35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务能力、专业技术能力、供应保障能力及风险控制能力；</w:t>
      </w:r>
    </w:p>
    <w:p>
      <w:pPr>
        <w:autoSpaceDE w:val="0"/>
        <w:autoSpaceDN w:val="0"/>
        <w:adjustRightInd w:val="0"/>
        <w:snapToGrid w:val="0"/>
        <w:spacing w:line="36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w:t>
      </w:r>
      <w:r>
        <w:rPr>
          <w:rFonts w:ascii="宋体" w:hAnsi="宋体" w:cs="仿宋_GB2312"/>
          <w:color w:val="000000" w:themeColor="text1"/>
          <w14:textFill>
            <w14:solidFill>
              <w14:schemeClr w14:val="tx1"/>
            </w14:solidFill>
          </w14:textFill>
        </w:rPr>
        <w:t>、具有良好的</w:t>
      </w:r>
      <w:r>
        <w:rPr>
          <w:rFonts w:ascii="宋体" w:hAnsi="宋体" w:cs="仿宋_GB2312"/>
          <w:color w:val="000000" w:themeColor="text1"/>
          <w:highlight w:val="none"/>
          <w14:textFill>
            <w14:solidFill>
              <w14:schemeClr w14:val="tx1"/>
            </w14:solidFill>
          </w14:textFill>
        </w:rPr>
        <w:t>银行资信和商业信誉</w:t>
      </w:r>
      <w:r>
        <w:rPr>
          <w:rFonts w:ascii="宋体" w:hAnsi="宋体" w:cs="仿宋_GB2312"/>
          <w:color w:val="000000" w:themeColor="text1"/>
          <w14:textFill>
            <w14:solidFill>
              <w14:schemeClr w14:val="tx1"/>
            </w14:solidFill>
          </w14:textFill>
        </w:rPr>
        <w:t>，无处于被责令停业，财产被接管，冻结，破产状</w:t>
      </w:r>
    </w:p>
    <w:p>
      <w:pPr>
        <w:autoSpaceDE w:val="0"/>
        <w:autoSpaceDN w:val="0"/>
        <w:adjustRightInd w:val="0"/>
        <w:snapToGrid w:val="0"/>
        <w:spacing w:line="360" w:lineRule="auto"/>
        <w:ind w:firstLine="735" w:firstLineChars="350"/>
        <w:rPr>
          <w:rFonts w:ascii="宋体" w:hAnsi="宋体" w:cs="仿宋_GB2312"/>
          <w:color w:val="000000" w:themeColor="text1"/>
          <w14:textFill>
            <w14:solidFill>
              <w14:schemeClr w14:val="tx1"/>
            </w14:solidFill>
          </w14:textFill>
        </w:rPr>
      </w:pPr>
      <w:r>
        <w:rPr>
          <w:rFonts w:ascii="宋体" w:hAnsi="宋体" w:cs="仿宋_GB2312"/>
          <w:color w:val="000000" w:themeColor="text1"/>
          <w14:textFill>
            <w14:solidFill>
              <w14:schemeClr w14:val="tx1"/>
            </w14:solidFill>
          </w14:textFill>
        </w:rPr>
        <w:t xml:space="preserve">态。 </w:t>
      </w:r>
    </w:p>
    <w:p>
      <w:pPr>
        <w:autoSpaceDE w:val="0"/>
        <w:autoSpaceDN w:val="0"/>
        <w:adjustRightInd w:val="0"/>
        <w:snapToGrid w:val="0"/>
        <w:spacing w:line="36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w:t>
      </w:r>
      <w:r>
        <w:rPr>
          <w:rFonts w:ascii="宋体" w:hAnsi="宋体" w:cs="仿宋_GB2312"/>
          <w:color w:val="000000" w:themeColor="text1"/>
          <w14:textFill>
            <w14:solidFill>
              <w14:schemeClr w14:val="tx1"/>
            </w14:solidFill>
          </w14:textFill>
        </w:rPr>
        <w:t>、申请人必须在法律上和财务上独立、合法运作，不存在违法违规等不良记录。</w:t>
      </w:r>
    </w:p>
    <w:p>
      <w:pPr>
        <w:autoSpaceDE w:val="0"/>
        <w:autoSpaceDN w:val="0"/>
        <w:adjustRightInd w:val="0"/>
        <w:snapToGrid w:val="0"/>
        <w:spacing w:line="36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w:t>
      </w:r>
      <w:r>
        <w:rPr>
          <w:rFonts w:ascii="宋体" w:hAnsi="宋体" w:cs="仿宋_GB2312"/>
          <w:color w:val="000000" w:themeColor="text1"/>
          <w14:textFill>
            <w14:solidFill>
              <w14:schemeClr w14:val="tx1"/>
            </w14:solidFill>
          </w14:textFill>
        </w:rPr>
        <w:t>、投标</w:t>
      </w:r>
      <w:r>
        <w:rPr>
          <w:rFonts w:hint="eastAsia" w:ascii="宋体" w:hAnsi="宋体" w:cs="仿宋_GB2312"/>
          <w:color w:val="000000" w:themeColor="text1"/>
          <w14:textFill>
            <w14:solidFill>
              <w14:schemeClr w14:val="tx1"/>
            </w14:solidFill>
          </w14:textFill>
        </w:rPr>
        <w:t>人</w:t>
      </w:r>
      <w:r>
        <w:rPr>
          <w:rFonts w:ascii="宋体" w:hAnsi="宋体" w:cs="仿宋_GB2312"/>
          <w:color w:val="000000" w:themeColor="text1"/>
          <w14:textFill>
            <w14:solidFill>
              <w14:schemeClr w14:val="tx1"/>
            </w14:solidFill>
          </w14:textFill>
        </w:rPr>
        <w:t>要求是有多年从事</w:t>
      </w:r>
      <w:r>
        <w:rPr>
          <w:rFonts w:hint="eastAsia" w:ascii="宋体" w:hAnsi="宋体" w:cs="仿宋_GB2312"/>
          <w:color w:val="000000" w:themeColor="text1"/>
          <w:highlight w:val="none"/>
          <w:lang w:val="en-US" w:eastAsia="zh-CN"/>
          <w14:textFill>
            <w14:solidFill>
              <w14:schemeClr w14:val="tx1"/>
            </w14:solidFill>
          </w14:textFill>
        </w:rPr>
        <w:t>二次元活动</w:t>
      </w:r>
      <w:r>
        <w:rPr>
          <w:rFonts w:ascii="宋体" w:hAnsi="宋体" w:cs="仿宋_GB2312"/>
          <w:color w:val="000000" w:themeColor="text1"/>
          <w14:textFill>
            <w14:solidFill>
              <w14:schemeClr w14:val="tx1"/>
            </w14:solidFill>
          </w14:textFill>
        </w:rPr>
        <w:t>行业的专业公司</w:t>
      </w:r>
      <w:r>
        <w:rPr>
          <w:rFonts w:hint="eastAsia" w:ascii="宋体" w:hAnsi="宋体" w:cs="仿宋_GB2312"/>
          <w:color w:val="000000" w:themeColor="text1"/>
          <w14:textFill>
            <w14:solidFill>
              <w14:schemeClr w14:val="tx1"/>
            </w14:solidFill>
          </w14:textFill>
        </w:rPr>
        <w:t>。</w:t>
      </w:r>
    </w:p>
    <w:p>
      <w:pPr>
        <w:autoSpaceDE w:val="0"/>
        <w:autoSpaceDN w:val="0"/>
        <w:adjustRightInd w:val="0"/>
        <w:snapToGrid w:val="0"/>
        <w:spacing w:line="36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5、本项目不接受联合体投标，不得分包、转包。</w:t>
      </w:r>
    </w:p>
    <w:p>
      <w:pPr>
        <w:autoSpaceDE w:val="0"/>
        <w:autoSpaceDN w:val="0"/>
        <w:adjustRightInd w:val="0"/>
        <w:snapToGrid w:val="0"/>
        <w:spacing w:line="360" w:lineRule="auto"/>
        <w:rPr>
          <w:rFonts w:ascii="宋体" w:hAnsi="宋体" w:cs="仿宋_GB2312"/>
          <w:color w:val="000000" w:themeColor="text1"/>
          <w14:textFill>
            <w14:solidFill>
              <w14:schemeClr w14:val="tx1"/>
            </w14:solidFill>
          </w14:textFill>
        </w:rPr>
      </w:pPr>
    </w:p>
    <w:p>
      <w:pPr>
        <w:numPr>
          <w:ilvl w:val="0"/>
          <w:numId w:val="2"/>
        </w:numPr>
        <w:autoSpaceDE w:val="0"/>
        <w:autoSpaceDN w:val="0"/>
        <w:adjustRightInd w:val="0"/>
        <w:snapToGrid w:val="0"/>
        <w:spacing w:before="156" w:beforeLines="50" w:after="156" w:afterLines="50"/>
        <w:ind w:firstLine="420"/>
        <w:rPr>
          <w:b/>
          <w:highlight w:val="none"/>
        </w:rPr>
      </w:pPr>
      <w:r>
        <w:rPr>
          <w:rFonts w:hint="eastAsia"/>
          <w:b/>
          <w:highlight w:val="none"/>
        </w:rPr>
        <w:t>投标截止时间、开标时间及地点：</w:t>
      </w:r>
    </w:p>
    <w:p>
      <w:pPr>
        <w:autoSpaceDE w:val="0"/>
        <w:autoSpaceDN w:val="0"/>
        <w:adjustRightInd w:val="0"/>
        <w:snapToGrid w:val="0"/>
        <w:spacing w:line="360" w:lineRule="auto"/>
        <w:ind w:firstLine="482"/>
        <w:rPr>
          <w:rFonts w:ascii="宋体" w:hAnsi="宋体" w:cs="仿宋_GB2312"/>
          <w:color w:val="000000" w:themeColor="text1"/>
          <w:highlight w:val="yellow"/>
          <w14:textFill>
            <w14:solidFill>
              <w14:schemeClr w14:val="tx1"/>
            </w14:solidFill>
          </w14:textFill>
        </w:rPr>
      </w:pPr>
      <w:r>
        <w:rPr>
          <w:rFonts w:hint="eastAsia" w:ascii="宋体" w:hAnsi="宋体" w:cs="仿宋_GB2312"/>
          <w:color w:val="000000" w:themeColor="text1"/>
          <w:highlight w:val="yellow"/>
          <w14:textFill>
            <w14:solidFill>
              <w14:schemeClr w14:val="tx1"/>
            </w14:solidFill>
          </w14:textFill>
        </w:rPr>
        <w:t>1、</w:t>
      </w:r>
      <w:r>
        <w:rPr>
          <w:rFonts w:ascii="宋体" w:hAnsi="宋体" w:cs="仿宋_GB2312"/>
          <w:color w:val="000000" w:themeColor="text1"/>
          <w:highlight w:val="yellow"/>
          <w14:textFill>
            <w14:solidFill>
              <w14:schemeClr w14:val="tx1"/>
            </w14:solidFill>
          </w14:textFill>
        </w:rPr>
        <w:t>投标截止</w:t>
      </w:r>
      <w:r>
        <w:rPr>
          <w:rFonts w:hint="eastAsia" w:ascii="宋体" w:hAnsi="宋体" w:cs="仿宋_GB2312"/>
          <w:color w:val="000000" w:themeColor="text1"/>
          <w:highlight w:val="yellow"/>
          <w14:textFill>
            <w14:solidFill>
              <w14:schemeClr w14:val="tx1"/>
            </w14:solidFill>
          </w14:textFill>
        </w:rPr>
        <w:t>及开标时间：</w:t>
      </w:r>
      <w:r>
        <w:rPr>
          <w:rFonts w:hint="eastAsia" w:ascii="宋体" w:hAnsi="宋体" w:cs="仿宋_GB2312"/>
          <w:color w:val="000000" w:themeColor="text1"/>
          <w:highlight w:val="yellow"/>
          <w:lang w:val="en-US" w:eastAsia="zh-CN"/>
          <w14:textFill>
            <w14:solidFill>
              <w14:schemeClr w14:val="tx1"/>
            </w14:solidFill>
          </w14:textFill>
        </w:rPr>
        <w:t>2024</w:t>
      </w:r>
      <w:r>
        <w:rPr>
          <w:rFonts w:hint="eastAsia" w:ascii="宋体" w:hAnsi="宋体" w:cs="仿宋_GB2312"/>
          <w:color w:val="000000" w:themeColor="text1"/>
          <w:highlight w:val="yellow"/>
          <w:u w:val="none"/>
          <w14:textFill>
            <w14:solidFill>
              <w14:schemeClr w14:val="tx1"/>
            </w14:solidFill>
          </w14:textFill>
        </w:rPr>
        <w:t>年</w:t>
      </w:r>
      <w:r>
        <w:rPr>
          <w:rFonts w:hint="eastAsia" w:ascii="宋体" w:hAnsi="宋体" w:cs="仿宋_GB2312"/>
          <w:color w:val="000000" w:themeColor="text1"/>
          <w:highlight w:val="yellow"/>
          <w:u w:val="none"/>
          <w:lang w:val="en-US" w:eastAsia="zh-CN"/>
          <w14:textFill>
            <w14:solidFill>
              <w14:schemeClr w14:val="tx1"/>
            </w14:solidFill>
          </w14:textFill>
        </w:rPr>
        <w:t>7</w:t>
      </w:r>
      <w:r>
        <w:rPr>
          <w:rFonts w:hint="eastAsia" w:ascii="宋体" w:hAnsi="宋体" w:cs="仿宋_GB2312"/>
          <w:color w:val="000000" w:themeColor="text1"/>
          <w:highlight w:val="yellow"/>
          <w:u w:val="none"/>
          <w14:textFill>
            <w14:solidFill>
              <w14:schemeClr w14:val="tx1"/>
            </w14:solidFill>
          </w14:textFill>
        </w:rPr>
        <w:t>月</w:t>
      </w:r>
      <w:r>
        <w:rPr>
          <w:rFonts w:hint="eastAsia" w:ascii="宋体" w:hAnsi="宋体" w:cs="仿宋_GB2312"/>
          <w:color w:val="000000" w:themeColor="text1"/>
          <w:highlight w:val="yellow"/>
          <w:u w:val="none"/>
          <w:lang w:val="en-US" w:eastAsia="zh-CN"/>
          <w14:textFill>
            <w14:solidFill>
              <w14:schemeClr w14:val="tx1"/>
            </w14:solidFill>
          </w14:textFill>
        </w:rPr>
        <w:t>1</w:t>
      </w:r>
      <w:r>
        <w:rPr>
          <w:rFonts w:hint="eastAsia" w:ascii="宋体" w:hAnsi="宋体" w:cs="仿宋_GB2312"/>
          <w:color w:val="000000" w:themeColor="text1"/>
          <w:highlight w:val="yellow"/>
          <w:u w:val="none"/>
          <w14:textFill>
            <w14:solidFill>
              <w14:schemeClr w14:val="tx1"/>
            </w14:solidFill>
          </w14:textFill>
        </w:rPr>
        <w:t>日</w:t>
      </w:r>
      <w:r>
        <w:rPr>
          <w:rFonts w:hint="eastAsia" w:ascii="宋体" w:hAnsi="宋体" w:cs="仿宋_GB2312"/>
          <w:color w:val="000000" w:themeColor="text1"/>
          <w:highlight w:val="yellow"/>
          <w:u w:val="none"/>
          <w:lang w:val="en-US" w:eastAsia="zh-CN"/>
          <w14:textFill>
            <w14:solidFill>
              <w14:schemeClr w14:val="tx1"/>
            </w14:solidFill>
          </w14:textFill>
        </w:rPr>
        <w:t xml:space="preserve">9:30（北京时间） </w:t>
      </w:r>
      <w:r>
        <w:rPr>
          <w:rFonts w:hint="eastAsia" w:ascii="宋体" w:hAnsi="宋体" w:cs="仿宋_GB2312"/>
          <w:color w:val="000000" w:themeColor="text1"/>
          <w:highlight w:val="yellow"/>
          <w14:textFill>
            <w14:solidFill>
              <w14:schemeClr w14:val="tx1"/>
            </w14:solidFill>
          </w14:textFill>
        </w:rPr>
        <w:t>。</w:t>
      </w:r>
    </w:p>
    <w:p>
      <w:pPr>
        <w:autoSpaceDE w:val="0"/>
        <w:autoSpaceDN w:val="0"/>
        <w:adjustRightInd w:val="0"/>
        <w:snapToGrid w:val="0"/>
        <w:spacing w:line="360" w:lineRule="auto"/>
        <w:ind w:firstLine="482"/>
        <w:rPr>
          <w:rFonts w:hint="eastAsia" w:ascii="宋体" w:hAnsi="宋体" w:eastAsia="宋体" w:cs="仿宋_GB2312"/>
          <w:color w:val="000000" w:themeColor="text1"/>
          <w:highlight w:val="yellow"/>
          <w:lang w:eastAsia="zh-CN"/>
          <w14:textFill>
            <w14:solidFill>
              <w14:schemeClr w14:val="tx1"/>
            </w14:solidFill>
          </w14:textFill>
        </w:rPr>
      </w:pPr>
      <w:r>
        <w:rPr>
          <w:rFonts w:hint="eastAsia" w:ascii="宋体" w:hAnsi="宋体" w:cs="仿宋_GB2312"/>
          <w:color w:val="000000" w:themeColor="text1"/>
          <w:highlight w:val="yellow"/>
          <w14:textFill>
            <w14:solidFill>
              <w14:schemeClr w14:val="tx1"/>
            </w14:solidFill>
          </w14:textFill>
        </w:rPr>
        <w:t>2、</w:t>
      </w:r>
      <w:r>
        <w:rPr>
          <w:rFonts w:hint="eastAsia" w:ascii="宋体" w:hAnsi="宋体" w:cs="仿宋_GB2312"/>
          <w:color w:val="000000" w:themeColor="text1"/>
          <w:highlight w:val="yellow"/>
          <w:lang w:eastAsia="zh-CN"/>
          <w14:textFill>
            <w14:solidFill>
              <w14:schemeClr w14:val="tx1"/>
            </w14:solidFill>
          </w14:textFill>
        </w:rPr>
        <w:t>开标时间：</w:t>
      </w:r>
      <w:r>
        <w:rPr>
          <w:rFonts w:hint="eastAsia" w:ascii="宋体" w:hAnsi="宋体" w:cs="仿宋_GB2312"/>
          <w:color w:val="000000" w:themeColor="text1"/>
          <w:highlight w:val="yellow"/>
          <w:lang w:val="en-US" w:eastAsia="zh-CN"/>
          <w14:textFill>
            <w14:solidFill>
              <w14:schemeClr w14:val="tx1"/>
            </w14:solidFill>
          </w14:textFill>
        </w:rPr>
        <w:t>2024</w:t>
      </w:r>
      <w:r>
        <w:rPr>
          <w:rFonts w:hint="eastAsia" w:ascii="宋体" w:hAnsi="宋体" w:cs="仿宋_GB2312"/>
          <w:color w:val="000000" w:themeColor="text1"/>
          <w:highlight w:val="yellow"/>
          <w:u w:val="none"/>
          <w14:textFill>
            <w14:solidFill>
              <w14:schemeClr w14:val="tx1"/>
            </w14:solidFill>
          </w14:textFill>
        </w:rPr>
        <w:t>年</w:t>
      </w:r>
      <w:r>
        <w:rPr>
          <w:rFonts w:hint="eastAsia" w:ascii="宋体" w:hAnsi="宋体" w:cs="仿宋_GB2312"/>
          <w:color w:val="000000" w:themeColor="text1"/>
          <w:highlight w:val="yellow"/>
          <w:u w:val="none"/>
          <w:lang w:val="en-US" w:eastAsia="zh-CN"/>
          <w14:textFill>
            <w14:solidFill>
              <w14:schemeClr w14:val="tx1"/>
            </w14:solidFill>
          </w14:textFill>
        </w:rPr>
        <w:t>7</w:t>
      </w:r>
      <w:r>
        <w:rPr>
          <w:rFonts w:hint="eastAsia" w:ascii="宋体" w:hAnsi="宋体" w:cs="仿宋_GB2312"/>
          <w:color w:val="000000" w:themeColor="text1"/>
          <w:highlight w:val="yellow"/>
          <w:u w:val="none"/>
          <w14:textFill>
            <w14:solidFill>
              <w14:schemeClr w14:val="tx1"/>
            </w14:solidFill>
          </w14:textFill>
        </w:rPr>
        <w:t>月</w:t>
      </w:r>
      <w:r>
        <w:rPr>
          <w:rFonts w:hint="eastAsia" w:ascii="宋体" w:hAnsi="宋体" w:cs="仿宋_GB2312"/>
          <w:color w:val="000000" w:themeColor="text1"/>
          <w:highlight w:val="yellow"/>
          <w:u w:val="none"/>
          <w:lang w:val="en-US" w:eastAsia="zh-CN"/>
          <w14:textFill>
            <w14:solidFill>
              <w14:schemeClr w14:val="tx1"/>
            </w14:solidFill>
          </w14:textFill>
        </w:rPr>
        <w:t>1</w:t>
      </w:r>
      <w:r>
        <w:rPr>
          <w:rFonts w:hint="eastAsia" w:ascii="宋体" w:hAnsi="宋体" w:cs="仿宋_GB2312"/>
          <w:color w:val="000000" w:themeColor="text1"/>
          <w:highlight w:val="yellow"/>
          <w:u w:val="none"/>
          <w14:textFill>
            <w14:solidFill>
              <w14:schemeClr w14:val="tx1"/>
            </w14:solidFill>
          </w14:textFill>
        </w:rPr>
        <w:t>日</w:t>
      </w:r>
      <w:r>
        <w:rPr>
          <w:rFonts w:hint="eastAsia" w:ascii="宋体" w:hAnsi="宋体" w:cs="仿宋_GB2312"/>
          <w:color w:val="000000" w:themeColor="text1"/>
          <w:highlight w:val="yellow"/>
          <w:u w:val="none"/>
          <w:lang w:val="en-US" w:eastAsia="zh-CN"/>
          <w14:textFill>
            <w14:solidFill>
              <w14:schemeClr w14:val="tx1"/>
            </w14:solidFill>
          </w14:textFill>
        </w:rPr>
        <w:t xml:space="preserve">9：30（北京时间） </w:t>
      </w:r>
      <w:r>
        <w:rPr>
          <w:rFonts w:hint="eastAsia" w:ascii="宋体" w:hAnsi="宋体" w:cs="仿宋_GB2312"/>
          <w:color w:val="000000" w:themeColor="text1"/>
          <w:highlight w:val="yellow"/>
          <w:u w:val="none"/>
          <w14:textFill>
            <w14:solidFill>
              <w14:schemeClr w14:val="tx1"/>
            </w14:solidFill>
          </w14:textFill>
        </w:rPr>
        <w:t>。</w:t>
      </w:r>
    </w:p>
    <w:p>
      <w:pPr>
        <w:autoSpaceDE w:val="0"/>
        <w:autoSpaceDN w:val="0"/>
        <w:adjustRightInd w:val="0"/>
        <w:snapToGrid w:val="0"/>
        <w:spacing w:line="360" w:lineRule="auto"/>
        <w:ind w:firstLine="482"/>
        <w:rPr>
          <w:rFonts w:ascii="宋体" w:hAnsi="宋体" w:cs="仿宋_GB2312"/>
          <w:color w:val="000000" w:themeColor="text1"/>
          <w:highlight w:val="none"/>
          <w:u w:val="singl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3、</w:t>
      </w:r>
      <w:r>
        <w:rPr>
          <w:rFonts w:ascii="宋体" w:hAnsi="宋体" w:cs="仿宋_GB2312"/>
          <w:color w:val="000000" w:themeColor="text1"/>
          <w:highlight w:val="none"/>
          <w14:textFill>
            <w14:solidFill>
              <w14:schemeClr w14:val="tx1"/>
            </w14:solidFill>
          </w14:textFill>
        </w:rPr>
        <w:t>开标地点：</w:t>
      </w:r>
      <w:r>
        <w:rPr>
          <w:rFonts w:hint="eastAsia" w:ascii="宋体" w:hAnsi="宋体" w:cs="仿宋_GB2312"/>
          <w:highlight w:val="none"/>
        </w:rPr>
        <w:t>深圳市福田区广电金融中心48楼</w:t>
      </w:r>
      <w:r>
        <w:rPr>
          <w:rFonts w:hint="eastAsia" w:ascii="宋体" w:hAnsi="宋体" w:cs="仿宋_GB2312"/>
          <w:color w:val="000000" w:themeColor="text1"/>
          <w:highlight w:val="none"/>
          <w:u w:val="none"/>
          <w14:textFill>
            <w14:solidFill>
              <w14:schemeClr w14:val="tx1"/>
            </w14:solidFill>
          </w14:textFill>
        </w:rPr>
        <w:t>。</w:t>
      </w:r>
    </w:p>
    <w:p>
      <w:pPr>
        <w:autoSpaceDE w:val="0"/>
        <w:autoSpaceDN w:val="0"/>
        <w:adjustRightInd w:val="0"/>
        <w:snapToGrid w:val="0"/>
        <w:spacing w:line="360" w:lineRule="auto"/>
        <w:ind w:firstLine="482"/>
        <w:rPr>
          <w:rFonts w:ascii="宋体" w:hAnsi="宋体" w:cs="仿宋_GB2312"/>
          <w:color w:val="000000" w:themeColor="text1"/>
          <w:highlight w:val="none"/>
          <w:u w:val="single"/>
          <w14:textFill>
            <w14:solidFill>
              <w14:schemeClr w14:val="tx1"/>
            </w14:solidFill>
          </w14:textFill>
        </w:rPr>
      </w:pPr>
      <w:r>
        <w:rPr>
          <w:rFonts w:hint="eastAsia" w:ascii="宋体" w:hAnsi="宋体" w:cs="仿宋_GB2312"/>
          <w:color w:val="000000" w:themeColor="text1"/>
          <w:highlight w:val="none"/>
          <w14:textFill>
            <w14:solidFill>
              <w14:schemeClr w14:val="tx1"/>
            </w14:solidFill>
          </w14:textFill>
        </w:rPr>
        <w:t>4、递交投标文件地点：</w:t>
      </w:r>
      <w:r>
        <w:rPr>
          <w:rFonts w:hint="eastAsia" w:ascii="宋体" w:hAnsi="宋体" w:cs="仿宋_GB2312"/>
          <w:highlight w:val="none"/>
        </w:rPr>
        <w:t>深圳</w:t>
      </w:r>
      <w:bookmarkStart w:id="87" w:name="_GoBack"/>
      <w:bookmarkEnd w:id="87"/>
      <w:r>
        <w:rPr>
          <w:rFonts w:hint="eastAsia" w:ascii="宋体" w:hAnsi="宋体" w:cs="仿宋_GB2312"/>
          <w:highlight w:val="none"/>
        </w:rPr>
        <w:t>市福田区广电金融中心48楼</w:t>
      </w:r>
      <w:r>
        <w:rPr>
          <w:rFonts w:hint="eastAsia" w:ascii="宋体" w:hAnsi="宋体" w:cs="仿宋_GB2312"/>
          <w:color w:val="000000" w:themeColor="text1"/>
          <w:highlight w:val="none"/>
          <w:u w:val="none"/>
          <w14:textFill>
            <w14:solidFill>
              <w14:schemeClr w14:val="tx1"/>
            </w14:solidFill>
          </w14:textFill>
        </w:rPr>
        <w:t>。</w:t>
      </w:r>
    </w:p>
    <w:p>
      <w:pPr>
        <w:autoSpaceDE w:val="0"/>
        <w:autoSpaceDN w:val="0"/>
        <w:adjustRightInd w:val="0"/>
        <w:snapToGrid w:val="0"/>
        <w:spacing w:line="360" w:lineRule="auto"/>
        <w:ind w:firstLine="482"/>
        <w:rPr>
          <w:rFonts w:ascii="宋体" w:hAnsi="宋体" w:cs="仿宋_GB2312"/>
          <w:b/>
          <w:color w:val="FF0000"/>
          <w:u w:val="single"/>
        </w:rPr>
      </w:pPr>
    </w:p>
    <w:p>
      <w:pPr>
        <w:numPr>
          <w:ilvl w:val="0"/>
          <w:numId w:val="2"/>
        </w:numPr>
        <w:autoSpaceDE w:val="0"/>
        <w:autoSpaceDN w:val="0"/>
        <w:adjustRightInd w:val="0"/>
        <w:snapToGrid w:val="0"/>
        <w:spacing w:before="156" w:beforeLines="50" w:after="156" w:afterLines="50"/>
        <w:ind w:firstLine="420"/>
        <w:rPr>
          <w:b/>
        </w:rPr>
      </w:pPr>
      <w:r>
        <w:rPr>
          <w:rFonts w:hint="eastAsia"/>
          <w:b/>
        </w:rPr>
        <w:t>有关此次招标事宜，可按下列地址以书面或传真的形式查询：</w:t>
      </w:r>
    </w:p>
    <w:p>
      <w:pPr>
        <w:autoSpaceDE w:val="0"/>
        <w:autoSpaceDN w:val="0"/>
        <w:adjustRightInd w:val="0"/>
        <w:snapToGrid w:val="0"/>
        <w:spacing w:line="240" w:lineRule="auto"/>
        <w:ind w:firstLine="482"/>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联系人：</w:t>
      </w:r>
      <w:r>
        <w:rPr>
          <w:rFonts w:hint="eastAsia" w:ascii="宋体" w:hAnsi="宋体" w:eastAsia="宋体" w:cs="宋体"/>
          <w:color w:val="000000" w:themeColor="text1"/>
          <w:highlight w:val="none"/>
          <w:lang w:val="en-US" w:eastAsia="zh-CN"/>
          <w14:textFill>
            <w14:solidFill>
              <w14:schemeClr w14:val="tx1"/>
            </w14:solidFill>
          </w14:textFill>
        </w:rPr>
        <w:t>赖女士</w:t>
      </w:r>
    </w:p>
    <w:p>
      <w:pPr>
        <w:autoSpaceDE w:val="0"/>
        <w:autoSpaceDN w:val="0"/>
        <w:adjustRightInd w:val="0"/>
        <w:snapToGrid w:val="0"/>
        <w:spacing w:line="240" w:lineRule="auto"/>
        <w:ind w:firstLine="482"/>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w:t>
      </w:r>
      <w:r>
        <w:rPr>
          <w:rFonts w:hint="eastAsia" w:ascii="宋体" w:hAnsi="宋体" w:eastAsia="宋体" w:cs="宋体"/>
          <w:color w:val="000000" w:themeColor="text1"/>
          <w:highlight w:val="none"/>
          <w:lang w:val="en-US" w:eastAsia="zh-CN"/>
          <w14:textFill>
            <w14:solidFill>
              <w14:schemeClr w14:val="tx1"/>
            </w14:solidFill>
          </w14:textFill>
        </w:rPr>
        <w:t>13924658185</w:t>
      </w:r>
    </w:p>
    <w:p>
      <w:pPr>
        <w:autoSpaceDE w:val="0"/>
        <w:autoSpaceDN w:val="0"/>
        <w:adjustRightInd w:val="0"/>
        <w:snapToGrid w:val="0"/>
        <w:spacing w:line="360" w:lineRule="auto"/>
        <w:ind w:firstLine="482"/>
        <w:rPr>
          <w:rFonts w:hint="eastAsia" w:ascii="宋体" w:hAnsi="宋体" w:cs="仿宋_GB2312"/>
          <w:highlight w:val="yellow"/>
        </w:rPr>
      </w:pPr>
      <w:r>
        <w:rPr>
          <w:rFonts w:hint="eastAsia" w:ascii="宋体" w:hAnsi="宋体" w:eastAsia="宋体" w:cs="宋体"/>
          <w:color w:val="000000" w:themeColor="text1"/>
          <w:highlight w:val="none"/>
          <w14:textFill>
            <w14:solidFill>
              <w14:schemeClr w14:val="tx1"/>
            </w14:solidFill>
          </w14:textFill>
        </w:rPr>
        <w:t>邮箱地址：</w:t>
      </w:r>
      <w:r>
        <w:rPr>
          <w:rFonts w:hint="eastAsia" w:ascii="宋体" w:hAnsi="宋体" w:cs="仿宋_GB2312"/>
          <w:highlight w:val="none"/>
        </w:rPr>
        <w:t>service@designcities.cn</w:t>
      </w:r>
    </w:p>
    <w:p>
      <w:pPr>
        <w:autoSpaceDE w:val="0"/>
        <w:autoSpaceDN w:val="0"/>
        <w:adjustRightInd w:val="0"/>
        <w:snapToGrid w:val="0"/>
        <w:spacing w:line="360" w:lineRule="auto"/>
        <w:ind w:firstLine="480"/>
        <w:rPr>
          <w:rFonts w:ascii="宋体" w:hAnsi="宋体" w:cs="Arial"/>
          <w:color w:val="000000"/>
          <w:lang w:val="zh-CN"/>
        </w:rPr>
      </w:pPr>
      <w:r>
        <w:rPr>
          <w:rFonts w:ascii="宋体" w:hAnsi="宋体" w:cs="Arial"/>
          <w:color w:val="000000"/>
          <w:lang w:val="zh-CN"/>
        </w:rPr>
        <w:t>本招标文件解释权归</w:t>
      </w:r>
      <w:r>
        <w:rPr>
          <w:rFonts w:hint="eastAsia" w:ascii="宋体" w:hAnsi="宋体" w:cs="仿宋_GB2312"/>
          <w:color w:val="000000" w:themeColor="text1"/>
          <w:lang w:eastAsia="zh-CN"/>
          <w14:textFill>
            <w14:solidFill>
              <w14:schemeClr w14:val="tx1"/>
            </w14:solidFill>
          </w14:textFill>
        </w:rPr>
        <w:t>深圳市设计之都运营发展有限公司</w:t>
      </w:r>
      <w:r>
        <w:rPr>
          <w:rFonts w:ascii="宋体" w:hAnsi="宋体" w:cs="Arial"/>
          <w:color w:val="000000"/>
          <w:lang w:val="zh-CN"/>
        </w:rPr>
        <w:t>所有。</w:t>
      </w:r>
    </w:p>
    <w:p>
      <w:pPr>
        <w:widowControl/>
        <w:numPr>
          <w:ilvl w:val="-1"/>
          <w:numId w:val="0"/>
        </w:numPr>
        <w:spacing w:before="0" w:beforeLines="-2147483648" w:after="0" w:afterLines="-2147483648"/>
        <w:ind w:firstLine="0"/>
        <w:jc w:val="left"/>
        <w:rPr>
          <w:rFonts w:ascii="黑体" w:eastAsia="黑体"/>
          <w:sz w:val="44"/>
          <w:szCs w:val="44"/>
        </w:rPr>
      </w:pPr>
      <w:r>
        <w:rPr>
          <w:rFonts w:hint="eastAsia" w:ascii="黑体" w:eastAsia="黑体"/>
          <w:sz w:val="44"/>
          <w:szCs w:val="44"/>
        </w:rPr>
        <w:br w:type="page"/>
      </w:r>
    </w:p>
    <w:p>
      <w:pPr>
        <w:widowControl/>
        <w:numPr>
          <w:ilvl w:val="0"/>
          <w:numId w:val="1"/>
        </w:numPr>
        <w:spacing w:before="312" w:beforeLines="100" w:after="312" w:afterLines="100"/>
        <w:ind w:firstLine="402"/>
        <w:jc w:val="center"/>
        <w:outlineLvl w:val="0"/>
        <w:rPr>
          <w:rFonts w:ascii="黑体" w:eastAsia="黑体"/>
          <w:sz w:val="44"/>
          <w:szCs w:val="44"/>
        </w:rPr>
      </w:pPr>
      <w:bookmarkStart w:id="15" w:name="_Toc22010"/>
      <w:r>
        <w:rPr>
          <w:rFonts w:hint="eastAsia" w:ascii="黑体" w:eastAsia="黑体"/>
          <w:sz w:val="44"/>
          <w:szCs w:val="44"/>
        </w:rPr>
        <w:t>投标资料表</w:t>
      </w:r>
      <w:bookmarkEnd w:id="15"/>
    </w:p>
    <w:p>
      <w:pPr>
        <w:widowControl/>
        <w:ind w:firstLine="420" w:firstLineChars="200"/>
        <w:jc w:val="left"/>
      </w:pPr>
      <w:r>
        <w:rPr>
          <w:rFonts w:hint="eastAsia"/>
        </w:rPr>
        <w:t>本表关于要采购项目的具体资料，是对投标人须知的具体补充和修改，如有矛盾，应以本资料表为准。</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条款号</w:t>
            </w:r>
          </w:p>
        </w:tc>
        <w:tc>
          <w:tcPr>
            <w:tcW w:w="6660" w:type="dxa"/>
            <w:vAlign w:val="center"/>
          </w:tcPr>
          <w:p>
            <w:pPr>
              <w:jc w:val="center"/>
              <w:rPr>
                <w:b/>
              </w:rPr>
            </w:pPr>
            <w:r>
              <w:rPr>
                <w:rFonts w:hint="eastAsia"/>
                <w:b/>
              </w:rPr>
              <w:t>内</w:t>
            </w:r>
            <w:r>
              <w:rPr>
                <w:b/>
              </w:rPr>
              <w:t xml:space="preserve">      </w:t>
            </w:r>
            <w:r>
              <w:rPr>
                <w:rFonts w:hint="eastAsia"/>
                <w:b/>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05" w:hRule="atLeast"/>
        </w:trPr>
        <w:tc>
          <w:tcPr>
            <w:tcW w:w="8308" w:type="dxa"/>
            <w:gridSpan w:val="2"/>
            <w:vAlign w:val="center"/>
          </w:tcPr>
          <w:p>
            <w:pPr>
              <w:jc w:val="center"/>
              <w:rPr>
                <w:rFonts w:ascii="黑体" w:eastAsia="黑体"/>
                <w:sz w:val="24"/>
              </w:rPr>
            </w:pPr>
            <w:r>
              <w:rPr>
                <w:rFonts w:hint="eastAsia" w:ascii="黑体" w:eastAsia="黑体"/>
                <w:sz w:val="24"/>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648" w:type="dxa"/>
            <w:vAlign w:val="center"/>
          </w:tcPr>
          <w:p>
            <w:pPr>
              <w:jc w:val="center"/>
              <w:rPr>
                <w:rFonts w:ascii="宋体" w:hAnsi="宋体"/>
              </w:rPr>
            </w:pPr>
            <w:r>
              <w:rPr>
                <w:rFonts w:hint="eastAsia"/>
              </w:rPr>
              <w:t>1</w:t>
            </w:r>
          </w:p>
        </w:tc>
        <w:tc>
          <w:tcPr>
            <w:tcW w:w="6660" w:type="dxa"/>
          </w:tcPr>
          <w:p>
            <w:pPr>
              <w:rPr>
                <w:rFonts w:ascii="宋体" w:hAnsi="宋体"/>
                <w:b/>
                <w:bCs/>
              </w:rPr>
            </w:pPr>
            <w:r>
              <w:rPr>
                <w:rFonts w:hint="eastAsia" w:ascii="宋体" w:hAnsi="宋体"/>
                <w:b/>
                <w:bCs/>
              </w:rPr>
              <w:t>招标人名称</w:t>
            </w:r>
          </w:p>
          <w:p>
            <w:pPr>
              <w:rPr>
                <w:rFonts w:hint="eastAsia" w:eastAsia="宋体"/>
                <w:lang w:eastAsia="zh-CN"/>
              </w:rPr>
            </w:pPr>
            <w:r>
              <w:rPr>
                <w:rFonts w:hint="eastAsia" w:ascii="宋体" w:hAnsi="宋体" w:cs="仿宋_GB2312"/>
                <w:color w:val="000000" w:themeColor="text1"/>
                <w:lang w:eastAsia="zh-CN"/>
                <w14:textFill>
                  <w14:solidFill>
                    <w14:schemeClr w14:val="tx1"/>
                  </w14:solidFill>
                </w14:textFill>
              </w:rPr>
              <w:t>深圳市设计之都运营发展有限公司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648" w:type="dxa"/>
            <w:vAlign w:val="center"/>
          </w:tcPr>
          <w:p>
            <w:pPr>
              <w:jc w:val="center"/>
              <w:rPr>
                <w:rFonts w:ascii="宋体" w:hAnsi="宋体"/>
              </w:rPr>
            </w:pPr>
            <w:r>
              <w:rPr>
                <w:rFonts w:hint="eastAsia"/>
              </w:rPr>
              <w:t>2</w:t>
            </w:r>
          </w:p>
        </w:tc>
        <w:tc>
          <w:tcPr>
            <w:tcW w:w="6660" w:type="dxa"/>
            <w:tcBorders>
              <w:bottom w:val="single" w:color="auto" w:sz="6" w:space="0"/>
            </w:tcBorders>
          </w:tcPr>
          <w:p>
            <w:pPr>
              <w:rPr>
                <w:rFonts w:ascii="宋体" w:hAnsi="宋体"/>
                <w:b/>
                <w:bCs/>
              </w:rPr>
            </w:pPr>
            <w:r>
              <w:rPr>
                <w:rFonts w:hint="eastAsia" w:ascii="宋体" w:hAnsi="宋体"/>
                <w:b/>
                <w:bCs/>
              </w:rPr>
              <w:t>资金来源</w:t>
            </w:r>
          </w:p>
          <w:p>
            <w:pPr>
              <w:rPr>
                <w:rFonts w:ascii="宋体" w:hAnsi="宋体"/>
                <w:bCs/>
              </w:rPr>
            </w:pPr>
            <w:r>
              <w:rPr>
                <w:rFonts w:hint="eastAsia"/>
              </w:rPr>
              <w:t>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4" w:hRule="atLeast"/>
        </w:trPr>
        <w:tc>
          <w:tcPr>
            <w:tcW w:w="1648" w:type="dxa"/>
            <w:vAlign w:val="center"/>
          </w:tcPr>
          <w:p>
            <w:pPr>
              <w:jc w:val="center"/>
              <w:rPr>
                <w:rFonts w:ascii="宋体" w:hAnsi="宋体"/>
                <w:color w:val="000000" w:themeColor="text1"/>
                <w14:textFill>
                  <w14:solidFill>
                    <w14:schemeClr w14:val="tx1"/>
                  </w14:solidFill>
                </w14:textFill>
              </w:rPr>
            </w:pPr>
            <w:r>
              <w:rPr>
                <w:rFonts w:hint="eastAsia"/>
              </w:rPr>
              <w:t>★3</w:t>
            </w:r>
          </w:p>
        </w:tc>
        <w:tc>
          <w:tcPr>
            <w:tcW w:w="6660" w:type="dxa"/>
            <w:tcBorders>
              <w:top w:val="single" w:color="auto" w:sz="6" w:space="0"/>
            </w:tcBorders>
            <w:vAlign w:val="center"/>
          </w:tcPr>
          <w:p>
            <w:pP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合格的投标人：</w:t>
            </w:r>
            <w:r>
              <w:rPr>
                <w:rFonts w:hint="eastAsia" w:ascii="宋体" w:hAnsi="宋体"/>
                <w:color w:val="000000" w:themeColor="text1"/>
                <w14:textFill>
                  <w14:solidFill>
                    <w14:schemeClr w14:val="tx1"/>
                  </w14:solidFill>
                </w14:textFill>
              </w:rPr>
              <w:t>（项目不接受联合体投标）</w:t>
            </w:r>
          </w:p>
          <w:p>
            <w:pPr>
              <w:autoSpaceDE w:val="0"/>
              <w:autoSpaceDN w:val="0"/>
              <w:adjustRightInd w:val="0"/>
              <w:snapToGrid w:val="0"/>
              <w:spacing w:line="24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1、行业资质要求：受邀人必须是在中国境内注册的独立法人企业，具有履行合同的服务能力、专业技术能力、供应保障能力及风险控制能力；</w:t>
            </w:r>
          </w:p>
          <w:p>
            <w:pPr>
              <w:autoSpaceDE w:val="0"/>
              <w:autoSpaceDN w:val="0"/>
              <w:adjustRightInd w:val="0"/>
              <w:snapToGrid w:val="0"/>
              <w:spacing w:line="240" w:lineRule="auto"/>
              <w:ind w:left="735" w:leftChars="200" w:hanging="315" w:hangingChars="15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w:t>
            </w:r>
            <w:r>
              <w:rPr>
                <w:rFonts w:ascii="宋体" w:hAnsi="宋体" w:cs="仿宋_GB2312"/>
                <w:color w:val="000000" w:themeColor="text1"/>
                <w14:textFill>
                  <w14:solidFill>
                    <w14:schemeClr w14:val="tx1"/>
                  </w14:solidFill>
                </w14:textFill>
              </w:rPr>
              <w:t xml:space="preserve">、具有良好的银行资信和商业信誉，无处于被责令停业，财产被接管，冻结，破产状态。 </w:t>
            </w:r>
          </w:p>
          <w:p>
            <w:pPr>
              <w:autoSpaceDE w:val="0"/>
              <w:autoSpaceDN w:val="0"/>
              <w:adjustRightInd w:val="0"/>
              <w:snapToGrid w:val="0"/>
              <w:spacing w:line="240" w:lineRule="auto"/>
              <w:ind w:left="735" w:leftChars="200" w:hanging="315" w:hangingChars="15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w:t>
            </w:r>
            <w:r>
              <w:rPr>
                <w:rFonts w:ascii="宋体" w:hAnsi="宋体" w:cs="仿宋_GB2312"/>
                <w:color w:val="000000" w:themeColor="text1"/>
                <w14:textFill>
                  <w14:solidFill>
                    <w14:schemeClr w14:val="tx1"/>
                  </w14:solidFill>
                </w14:textFill>
              </w:rPr>
              <w:t>、申请人必须在法律上和财务上独立、合法运作，不存在违法违规等不良记录。</w:t>
            </w:r>
          </w:p>
          <w:p>
            <w:pPr>
              <w:autoSpaceDE w:val="0"/>
              <w:autoSpaceDN w:val="0"/>
              <w:adjustRightInd w:val="0"/>
              <w:snapToGrid w:val="0"/>
              <w:spacing w:line="24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w:t>
            </w:r>
            <w:r>
              <w:rPr>
                <w:rFonts w:ascii="宋体" w:hAnsi="宋体" w:cs="仿宋_GB2312"/>
                <w:color w:val="000000" w:themeColor="text1"/>
                <w14:textFill>
                  <w14:solidFill>
                    <w14:schemeClr w14:val="tx1"/>
                  </w14:solidFill>
                </w14:textFill>
              </w:rPr>
              <w:t>、投标</w:t>
            </w:r>
            <w:r>
              <w:rPr>
                <w:rFonts w:hint="eastAsia" w:ascii="宋体" w:hAnsi="宋体" w:cs="仿宋_GB2312"/>
                <w:color w:val="000000" w:themeColor="text1"/>
                <w14:textFill>
                  <w14:solidFill>
                    <w14:schemeClr w14:val="tx1"/>
                  </w14:solidFill>
                </w14:textFill>
              </w:rPr>
              <w:t>人</w:t>
            </w:r>
            <w:r>
              <w:rPr>
                <w:rFonts w:ascii="宋体" w:hAnsi="宋体" w:cs="仿宋_GB2312"/>
                <w:color w:val="000000" w:themeColor="text1"/>
                <w14:textFill>
                  <w14:solidFill>
                    <w14:schemeClr w14:val="tx1"/>
                  </w14:solidFill>
                </w14:textFill>
              </w:rPr>
              <w:t>要求是有多年从事</w:t>
            </w:r>
            <w:r>
              <w:rPr>
                <w:rFonts w:hint="eastAsia" w:ascii="宋体" w:hAnsi="宋体" w:cs="仿宋_GB2312"/>
                <w:color w:val="000000" w:themeColor="text1"/>
                <w:highlight w:val="none"/>
                <w:lang w:val="en-US" w:eastAsia="zh-CN"/>
                <w14:textFill>
                  <w14:solidFill>
                    <w14:schemeClr w14:val="tx1"/>
                  </w14:solidFill>
                </w14:textFill>
              </w:rPr>
              <w:t>二次元活动</w:t>
            </w:r>
            <w:r>
              <w:rPr>
                <w:rFonts w:ascii="宋体" w:hAnsi="宋体" w:cs="仿宋_GB2312"/>
                <w:color w:val="000000" w:themeColor="text1"/>
                <w:highlight w:val="none"/>
                <w14:textFill>
                  <w14:solidFill>
                    <w14:schemeClr w14:val="tx1"/>
                  </w14:solidFill>
                </w14:textFill>
              </w:rPr>
              <w:t>行业的</w:t>
            </w:r>
            <w:r>
              <w:rPr>
                <w:rFonts w:ascii="宋体" w:hAnsi="宋体" w:cs="仿宋_GB2312"/>
                <w:color w:val="000000" w:themeColor="text1"/>
                <w14:textFill>
                  <w14:solidFill>
                    <w14:schemeClr w14:val="tx1"/>
                  </w14:solidFill>
                </w14:textFill>
              </w:rPr>
              <w:t>专业公司</w:t>
            </w:r>
            <w:r>
              <w:rPr>
                <w:rFonts w:hint="eastAsia" w:ascii="宋体" w:hAnsi="宋体" w:cs="仿宋_GB2312"/>
                <w:color w:val="000000" w:themeColor="text1"/>
                <w14:textFill>
                  <w14:solidFill>
                    <w14:schemeClr w14:val="tx1"/>
                  </w14:solidFill>
                </w14:textFill>
              </w:rPr>
              <w:t>。</w:t>
            </w:r>
          </w:p>
          <w:p>
            <w:pPr>
              <w:autoSpaceDE w:val="0"/>
              <w:autoSpaceDN w:val="0"/>
              <w:adjustRightInd w:val="0"/>
              <w:snapToGrid w:val="0"/>
              <w:spacing w:line="240" w:lineRule="auto"/>
              <w:ind w:firstLine="420" w:firstLineChars="200"/>
              <w:rPr>
                <w:rFonts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5、本项目不接受联合体投标，不得分包、转包。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45" w:hRule="atLeast"/>
        </w:trPr>
        <w:tc>
          <w:tcPr>
            <w:tcW w:w="8308" w:type="dxa"/>
            <w:gridSpan w:val="2"/>
            <w:vAlign w:val="center"/>
          </w:tcPr>
          <w:p>
            <w:pPr>
              <w:jc w:val="center"/>
              <w:rPr>
                <w:rFonts w:eastAsia="楷体_GB2312"/>
                <w:b/>
              </w:rPr>
            </w:pPr>
            <w:r>
              <w:rPr>
                <w:rFonts w:hint="eastAsia" w:ascii="黑体" w:eastAsia="黑体"/>
                <w:sz w:val="24"/>
              </w:rPr>
              <w:t>二、投标文件的编制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★4</w:t>
            </w:r>
          </w:p>
        </w:tc>
        <w:tc>
          <w:tcPr>
            <w:tcW w:w="6660" w:type="dxa"/>
          </w:tcPr>
          <w:p>
            <w:pPr>
              <w:jc w:val="left"/>
              <w:rPr>
                <w:b/>
              </w:rPr>
            </w:pPr>
            <w:r>
              <w:rPr>
                <w:rFonts w:hint="eastAsia"/>
                <w:b/>
              </w:rPr>
              <w:t>投标语言</w:t>
            </w:r>
          </w:p>
          <w:p>
            <w:pPr>
              <w:jc w:val="left"/>
            </w:pPr>
            <w:r>
              <w:rPr>
                <w:rFonts w:hint="eastAsia"/>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szCs w:val="21"/>
              </w:rPr>
            </w:pPr>
            <w:r>
              <w:rPr>
                <w:rFonts w:hint="eastAsia"/>
                <w:szCs w:val="21"/>
              </w:rPr>
              <w:t>★5</w:t>
            </w:r>
          </w:p>
        </w:tc>
        <w:tc>
          <w:tcPr>
            <w:tcW w:w="6660" w:type="dxa"/>
            <w:tcBorders>
              <w:bottom w:val="single" w:color="auto" w:sz="4" w:space="0"/>
            </w:tcBorders>
          </w:tcPr>
          <w:p>
            <w:pPr>
              <w:rPr>
                <w:rFonts w:asciiTheme="minorEastAsia" w:hAnsiTheme="minorEastAsia" w:eastAsiaTheme="minorEastAsia"/>
                <w:b/>
                <w:bCs/>
                <w:szCs w:val="21"/>
              </w:rPr>
            </w:pPr>
            <w:r>
              <w:rPr>
                <w:rFonts w:asciiTheme="minorEastAsia" w:hAnsiTheme="minorEastAsia" w:eastAsiaTheme="minorEastAsia"/>
                <w:b/>
                <w:bCs/>
                <w:szCs w:val="21"/>
              </w:rPr>
              <w:t>服务提供时间要求</w:t>
            </w:r>
            <w:r>
              <w:rPr>
                <w:rFonts w:hint="eastAsia" w:asciiTheme="minorEastAsia" w:hAnsiTheme="minorEastAsia" w:eastAsiaTheme="minorEastAsia"/>
                <w:b/>
                <w:bCs/>
                <w:szCs w:val="21"/>
              </w:rPr>
              <w:t>：</w:t>
            </w:r>
          </w:p>
          <w:p>
            <w:pPr>
              <w:rPr>
                <w:szCs w:val="21"/>
              </w:rPr>
            </w:pPr>
            <w:r>
              <w:rPr>
                <w:rFonts w:asciiTheme="minorEastAsia" w:hAnsiTheme="minorEastAsia" w:eastAsiaTheme="minorEastAsia"/>
                <w:b/>
                <w:bCs/>
                <w:szCs w:val="21"/>
              </w:rPr>
              <w:t>服务时间起始于</w:t>
            </w:r>
            <w:r>
              <w:rPr>
                <w:rFonts w:hint="eastAsia" w:asciiTheme="minorEastAsia" w:hAnsiTheme="minorEastAsia" w:eastAsiaTheme="minorEastAsia"/>
                <w:b/>
                <w:bCs/>
                <w:szCs w:val="21"/>
              </w:rPr>
              <w:t>合同签订时间，合同工期总日历天数</w:t>
            </w:r>
            <w:r>
              <w:rPr>
                <w:rFonts w:hint="eastAsia" w:asciiTheme="minorEastAsia" w:hAnsiTheme="minorEastAsia" w:eastAsiaTheme="minorEastAsia"/>
                <w:b/>
                <w:bCs/>
                <w:szCs w:val="21"/>
                <w:u w:val="single"/>
              </w:rPr>
              <w:t>20天</w:t>
            </w:r>
            <w:r>
              <w:rPr>
                <w:rFonts w:hint="eastAsia" w:asciiTheme="minorEastAsia" w:hAnsiTheme="minorEastAsia" w:eastAsiaTheme="minorEastAsia"/>
                <w:b/>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★6</w:t>
            </w:r>
          </w:p>
        </w:tc>
        <w:tc>
          <w:tcPr>
            <w:tcW w:w="6660" w:type="dxa"/>
            <w:tcBorders>
              <w:bottom w:val="single" w:color="auto" w:sz="4" w:space="0"/>
            </w:tcBorders>
          </w:tcPr>
          <w:p>
            <w:pPr>
              <w:rPr>
                <w:rFonts w:asciiTheme="minorEastAsia" w:hAnsiTheme="minorEastAsia" w:eastAsiaTheme="minorEastAsia"/>
                <w:b/>
                <w:bCs/>
                <w:szCs w:val="21"/>
              </w:rPr>
            </w:pPr>
            <w:r>
              <w:rPr>
                <w:rFonts w:hint="eastAsia" w:asciiTheme="minorEastAsia" w:hAnsiTheme="minorEastAsia" w:eastAsiaTheme="minorEastAsia"/>
                <w:b/>
                <w:bCs/>
                <w:szCs w:val="21"/>
              </w:rPr>
              <w:t>报价要求：</w:t>
            </w:r>
          </w:p>
          <w:p>
            <w:pPr>
              <w:rPr>
                <w:b/>
              </w:rPr>
            </w:pPr>
            <w:r>
              <w:rPr>
                <w:rFonts w:hint="eastAsia" w:asciiTheme="minorEastAsia" w:hAnsiTheme="minorEastAsia" w:eastAsiaTheme="minorEastAsia"/>
                <w:bCs/>
                <w:szCs w:val="21"/>
              </w:rPr>
              <w:t>1、</w:t>
            </w:r>
            <w:r>
              <w:rPr>
                <w:rFonts w:hint="eastAsia" w:asciiTheme="minorEastAsia" w:hAnsiTheme="minorEastAsia" w:eastAsiaTheme="minorEastAsia"/>
                <w:b/>
                <w:bCs/>
                <w:szCs w:val="21"/>
              </w:rPr>
              <w:t>投标上限价格为人民币</w:t>
            </w: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rPr>
              <w:t>壹拾贰万陆仟元整</w:t>
            </w:r>
            <w:r>
              <w:rPr>
                <w:rFonts w:hint="eastAsia"/>
                <w:b/>
              </w:rPr>
              <w:t>（￥</w:t>
            </w:r>
            <w:r>
              <w:rPr>
                <w:rFonts w:hint="eastAsia"/>
                <w:b/>
                <w:highlight w:val="yellow"/>
                <w:lang w:val="en-US" w:eastAsia="zh-CN"/>
              </w:rPr>
              <w:t>126000.00</w:t>
            </w:r>
            <w:r>
              <w:rPr>
                <w:rFonts w:hint="eastAsia"/>
                <w:b/>
              </w:rPr>
              <w:t>），超出此预算控制金额的投标报价将导致其投标无效。投标人开具的发票为增值税专用发票。</w:t>
            </w:r>
          </w:p>
          <w:p>
            <w:pPr>
              <w:pStyle w:val="18"/>
              <w:rPr>
                <w:rFonts w:asciiTheme="minorEastAsia" w:hAnsiTheme="minorEastAsia" w:eastAsiaTheme="minorEastAsia"/>
                <w:bCs/>
                <w:sz w:val="21"/>
                <w:szCs w:val="21"/>
              </w:rPr>
            </w:pPr>
            <w:r>
              <w:rPr>
                <w:rFonts w:hint="eastAsia" w:asciiTheme="minorEastAsia" w:hAnsiTheme="minorEastAsia" w:eastAsiaTheme="minorEastAsia"/>
                <w:bCs/>
                <w:sz w:val="21"/>
                <w:szCs w:val="21"/>
              </w:rPr>
              <w:t>2、以招标人“用户需求书”中“需求清单”为依据报价。</w:t>
            </w:r>
          </w:p>
          <w:p>
            <w:pPr>
              <w:pStyle w:val="18"/>
              <w:rPr>
                <w:rFonts w:asciiTheme="minorEastAsia" w:hAnsiTheme="minorEastAsia" w:eastAsiaTheme="minorEastAsia"/>
                <w:bCs/>
                <w:sz w:val="21"/>
                <w:szCs w:val="21"/>
              </w:rPr>
            </w:pPr>
            <w:r>
              <w:rPr>
                <w:rFonts w:hint="eastAsia" w:asciiTheme="minorEastAsia" w:hAnsiTheme="minorEastAsia" w:eastAsiaTheme="minorEastAsia"/>
                <w:bCs/>
                <w:sz w:val="21"/>
                <w:szCs w:val="21"/>
              </w:rPr>
              <w:t>3、投标报价反应的是投标人的收费标准，此投标报价并非结算金额。实际结算金额已招标人实际使用结算。</w:t>
            </w:r>
          </w:p>
        </w:tc>
      </w:tr>
      <w:tr>
        <w:tblPrEx>
          <w:tblCellMar>
            <w:top w:w="0" w:type="dxa"/>
            <w:left w:w="28" w:type="dxa"/>
            <w:bottom w:w="0" w:type="dxa"/>
            <w:right w:w="28" w:type="dxa"/>
          </w:tblCellMar>
        </w:tblPrEx>
        <w:trPr>
          <w:trHeight w:val="90" w:hRule="atLeast"/>
        </w:trPr>
        <w:tc>
          <w:tcPr>
            <w:tcW w:w="1648" w:type="dxa"/>
            <w:tcBorders>
              <w:bottom w:val="single" w:color="auto" w:sz="4" w:space="0"/>
            </w:tcBorders>
            <w:vAlign w:val="center"/>
          </w:tcPr>
          <w:p>
            <w:pPr>
              <w:jc w:val="center"/>
              <w:rPr>
                <w:rFonts w:asciiTheme="minorEastAsia" w:hAnsiTheme="minorEastAsia" w:eastAsiaTheme="minorEastAsia"/>
                <w:bCs/>
                <w:sz w:val="24"/>
              </w:rPr>
            </w:pPr>
            <w:r>
              <w:rPr>
                <w:rFonts w:hint="eastAsia" w:asciiTheme="minorEastAsia" w:hAnsiTheme="minorEastAsia" w:eastAsiaTheme="minorEastAsia"/>
                <w:bCs/>
                <w:sz w:val="24"/>
              </w:rPr>
              <w:t>★7</w:t>
            </w:r>
          </w:p>
        </w:tc>
        <w:tc>
          <w:tcPr>
            <w:tcW w:w="6660" w:type="dxa"/>
            <w:tcBorders>
              <w:bottom w:val="single" w:color="auto" w:sz="4" w:space="0"/>
            </w:tcBorders>
          </w:tcPr>
          <w:p>
            <w:pPr>
              <w:jc w:val="left"/>
              <w:rPr>
                <w:rFonts w:ascii="宋体" w:hAnsi="宋体" w:cs="宋体"/>
                <w:b/>
                <w:bCs/>
                <w:color w:val="000000"/>
                <w:kern w:val="0"/>
              </w:rPr>
            </w:pPr>
            <w:r>
              <w:rPr>
                <w:rFonts w:hint="eastAsia" w:ascii="宋体" w:hAnsi="宋体" w:cs="宋体"/>
                <w:b/>
                <w:bCs/>
                <w:color w:val="000000"/>
                <w:kern w:val="0"/>
              </w:rPr>
              <w:t>需提供资料及标准：</w:t>
            </w:r>
          </w:p>
          <w:p>
            <w:pPr>
              <w:widowControl/>
              <w:rPr>
                <w:rFonts w:ascii="宋体" w:hAnsi="宋体" w:cs="宋体"/>
                <w:kern w:val="0"/>
              </w:rPr>
            </w:pPr>
            <w:r>
              <w:rPr>
                <w:rFonts w:hint="eastAsia" w:ascii="宋体" w:hAnsi="宋体" w:cs="宋体"/>
                <w:kern w:val="0"/>
              </w:rPr>
              <w:t>1、营业执照 (加盖公章的复印件)；</w:t>
            </w:r>
          </w:p>
          <w:p>
            <w:pPr>
              <w:widowControl/>
              <w:rPr>
                <w:rFonts w:ascii="宋体" w:hAnsi="宋体" w:cs="宋体"/>
                <w:kern w:val="0"/>
              </w:rPr>
            </w:pPr>
            <w:r>
              <w:rPr>
                <w:rFonts w:hint="eastAsia" w:ascii="宋体" w:hAnsi="宋体" w:cs="宋体"/>
                <w:kern w:val="0"/>
                <w:lang w:val="en-US" w:eastAsia="zh-CN"/>
              </w:rPr>
              <w:t>2</w:t>
            </w:r>
            <w:r>
              <w:rPr>
                <w:rFonts w:hint="eastAsia" w:ascii="宋体" w:hAnsi="宋体" w:cs="宋体"/>
                <w:kern w:val="0"/>
              </w:rPr>
              <w:t>、资质证书(加盖公章的复印件)(如有则附)；</w:t>
            </w:r>
          </w:p>
          <w:p>
            <w:pPr>
              <w:widowControl/>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、投标人简介（加盖公章）；</w:t>
            </w:r>
          </w:p>
          <w:p>
            <w:pPr>
              <w:widowControl/>
              <w:rPr>
                <w:rFonts w:hint="eastAsia" w:ascii="宋体" w:hAnsi="宋体" w:cs="宋体"/>
                <w:kern w:val="0"/>
              </w:rPr>
            </w:pPr>
            <w:r>
              <w:rPr>
                <w:rFonts w:hint="eastAsia" w:ascii="宋体" w:hAnsi="宋体" w:cs="宋体"/>
                <w:kern w:val="0"/>
              </w:rPr>
              <w:t>4、近三年经营业绩简介（投标人成立不足三年的可从成立之日起）；</w:t>
            </w:r>
          </w:p>
          <w:p>
            <w:pPr>
              <w:widowControl/>
              <w:rPr>
                <w:rFonts w:ascii="宋体" w:hAnsi="宋体" w:cs="宋体"/>
                <w:kern w:val="0"/>
              </w:rPr>
            </w:pPr>
            <w:r>
              <w:rPr>
                <w:rFonts w:hint="eastAsia" w:ascii="宋体" w:hAnsi="宋体" w:cs="宋体"/>
                <w:kern w:val="0"/>
              </w:rPr>
              <w:t>5、</w:t>
            </w:r>
            <w:r>
              <w:rPr>
                <w:rFonts w:hint="eastAsia" w:ascii="仿宋_GB2312" w:hAnsi="仿宋_GB2312" w:eastAsia="仿宋_GB2312" w:cs="仿宋_GB2312"/>
                <w:color w:val="000000"/>
                <w:kern w:val="0"/>
                <w:sz w:val="24"/>
                <w:szCs w:val="24"/>
                <w:highlight w:val="none"/>
              </w:rPr>
              <w:t>近三年财务报表/审计报告/所得税汇算清缴报表（纳税申报表），投标人成立不足三年的可从成立之日起，加盖公章的复印件</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lang w:val="en-US" w:eastAsia="zh-CN"/>
              </w:rPr>
              <w:t>6</w:t>
            </w:r>
            <w:r>
              <w:rPr>
                <w:rFonts w:hint="eastAsia" w:ascii="宋体" w:hAnsi="宋体" w:cs="宋体"/>
                <w:kern w:val="0"/>
              </w:rPr>
              <w:t>、法人代表及授权书（加盖公章的复印件）；</w:t>
            </w:r>
          </w:p>
          <w:p>
            <w:pPr>
              <w:rPr>
                <w:rFonts w:asciiTheme="minorEastAsia" w:hAnsiTheme="minorEastAsia" w:eastAsiaTheme="minorEastAsia"/>
                <w:b/>
                <w:bCs/>
                <w:szCs w:val="21"/>
              </w:rPr>
            </w:pPr>
            <w:r>
              <w:rPr>
                <w:rFonts w:hint="eastAsia" w:ascii="宋体" w:hAnsi="宋体"/>
                <w:b/>
                <w:szCs w:val="21"/>
              </w:rPr>
              <w:t>注意：以上材料请加盖有效公章。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1648" w:type="dxa"/>
            <w:vAlign w:val="center"/>
          </w:tcPr>
          <w:p>
            <w:pPr>
              <w:jc w:val="center"/>
            </w:pPr>
            <w:r>
              <w:rPr>
                <w:rFonts w:hint="eastAsia"/>
              </w:rPr>
              <w:t>★8</w:t>
            </w:r>
          </w:p>
        </w:tc>
        <w:tc>
          <w:tcPr>
            <w:tcW w:w="6660" w:type="dxa"/>
          </w:tcPr>
          <w:p>
            <w:pPr>
              <w:rPr>
                <w:b/>
              </w:rPr>
            </w:pPr>
            <w:r>
              <w:rPr>
                <w:rFonts w:hint="eastAsia"/>
                <w:b/>
              </w:rPr>
              <w:t>投标有效期</w:t>
            </w:r>
          </w:p>
          <w:p>
            <w:pPr>
              <w:rPr>
                <w:i/>
              </w:rPr>
            </w:pPr>
            <w:r>
              <w:rPr>
                <w:rFonts w:hint="eastAsia"/>
              </w:rPr>
              <w:t>投标有效期：九十天。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pPr>
            <w:r>
              <w:rPr>
                <w:rFonts w:hint="eastAsia"/>
              </w:rPr>
              <w:t>★9</w:t>
            </w:r>
          </w:p>
        </w:tc>
        <w:tc>
          <w:tcPr>
            <w:tcW w:w="6660" w:type="dxa"/>
            <w:vAlign w:val="center"/>
          </w:tcPr>
          <w:p>
            <w:pPr>
              <w:rPr>
                <w:rFonts w:ascii="宋体" w:hAnsi="宋体"/>
                <w:b/>
              </w:rPr>
            </w:pPr>
            <w:r>
              <w:rPr>
                <w:rFonts w:hint="eastAsia" w:ascii="宋体" w:hAnsi="宋体"/>
                <w:b/>
              </w:rPr>
              <w:t>投标文件的式样和签署：</w:t>
            </w:r>
          </w:p>
          <w:p>
            <w:r>
              <w:t>正本</w:t>
            </w:r>
            <w:r>
              <w:rPr>
                <w:rFonts w:hint="eastAsia"/>
              </w:rPr>
              <w:t>一</w:t>
            </w:r>
            <w:r>
              <w:t>份，副本</w:t>
            </w:r>
            <w:r>
              <w:rPr>
                <w:rFonts w:hint="eastAsia"/>
              </w:rPr>
              <w:t>四</w:t>
            </w:r>
            <w:r>
              <w:t>份，</w:t>
            </w:r>
            <w:r>
              <w:rPr>
                <w:rFonts w:hint="eastAsia"/>
              </w:rPr>
              <w:t>“开标文件”一份。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2" w:hRule="atLeast"/>
        </w:trPr>
        <w:tc>
          <w:tcPr>
            <w:tcW w:w="8308" w:type="dxa"/>
            <w:gridSpan w:val="2"/>
            <w:vAlign w:val="center"/>
          </w:tcPr>
          <w:p>
            <w:pPr>
              <w:jc w:val="center"/>
              <w:rPr>
                <w:rFonts w:ascii="宋体" w:hAnsi="宋体"/>
                <w:b/>
              </w:rPr>
            </w:pPr>
            <w:r>
              <w:rPr>
                <w:rFonts w:hint="eastAsia" w:ascii="黑体" w:eastAsia="黑体"/>
                <w:sz w:val="24"/>
              </w:rPr>
              <w:t>四、投标文件的递交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shd w:val="clear" w:color="auto" w:fill="auto"/>
            <w:vAlign w:val="center"/>
          </w:tcPr>
          <w:p>
            <w:pPr>
              <w:jc w:val="center"/>
              <w:rPr>
                <w:highlight w:val="none"/>
              </w:rPr>
            </w:pPr>
            <w:r>
              <w:rPr>
                <w:rFonts w:hint="eastAsia"/>
                <w:highlight w:val="none"/>
              </w:rPr>
              <w:t>★10</w:t>
            </w:r>
          </w:p>
        </w:tc>
        <w:tc>
          <w:tcPr>
            <w:tcW w:w="6660" w:type="dxa"/>
            <w:shd w:val="clear" w:color="auto" w:fill="auto"/>
            <w:vAlign w:val="center"/>
          </w:tcPr>
          <w:p>
            <w:pPr>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投标文件递交至：</w:t>
            </w:r>
          </w:p>
          <w:p>
            <w:pPr>
              <w:rPr>
                <w:rFonts w:ascii="宋体" w:hAnsi="宋体"/>
                <w:b/>
                <w:color w:val="000000" w:themeColor="text1"/>
                <w:highlight w:val="none"/>
                <w14:textFill>
                  <w14:solidFill>
                    <w14:schemeClr w14:val="tx1"/>
                  </w14:solidFill>
                </w14:textFill>
              </w:rPr>
            </w:pPr>
            <w:r>
              <w:rPr>
                <w:rFonts w:hint="eastAsia" w:ascii="宋体" w:hAnsi="宋体" w:cs="仿宋_GB2312"/>
                <w:b/>
                <w:color w:val="000000" w:themeColor="text1"/>
                <w:highlight w:val="none"/>
                <w:u w:val="single"/>
                <w14:textFill>
                  <w14:solidFill>
                    <w14:schemeClr w14:val="tx1"/>
                  </w14:solidFill>
                </w14:textFill>
              </w:rPr>
              <w:t>深圳市</w:t>
            </w:r>
            <w:r>
              <w:rPr>
                <w:rFonts w:hint="eastAsia" w:ascii="宋体" w:hAnsi="宋体" w:cs="仿宋_GB2312"/>
                <w:b/>
                <w:color w:val="000000" w:themeColor="text1"/>
                <w:highlight w:val="none"/>
                <w:u w:val="single"/>
                <w:lang w:val="en-US" w:eastAsia="zh-CN"/>
                <w14:textFill>
                  <w14:solidFill>
                    <w14:schemeClr w14:val="tx1"/>
                  </w14:solidFill>
                </w14:textFill>
              </w:rPr>
              <w:t>福田区广电金融中心48楼核心筒</w:t>
            </w:r>
            <w:r>
              <w:rPr>
                <w:rFonts w:hint="eastAsia" w:ascii="宋体" w:hAnsi="宋体" w:cs="仿宋_GB2312"/>
                <w:b/>
                <w:color w:val="000000" w:themeColor="text1"/>
                <w:highlight w:val="none"/>
                <w:u w:val="single"/>
                <w14:textFill>
                  <w14:solidFill>
                    <w14:schemeClr w14:val="tx1"/>
                  </w14:solidFill>
                </w14:textFill>
              </w:rPr>
              <w:t>会议室</w:t>
            </w:r>
            <w:r>
              <w:rPr>
                <w:rFonts w:ascii="宋体" w:hAnsi="宋体" w:cs="仿宋_GB2312"/>
                <w:b/>
                <w:color w:val="000000" w:themeColor="text1"/>
                <w:highlight w:val="none"/>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shd w:val="clear" w:color="auto" w:fill="auto"/>
            <w:vAlign w:val="center"/>
          </w:tcPr>
          <w:p>
            <w:pPr>
              <w:jc w:val="center"/>
              <w:rPr>
                <w:color w:val="000000" w:themeColor="text1"/>
                <w:highlight w:val="none"/>
                <w14:textFill>
                  <w14:solidFill>
                    <w14:schemeClr w14:val="tx1"/>
                  </w14:solidFill>
                </w14:textFill>
              </w:rPr>
            </w:pPr>
            <w:r>
              <w:rPr>
                <w:rFonts w:hint="eastAsia"/>
                <w:highlight w:val="none"/>
              </w:rPr>
              <w:t>★11</w:t>
            </w:r>
          </w:p>
        </w:tc>
        <w:tc>
          <w:tcPr>
            <w:tcW w:w="6660" w:type="dxa"/>
            <w:shd w:val="clear" w:color="auto" w:fill="auto"/>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项目名称、招标编号：</w:t>
            </w:r>
          </w:p>
          <w:p>
            <w:pPr>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项目名称：</w:t>
            </w:r>
            <w:r>
              <w:rPr>
                <w:rFonts w:hint="eastAsia" w:ascii="宋体" w:hAnsi="宋体" w:cs="宋体"/>
                <w:sz w:val="21"/>
                <w:szCs w:val="21"/>
                <w:highlight w:val="none"/>
              </w:rPr>
              <w:t>2024年第十三届深圳动漫节x世纪汇联名活动</w:t>
            </w:r>
            <w:r>
              <w:rPr>
                <w:rFonts w:hint="eastAsia" w:ascii="宋体" w:hAnsi="宋体" w:cs="仿宋_GB2312"/>
                <w:color w:val="000000" w:themeColor="text1"/>
                <w:highlight w:val="none"/>
                <w:u w:val="single"/>
                <w14:textFill>
                  <w14:solidFill>
                    <w14:schemeClr w14:val="tx1"/>
                  </w14:solidFill>
                </w14:textFill>
              </w:rPr>
              <w:t>项目</w:t>
            </w:r>
          </w:p>
          <w:p>
            <w:pPr>
              <w:rPr>
                <w:rFonts w:hint="default" w:eastAsia="宋体"/>
                <w:color w:val="000000" w:themeColor="text1"/>
                <w:highlight w:val="none"/>
                <w:lang w:val="en-US" w:eastAsia="zh-CN"/>
                <w14:textFill>
                  <w14:solidFill>
                    <w14:schemeClr w14:val="tx1"/>
                  </w14:solidFill>
                </w14:textFill>
              </w:rPr>
            </w:pPr>
            <w:r>
              <w:rPr>
                <w:rFonts w:hint="eastAsia"/>
                <w:b/>
                <w:color w:val="000000" w:themeColor="text1"/>
                <w:highlight w:val="none"/>
                <w14:textFill>
                  <w14:solidFill>
                    <w14:schemeClr w14:val="tx1"/>
                  </w14:solidFill>
                </w14:textFill>
              </w:rPr>
              <w:t>招标编号：</w:t>
            </w:r>
            <w:r>
              <w:rPr>
                <w:rFonts w:hint="eastAsia" w:ascii="宋体" w:hAnsi="宋体" w:cs="宋体"/>
                <w:color w:val="000000" w:themeColor="text1"/>
                <w:highlight w:val="none"/>
                <w:lang w:val="en-US" w:eastAsia="zh-CN"/>
                <w14:textFill>
                  <w14:solidFill>
                    <w14:schemeClr w14:val="tx1"/>
                  </w14:solidFill>
                </w14:textFill>
              </w:rPr>
              <w:t>SJZD</w:t>
            </w:r>
            <w:r>
              <w:rPr>
                <w:rFonts w:hint="eastAsia" w:ascii="宋体" w:hAnsi="宋体" w:cs="宋体"/>
                <w:color w:val="000000" w:themeColor="text1"/>
                <w:highlight w:val="none"/>
                <w14:textFill>
                  <w14:solidFill>
                    <w14:schemeClr w14:val="tx1"/>
                  </w14:solidFill>
                </w14:textFill>
              </w:rPr>
              <w:t>-20</w:t>
            </w:r>
            <w:r>
              <w:rPr>
                <w:rFonts w:hint="eastAsia" w:ascii="宋体" w:hAnsi="宋体" w:cs="宋体"/>
                <w:color w:val="000000" w:themeColor="text1"/>
                <w:highlight w:val="none"/>
                <w:lang w:val="en-US" w:eastAsia="zh-CN"/>
                <w14:textFill>
                  <w14:solidFill>
                    <w14:schemeClr w14:val="tx1"/>
                  </w14:solidFill>
                </w14:textFill>
              </w:rPr>
              <w:t>24</w:t>
            </w:r>
            <w:r>
              <w:rPr>
                <w:rFonts w:hint="eastAsia" w:ascii="宋体" w:hAnsi="宋体" w:cs="宋体"/>
                <w:color w:val="000000" w:themeColor="text1"/>
                <w:highlight w:val="none"/>
                <w14:textFill>
                  <w14:solidFill>
                    <w14:schemeClr w14:val="tx1"/>
                  </w14:solidFill>
                </w14:textFill>
              </w:rPr>
              <w:t>0</w:t>
            </w:r>
            <w:r>
              <w:rPr>
                <w:rFonts w:hint="eastAsia" w:ascii="宋体" w:hAnsi="宋体" w:cs="宋体"/>
                <w:color w:val="000000" w:themeColor="text1"/>
                <w:highlight w:val="none"/>
                <w:lang w:val="en-US" w:eastAsia="zh-CN"/>
                <w14:textFill>
                  <w14:solidFill>
                    <w14:schemeClr w14:val="tx1"/>
                  </w14:solidFill>
                </w14:textFill>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shd w:val="clear" w:color="auto" w:fill="auto"/>
            <w:vAlign w:val="center"/>
          </w:tcPr>
          <w:p>
            <w:pPr>
              <w:jc w:val="center"/>
              <w:rPr>
                <w:highlight w:val="none"/>
              </w:rPr>
            </w:pPr>
            <w:r>
              <w:rPr>
                <w:rFonts w:hint="eastAsia"/>
                <w:highlight w:val="none"/>
              </w:rPr>
              <w:t>★12</w:t>
            </w:r>
          </w:p>
        </w:tc>
        <w:tc>
          <w:tcPr>
            <w:tcW w:w="6660" w:type="dxa"/>
            <w:shd w:val="clear" w:color="auto" w:fill="auto"/>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投标截止期：</w:t>
            </w:r>
          </w:p>
          <w:p>
            <w:pPr>
              <w:rPr>
                <w:rFonts w:hint="default" w:eastAsia="宋体"/>
                <w:color w:val="000000" w:themeColor="text1"/>
                <w:highlight w:val="none"/>
                <w:u w:val="single"/>
                <w:lang w:val="en-US" w:eastAsia="zh-CN"/>
                <w14:textFill>
                  <w14:solidFill>
                    <w14:schemeClr w14:val="tx1"/>
                  </w14:solidFill>
                </w14:textFill>
              </w:rPr>
            </w:pPr>
            <w:r>
              <w:rPr>
                <w:rFonts w:hint="eastAsia" w:ascii="宋体" w:hAnsi="宋体" w:cs="仿宋_GB2312"/>
                <w:color w:val="000000" w:themeColor="text1"/>
                <w:highlight w:val="none"/>
                <w:lang w:val="en-US" w:eastAsia="zh-CN"/>
                <w14:textFill>
                  <w14:solidFill>
                    <w14:schemeClr w14:val="tx1"/>
                  </w14:solidFill>
                </w14:textFill>
              </w:rPr>
              <w:t>2024</w:t>
            </w:r>
            <w:r>
              <w:rPr>
                <w:rFonts w:hint="eastAsia" w:ascii="宋体" w:hAnsi="宋体" w:cs="仿宋_GB2312"/>
                <w:color w:val="000000" w:themeColor="text1"/>
                <w:highlight w:val="none"/>
                <w14:textFill>
                  <w14:solidFill>
                    <w14:schemeClr w14:val="tx1"/>
                  </w14:solidFill>
                </w14:textFill>
              </w:rPr>
              <w:t>年</w:t>
            </w:r>
            <w:r>
              <w:rPr>
                <w:rFonts w:hint="eastAsia" w:ascii="宋体" w:hAnsi="宋体" w:cs="仿宋_GB2312"/>
                <w:color w:val="000000" w:themeColor="text1"/>
                <w:highlight w:val="none"/>
                <w:lang w:val="en-US" w:eastAsia="zh-CN"/>
                <w14:textFill>
                  <w14:solidFill>
                    <w14:schemeClr w14:val="tx1"/>
                  </w14:solidFill>
                </w14:textFill>
              </w:rPr>
              <w:t>7</w:t>
            </w:r>
            <w:r>
              <w:rPr>
                <w:rFonts w:hint="eastAsia" w:ascii="宋体" w:hAnsi="宋体" w:cs="仿宋_GB2312"/>
                <w:color w:val="000000" w:themeColor="text1"/>
                <w:highlight w:val="none"/>
                <w14:textFill>
                  <w14:solidFill>
                    <w14:schemeClr w14:val="tx1"/>
                  </w14:solidFill>
                </w14:textFill>
              </w:rPr>
              <w:t>月</w:t>
            </w:r>
            <w:r>
              <w:rPr>
                <w:rFonts w:hint="eastAsia" w:ascii="宋体" w:hAnsi="宋体" w:cs="仿宋_GB2312"/>
                <w:color w:val="000000" w:themeColor="text1"/>
                <w:highlight w:val="none"/>
                <w:lang w:val="en-US" w:eastAsia="zh-CN"/>
                <w14:textFill>
                  <w14:solidFill>
                    <w14:schemeClr w14:val="tx1"/>
                  </w14:solidFill>
                </w14:textFill>
              </w:rPr>
              <w:t>1</w:t>
            </w:r>
            <w:r>
              <w:rPr>
                <w:rFonts w:hint="eastAsia" w:ascii="宋体" w:hAnsi="宋体" w:cs="仿宋_GB2312"/>
                <w:color w:val="000000" w:themeColor="text1"/>
                <w:highlight w:val="none"/>
                <w14:textFill>
                  <w14:solidFill>
                    <w14:schemeClr w14:val="tx1"/>
                  </w14:solidFill>
                </w14:textFill>
              </w:rPr>
              <w:t>日上午</w:t>
            </w:r>
            <w:r>
              <w:rPr>
                <w:rFonts w:hint="eastAsia" w:ascii="宋体" w:hAnsi="宋体" w:cs="仿宋_GB2312"/>
                <w:color w:val="000000" w:themeColor="text1"/>
                <w:highlight w:val="none"/>
                <w:lang w:val="en-US" w:eastAsia="zh-CN"/>
                <w14:textFill>
                  <w14:solidFill>
                    <w14:schemeClr w14:val="tx1"/>
                  </w14:solidFill>
                </w14:textFill>
              </w:rPr>
              <w:t>9:30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trPr>
        <w:tc>
          <w:tcPr>
            <w:tcW w:w="8308" w:type="dxa"/>
            <w:gridSpan w:val="2"/>
            <w:vAlign w:val="center"/>
          </w:tcPr>
          <w:p>
            <w:pPr>
              <w:jc w:val="center"/>
              <w:rPr>
                <w:b/>
              </w:rPr>
            </w:pPr>
            <w:r>
              <w:rPr>
                <w:rFonts w:hint="eastAsia" w:ascii="黑体" w:eastAsia="黑体"/>
                <w:sz w:val="24"/>
              </w:rPr>
              <w:t>五、开标与评标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48" w:type="dxa"/>
            <w:vAlign w:val="center"/>
          </w:tcPr>
          <w:p>
            <w:pPr>
              <w:jc w:val="center"/>
              <w:rPr>
                <w:color w:val="000000" w:themeColor="text1"/>
                <w14:textFill>
                  <w14:solidFill>
                    <w14:schemeClr w14:val="tx1"/>
                  </w14:solidFill>
                </w14:textFill>
              </w:rPr>
            </w:pPr>
            <w:r>
              <w:rPr>
                <w:rFonts w:hint="eastAsia"/>
              </w:rPr>
              <w:t>★</w:t>
            </w:r>
            <w:r>
              <w:rPr>
                <w:rFonts w:hint="eastAsia"/>
                <w:color w:val="000000" w:themeColor="text1"/>
                <w14:textFill>
                  <w14:solidFill>
                    <w14:schemeClr w14:val="tx1"/>
                  </w14:solidFill>
                </w14:textFill>
              </w:rPr>
              <w:t>13</w:t>
            </w:r>
          </w:p>
        </w:tc>
        <w:tc>
          <w:tcPr>
            <w:tcW w:w="6660" w:type="dxa"/>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开标日期和时间：</w:t>
            </w:r>
          </w:p>
          <w:p>
            <w:pPr>
              <w:rPr>
                <w:rFonts w:hint="eastAsia"/>
                <w:b/>
                <w:color w:val="000000" w:themeColor="text1"/>
                <w:highlight w:val="none"/>
                <w14:textFill>
                  <w14:solidFill>
                    <w14:schemeClr w14:val="tx1"/>
                  </w14:solidFill>
                </w14:textFill>
              </w:rPr>
            </w:pPr>
            <w:r>
              <w:rPr>
                <w:rFonts w:hint="eastAsia" w:ascii="宋体" w:hAnsi="宋体" w:cs="仿宋_GB2312"/>
                <w:color w:val="000000" w:themeColor="text1"/>
                <w:highlight w:val="none"/>
                <w:lang w:val="en-US" w:eastAsia="zh-CN"/>
                <w14:textFill>
                  <w14:solidFill>
                    <w14:schemeClr w14:val="tx1"/>
                  </w14:solidFill>
                </w14:textFill>
              </w:rPr>
              <w:t>2024</w:t>
            </w:r>
            <w:r>
              <w:rPr>
                <w:rFonts w:hint="eastAsia" w:ascii="宋体" w:hAnsi="宋体" w:cs="仿宋_GB2312"/>
                <w:color w:val="000000" w:themeColor="text1"/>
                <w:highlight w:val="none"/>
                <w14:textFill>
                  <w14:solidFill>
                    <w14:schemeClr w14:val="tx1"/>
                  </w14:solidFill>
                </w14:textFill>
              </w:rPr>
              <w:t>年</w:t>
            </w:r>
            <w:r>
              <w:rPr>
                <w:rFonts w:hint="eastAsia" w:ascii="宋体" w:hAnsi="宋体" w:cs="仿宋_GB2312"/>
                <w:color w:val="000000" w:themeColor="text1"/>
                <w:highlight w:val="none"/>
                <w:lang w:val="en-US" w:eastAsia="zh-CN"/>
                <w14:textFill>
                  <w14:solidFill>
                    <w14:schemeClr w14:val="tx1"/>
                  </w14:solidFill>
                </w14:textFill>
              </w:rPr>
              <w:t>7</w:t>
            </w:r>
            <w:r>
              <w:rPr>
                <w:rFonts w:hint="eastAsia" w:ascii="宋体" w:hAnsi="宋体" w:cs="仿宋_GB2312"/>
                <w:color w:val="000000" w:themeColor="text1"/>
                <w:highlight w:val="none"/>
                <w14:textFill>
                  <w14:solidFill>
                    <w14:schemeClr w14:val="tx1"/>
                  </w14:solidFill>
                </w14:textFill>
              </w:rPr>
              <w:t>月</w:t>
            </w:r>
            <w:r>
              <w:rPr>
                <w:rFonts w:hint="eastAsia" w:ascii="宋体" w:hAnsi="宋体" w:cs="仿宋_GB2312"/>
                <w:color w:val="000000" w:themeColor="text1"/>
                <w:highlight w:val="none"/>
                <w:lang w:val="en-US" w:eastAsia="zh-CN"/>
                <w14:textFill>
                  <w14:solidFill>
                    <w14:schemeClr w14:val="tx1"/>
                  </w14:solidFill>
                </w14:textFill>
              </w:rPr>
              <w:t>1</w:t>
            </w:r>
            <w:r>
              <w:rPr>
                <w:rFonts w:hint="eastAsia" w:ascii="宋体" w:hAnsi="宋体" w:cs="仿宋_GB2312"/>
                <w:color w:val="000000" w:themeColor="text1"/>
                <w:highlight w:val="none"/>
                <w14:textFill>
                  <w14:solidFill>
                    <w14:schemeClr w14:val="tx1"/>
                  </w14:solidFill>
                </w14:textFill>
              </w:rPr>
              <w:t>日上午</w:t>
            </w:r>
            <w:r>
              <w:rPr>
                <w:rFonts w:hint="eastAsia" w:ascii="宋体" w:hAnsi="宋体" w:cs="仿宋_GB2312"/>
                <w:color w:val="000000" w:themeColor="text1"/>
                <w:highlight w:val="none"/>
                <w:lang w:val="en-US" w:eastAsia="zh-CN"/>
                <w14:textFill>
                  <w14:solidFill>
                    <w14:schemeClr w14:val="tx1"/>
                  </w14:solidFill>
                </w14:textFill>
              </w:rPr>
              <w:t>9:30</w:t>
            </w:r>
          </w:p>
          <w:p>
            <w:pPr>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开标地点：</w:t>
            </w:r>
          </w:p>
          <w:p>
            <w:pPr>
              <w:rPr>
                <w:b/>
                <w:color w:val="000000" w:themeColor="text1"/>
                <w14:textFill>
                  <w14:solidFill>
                    <w14:schemeClr w14:val="tx1"/>
                  </w14:solidFill>
                </w14:textFill>
              </w:rPr>
            </w:pPr>
            <w:r>
              <w:rPr>
                <w:rFonts w:hint="eastAsia" w:ascii="宋体" w:hAnsi="宋体" w:cs="仿宋_GB2312"/>
                <w:b/>
                <w:color w:val="000000" w:themeColor="text1"/>
                <w:highlight w:val="none"/>
                <w:u w:val="single"/>
                <w14:textFill>
                  <w14:solidFill>
                    <w14:schemeClr w14:val="tx1"/>
                  </w14:solidFill>
                </w14:textFill>
              </w:rPr>
              <w:t>深圳市</w:t>
            </w:r>
            <w:r>
              <w:rPr>
                <w:rFonts w:hint="eastAsia" w:ascii="宋体" w:hAnsi="宋体" w:cs="仿宋_GB2312"/>
                <w:b/>
                <w:color w:val="000000" w:themeColor="text1"/>
                <w:highlight w:val="none"/>
                <w:u w:val="single"/>
                <w:lang w:val="en-US" w:eastAsia="zh-CN"/>
                <w14:textFill>
                  <w14:solidFill>
                    <w14:schemeClr w14:val="tx1"/>
                  </w14:solidFill>
                </w14:textFill>
              </w:rPr>
              <w:t>福田区广电金融中心48楼核心筒</w:t>
            </w:r>
            <w:r>
              <w:rPr>
                <w:rFonts w:hint="eastAsia" w:ascii="宋体" w:hAnsi="宋体" w:cs="仿宋_GB2312"/>
                <w:b/>
                <w:color w:val="000000" w:themeColor="text1"/>
                <w:highlight w:val="none"/>
                <w:u w:val="single"/>
                <w14:textFill>
                  <w14:solidFill>
                    <w14:schemeClr w14:val="tx1"/>
                  </w14:solidFill>
                </w14:textFill>
              </w:rPr>
              <w:t>会议室</w:t>
            </w:r>
            <w:r>
              <w:rPr>
                <w:rFonts w:ascii="宋体" w:hAnsi="宋体" w:cs="仿宋_GB2312"/>
                <w:b/>
                <w:color w:val="000000" w:themeColor="text1"/>
                <w:highlight w:val="none"/>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1648" w:type="dxa"/>
            <w:vAlign w:val="center"/>
          </w:tcPr>
          <w:p>
            <w:pPr>
              <w:jc w:val="center"/>
            </w:pPr>
            <w:r>
              <w:rPr>
                <w:rFonts w:hint="eastAsia"/>
              </w:rPr>
              <w:t>★14</w:t>
            </w:r>
          </w:p>
        </w:tc>
        <w:tc>
          <w:tcPr>
            <w:tcW w:w="6660" w:type="dxa"/>
            <w:vAlign w:val="center"/>
          </w:tcPr>
          <w:p>
            <w:pPr>
              <w:rPr>
                <w:rFonts w:ascii="宋体" w:hAnsi="宋体"/>
              </w:rPr>
            </w:pPr>
            <w:r>
              <w:rPr>
                <w:rFonts w:hint="eastAsia" w:ascii="宋体" w:hAnsi="宋体"/>
                <w:b/>
              </w:rPr>
              <w:t>本项目评标方法</w:t>
            </w:r>
            <w:r>
              <w:rPr>
                <w:rFonts w:hint="eastAsia" w:ascii="宋体" w:hAnsi="宋体"/>
              </w:rPr>
              <w:t>：</w:t>
            </w:r>
          </w:p>
          <w:p>
            <w:r>
              <w:rPr>
                <w:rFonts w:hint="eastAsia"/>
              </w:rPr>
              <w:t>综合评估法定标（见附表一）</w:t>
            </w:r>
          </w:p>
        </w:tc>
      </w:tr>
    </w:tbl>
    <w:p/>
    <w:p>
      <w:r>
        <w:rPr>
          <w:rFonts w:hint="eastAsia"/>
        </w:rPr>
        <w:t>附表一：</w:t>
      </w:r>
      <w:bookmarkStart w:id="16" w:name="_Toc278278803"/>
      <w:bookmarkStart w:id="17" w:name="_Toc360961197"/>
    </w:p>
    <w:bookmarkEnd w:id="16"/>
    <w:bookmarkEnd w:id="17"/>
    <w:p>
      <w:pPr>
        <w:keepNext/>
        <w:spacing w:line="360" w:lineRule="auto"/>
        <w:jc w:val="center"/>
        <w:rPr>
          <w:rFonts w:ascii="黑体" w:hAnsi="宋体" w:eastAsia="黑体"/>
          <w:sz w:val="28"/>
          <w:szCs w:val="28"/>
        </w:rPr>
      </w:pPr>
      <w:r>
        <w:rPr>
          <w:rFonts w:hint="eastAsia" w:ascii="黑体" w:hAnsi="宋体" w:eastAsia="黑体"/>
          <w:sz w:val="28"/>
          <w:szCs w:val="28"/>
        </w:rPr>
        <w:t>定标方法和权重分值</w:t>
      </w:r>
    </w:p>
    <w:p>
      <w:pPr>
        <w:keepNext/>
        <w:spacing w:line="360" w:lineRule="auto"/>
        <w:rPr>
          <w:rFonts w:ascii="黑体" w:hAnsi="宋体" w:eastAsia="黑体"/>
          <w:sz w:val="24"/>
        </w:rPr>
      </w:pPr>
      <w:r>
        <w:rPr>
          <w:rFonts w:ascii="黑体" w:hAnsi="宋体" w:eastAsia="黑体"/>
          <w:sz w:val="24"/>
        </w:rPr>
        <w:t>符合性检查</w:t>
      </w:r>
      <w:r>
        <w:rPr>
          <w:rFonts w:hint="eastAsia" w:ascii="黑体" w:hAnsi="宋体" w:eastAsia="黑体"/>
          <w:sz w:val="24"/>
        </w:rPr>
        <w:t>表：</w:t>
      </w:r>
    </w:p>
    <w:tbl>
      <w:tblPr>
        <w:tblStyle w:val="19"/>
        <w:tblW w:w="11766" w:type="dxa"/>
        <w:tblInd w:w="-1593" w:type="dxa"/>
        <w:tblLayout w:type="fixed"/>
        <w:tblCellMar>
          <w:top w:w="0" w:type="dxa"/>
          <w:left w:w="108" w:type="dxa"/>
          <w:bottom w:w="0" w:type="dxa"/>
          <w:right w:w="108" w:type="dxa"/>
        </w:tblCellMar>
      </w:tblPr>
      <w:tblGrid>
        <w:gridCol w:w="11766"/>
      </w:tblGrid>
      <w:tr>
        <w:tblPrEx>
          <w:tblCellMar>
            <w:top w:w="0" w:type="dxa"/>
            <w:left w:w="108" w:type="dxa"/>
            <w:bottom w:w="0" w:type="dxa"/>
            <w:right w:w="108" w:type="dxa"/>
          </w:tblCellMar>
        </w:tblPrEx>
        <w:tc>
          <w:tcPr>
            <w:tcW w:w="11766" w:type="dxa"/>
          </w:tcPr>
          <w:tbl>
            <w:tblPr>
              <w:tblStyle w:val="19"/>
              <w:tblW w:w="7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55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spacing w:line="400" w:lineRule="exact"/>
                    <w:jc w:val="center"/>
                    <w:rPr>
                      <w:rFonts w:hAnsi="宋体"/>
                    </w:rPr>
                  </w:pPr>
                  <w:r>
                    <w:rPr>
                      <w:rFonts w:hint="eastAsia" w:hAnsi="宋体"/>
                    </w:rPr>
                    <w:t>序号</w:t>
                  </w:r>
                </w:p>
              </w:tc>
              <w:tc>
                <w:tcPr>
                  <w:tcW w:w="5580" w:type="dxa"/>
                  <w:vAlign w:val="center"/>
                </w:tcPr>
                <w:p>
                  <w:pPr>
                    <w:spacing w:line="400" w:lineRule="exact"/>
                    <w:ind w:left="-828" w:firstLine="828"/>
                    <w:jc w:val="center"/>
                    <w:rPr>
                      <w:sz w:val="24"/>
                    </w:rPr>
                  </w:pPr>
                  <w:r>
                    <w:rPr>
                      <w:rFonts w:hAnsi="宋体"/>
                    </w:rPr>
                    <w:t>评议</w:t>
                  </w:r>
                  <w:r>
                    <w:rPr>
                      <w:rFonts w:hint="eastAsia" w:hAnsi="宋体"/>
                    </w:rPr>
                    <w:t>内容</w:t>
                  </w:r>
                </w:p>
              </w:tc>
              <w:tc>
                <w:tcPr>
                  <w:tcW w:w="1440" w:type="dxa"/>
                  <w:vAlign w:val="center"/>
                </w:tcPr>
                <w:p>
                  <w:pPr>
                    <w:spacing w:line="400" w:lineRule="exact"/>
                    <w:ind w:left="44" w:hanging="44"/>
                    <w:jc w:val="center"/>
                    <w:rPr>
                      <w:sz w:val="24"/>
                    </w:rPr>
                  </w:pPr>
                  <w:r>
                    <w:rPr>
                      <w:rFonts w:hAnsi="宋体"/>
                    </w:rPr>
                    <w:t>评议</w:t>
                  </w:r>
                  <w:r>
                    <w:rPr>
                      <w:rFonts w:hint="eastAsia" w:hAnsi="宋体"/>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szCs w:val="21"/>
                    </w:rPr>
                  </w:pPr>
                  <w:r>
                    <w:rPr>
                      <w:rFonts w:hint="eastAsia" w:ascii="宋体" w:hAnsi="宋体" w:eastAsia="宋体" w:cs="宋体"/>
                      <w:szCs w:val="21"/>
                    </w:rPr>
                    <w:t>投标人的合格性（见投标人须知：“合格的投标人”及本章“投标文件否决性条款摘要”要求）</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rPr>
                    <w:t>投标的有效性:是否按要求由法定代表人或授权代表签署和加盖公章</w:t>
                  </w:r>
                </w:p>
              </w:tc>
              <w:tc>
                <w:tcPr>
                  <w:tcW w:w="144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rPr>
                    <w:t>投标有效期（开标日起九十个日历日）</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highlight w:val="none"/>
                    </w:rPr>
                    <w:t>投标书</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Cs w:val="21"/>
                    </w:rPr>
                  </w:pPr>
                  <w:r>
                    <w:rPr>
                      <w:rFonts w:hint="eastAsia" w:ascii="宋体" w:hAnsi="宋体" w:eastAsia="宋体" w:cs="宋体"/>
                      <w:color w:val="auto"/>
                      <w:kern w:val="0"/>
                      <w:szCs w:val="21"/>
                      <w:highlight w:val="none"/>
                      <w:lang w:val="zh-CN"/>
                    </w:rPr>
                    <w:t>合格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 w:val="24"/>
                    </w:rPr>
                  </w:pPr>
                  <w:r>
                    <w:rPr>
                      <w:rFonts w:hint="eastAsia" w:ascii="宋体" w:hAnsi="宋体" w:cs="宋体"/>
                      <w:szCs w:val="21"/>
                      <w:highlight w:val="none"/>
                      <w:shd w:val="clear" w:fill="FFFF00"/>
                      <w:lang w:eastAsia="zh-CN"/>
                    </w:rPr>
                    <w:t>投标保证金（如不需要则删除本条）</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Ansi="宋体"/>
                    </w:rPr>
                  </w:pPr>
                  <w:r>
                    <w:rPr>
                      <w:rFonts w:hint="eastAsia" w:ascii="宋体" w:hAnsi="宋体" w:eastAsia="宋体" w:cs="宋体"/>
                      <w:szCs w:val="21"/>
                    </w:rPr>
                    <w:t>法定代表人证明书/法定代表人授权书</w:t>
                  </w:r>
                </w:p>
              </w:tc>
              <w:tc>
                <w:tcPr>
                  <w:tcW w:w="1440" w:type="dxa"/>
                  <w:shd w:val="clear" w:color="auto" w:fill="auto"/>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highlight w:val="none"/>
                    </w:rPr>
                    <w:t>股权关系证明文件</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Ansi="宋体"/>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rPr>
                    <w:t>提供工商营业执照副本复印件(加盖公章)</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rPr>
                    <w:t>近三年经营业绩简介（投标人成立不足三年的可从成立之日起）</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仿宋_GB2312" w:hAnsi="仿宋_GB2312" w:eastAsia="仿宋_GB2312" w:cs="仿宋_GB2312"/>
                      <w:color w:val="000000"/>
                      <w:kern w:val="0"/>
                      <w:sz w:val="24"/>
                      <w:szCs w:val="24"/>
                      <w:highlight w:val="none"/>
                    </w:rPr>
                    <w:t>近三年财务报表/审计报告/所得税汇算清缴报表（纳税申报表），投标人成立不足三年的可从成立之日起，加盖公章的复印件。</w:t>
                  </w:r>
                </w:p>
              </w:tc>
              <w:tc>
                <w:tcPr>
                  <w:tcW w:w="1440" w:type="dxa"/>
                  <w:vAlign w:val="center"/>
                </w:tcPr>
                <w:p>
                  <w:pPr>
                    <w:pageBreakBefore w:val="0"/>
                    <w:kinsoku/>
                    <w:wordWrap/>
                    <w:overflowPunct/>
                    <w:topLinePunct w:val="0"/>
                    <w:bidi w:val="0"/>
                    <w:spacing w:line="360" w:lineRule="auto"/>
                    <w:ind w:left="0" w:leftChars="0" w:right="0" w:rightChars="0" w:firstLine="0" w:firstLineChars="0"/>
                    <w:rPr>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szCs w:val="21"/>
                    </w:rPr>
                  </w:pPr>
                  <w:r>
                    <w:rPr>
                      <w:rFonts w:hint="eastAsia" w:ascii="宋体" w:hAnsi="宋体" w:eastAsia="宋体" w:cs="宋体"/>
                      <w:szCs w:val="21"/>
                      <w:highlight w:val="none"/>
                    </w:rPr>
                    <w:t>提供投标文件电子文档</w:t>
                  </w:r>
                </w:p>
              </w:tc>
              <w:tc>
                <w:tcPr>
                  <w:tcW w:w="1440" w:type="dxa"/>
                  <w:vAlign w:val="top"/>
                </w:tcPr>
                <w:p>
                  <w:pPr>
                    <w:pageBreakBefore w:val="0"/>
                    <w:kinsoku/>
                    <w:wordWrap/>
                    <w:overflowPunct/>
                    <w:topLinePunct w:val="0"/>
                    <w:bidi w:val="0"/>
                    <w:spacing w:line="360" w:lineRule="auto"/>
                    <w:ind w:left="0" w:leftChars="0" w:right="0" w:rightChars="0" w:firstLine="0" w:firstLineChars="0"/>
                    <w:rPr>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项目控制金额：投标报价超出控制金额的投标将不被接受。</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提供技术文件：各类方案及响应/偏离表</w:t>
                  </w:r>
                </w:p>
              </w:tc>
              <w:tc>
                <w:tcPr>
                  <w:tcW w:w="1440" w:type="dxa"/>
                  <w:vAlign w:val="top"/>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7" w:type="dxa"/>
                  <w:vAlign w:val="center"/>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提供商务文件：商务条款响应/偏离表</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投标分项报价表</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无重大违法记录的声明函</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numPr>
                      <w:ilvl w:val="0"/>
                      <w:numId w:val="3"/>
                    </w:numPr>
                    <w:spacing w:line="400" w:lineRule="exact"/>
                    <w:jc w:val="center"/>
                    <w:rPr>
                      <w:rFonts w:hAnsi="宋体"/>
                    </w:rPr>
                  </w:pPr>
                </w:p>
              </w:tc>
              <w:tc>
                <w:tcPr>
                  <w:tcW w:w="5580"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工期承诺</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numPr>
                      <w:ilvl w:val="0"/>
                      <w:numId w:val="3"/>
                    </w:numPr>
                    <w:spacing w:line="400" w:lineRule="exact"/>
                    <w:jc w:val="center"/>
                    <w:rPr>
                      <w:rFonts w:hAnsi="宋体"/>
                    </w:rPr>
                  </w:pPr>
                </w:p>
              </w:tc>
              <w:tc>
                <w:tcPr>
                  <w:tcW w:w="5580"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szCs w:val="21"/>
                    </w:rPr>
                    <w:t>结论（合格/不合格）</w:t>
                  </w:r>
                </w:p>
              </w:tc>
              <w:tc>
                <w:tcPr>
                  <w:tcW w:w="1440" w:type="dxa"/>
                  <w:vAlign w:val="center"/>
                </w:tcPr>
                <w:p>
                  <w:pPr>
                    <w:pageBreakBefore w:val="0"/>
                    <w:kinsoku/>
                    <w:wordWrap/>
                    <w:overflowPunct/>
                    <w:topLinePunct w:val="0"/>
                    <w:bidi w:val="0"/>
                    <w:spacing w:line="360" w:lineRule="auto"/>
                    <w:ind w:left="0" w:leftChars="0" w:right="0" w:rightChars="0" w:firstLine="0" w:firstLineChars="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通过/不通过</w:t>
                  </w:r>
                </w:p>
              </w:tc>
            </w:tr>
          </w:tbl>
          <w:p>
            <w:pPr>
              <w:spacing w:line="360" w:lineRule="auto"/>
              <w:rPr>
                <w:rFonts w:ascii="宋体" w:hAnsi="宋体"/>
              </w:rPr>
            </w:pPr>
          </w:p>
        </w:tc>
      </w:tr>
    </w:tbl>
    <w:p>
      <w:pPr>
        <w:keepNext/>
        <w:spacing w:line="360" w:lineRule="auto"/>
        <w:rPr>
          <w:rFonts w:ascii="黑体" w:hAnsi="宋体" w:eastAsia="黑体"/>
          <w:sz w:val="24"/>
        </w:rPr>
      </w:pPr>
      <w:r>
        <w:rPr>
          <w:rFonts w:hint="eastAsia" w:ascii="黑体" w:hAnsi="宋体" w:eastAsia="黑体"/>
          <w:sz w:val="24"/>
        </w:rPr>
        <w:t>综合评估法</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招标人组建定标委员会，定标委员会成员对所有进入定标程序的按下列规定对投标人进行排名。监督小组应对定标工作全过程进行监督。</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招标人依据评标结果对进入定标程序的各投标单位的投标报价计算得分并对评标专家意见进行分类汇总。</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定标委员会根据投标单位的</w:t>
      </w:r>
      <w:r>
        <w:rPr>
          <w:rFonts w:hint="eastAsia" w:ascii="宋体" w:hAnsi="宋体" w:cs="宋体"/>
          <w:b/>
          <w:bCs/>
          <w:color w:val="000000" w:themeColor="text1"/>
          <w:szCs w:val="21"/>
          <w14:textFill>
            <w14:solidFill>
              <w14:schemeClr w14:val="tx1"/>
            </w14:solidFill>
          </w14:textFill>
        </w:rPr>
        <w:t>技术标得分（权重为</w:t>
      </w:r>
      <w:r>
        <w:rPr>
          <w:rFonts w:hint="eastAsia" w:ascii="宋体" w:hAnsi="宋体" w:cs="宋体"/>
          <w:b/>
          <w:bCs/>
          <w:color w:val="000000" w:themeColor="text1"/>
          <w:szCs w:val="21"/>
          <w:lang w:val="en-US" w:eastAsia="zh-CN"/>
          <w14:textFill>
            <w14:solidFill>
              <w14:schemeClr w14:val="tx1"/>
            </w14:solidFill>
          </w14:textFill>
        </w:rPr>
        <w:t>15</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商务得分（权重为</w:t>
      </w:r>
      <w:r>
        <w:rPr>
          <w:rFonts w:hint="eastAsia" w:ascii="宋体" w:hAnsi="宋体" w:cs="宋体"/>
          <w:b/>
          <w:bCs/>
          <w:color w:val="000000" w:themeColor="text1"/>
          <w:szCs w:val="21"/>
          <w:lang w:val="en-US" w:eastAsia="zh-CN"/>
          <w14:textFill>
            <w14:solidFill>
              <w14:schemeClr w14:val="tx1"/>
            </w14:solidFill>
          </w14:textFill>
        </w:rPr>
        <w:t>25</w:t>
      </w:r>
      <w:r>
        <w:rPr>
          <w:rFonts w:hint="eastAsia" w:ascii="宋体" w:hAnsi="宋体" w:cs="宋体"/>
          <w:b/>
          <w:bCs/>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以及</w:t>
      </w:r>
      <w:r>
        <w:rPr>
          <w:rFonts w:hint="eastAsia" w:ascii="宋体" w:hAnsi="宋体" w:cs="宋体"/>
          <w:b/>
          <w:bCs/>
          <w:color w:val="000000" w:themeColor="text1"/>
          <w:szCs w:val="21"/>
          <w14:textFill>
            <w14:solidFill>
              <w14:schemeClr w14:val="tx1"/>
            </w14:solidFill>
          </w14:textFill>
        </w:rPr>
        <w:t>投标报价得分（权重为60%）</w:t>
      </w:r>
      <w:r>
        <w:rPr>
          <w:rFonts w:hint="eastAsia" w:ascii="宋体" w:hAnsi="宋体" w:cs="宋体"/>
          <w:color w:val="000000" w:themeColor="text1"/>
          <w:szCs w:val="21"/>
          <w14:textFill>
            <w14:solidFill>
              <w14:schemeClr w14:val="tx1"/>
            </w14:solidFill>
          </w14:textFill>
        </w:rPr>
        <w:t>对投标单位加权计算总得分，由高至低排名，排名第一的投标人确定为中标人。</w:t>
      </w:r>
    </w:p>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中标价以该中标人的投标报价为准。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注：定标基本程序</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1、技术得分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ind w:firstLine="420" w:firstLineChars="200"/>
        <w:outlineLvl w:val="0"/>
        <w:rPr>
          <w:rFonts w:ascii="宋体" w:hAnsi="宋体" w:cs="宋体"/>
          <w:color w:val="000000" w:themeColor="text1"/>
          <w:szCs w:val="21"/>
          <w14:textFill>
            <w14:solidFill>
              <w14:schemeClr w14:val="tx1"/>
            </w14:solidFill>
          </w14:textFill>
        </w:rPr>
      </w:pPr>
      <w:bookmarkStart w:id="18" w:name="_Toc6767"/>
      <w:bookmarkStart w:id="19" w:name="_Toc23341"/>
      <w:bookmarkStart w:id="20" w:name="_Toc659"/>
      <w:r>
        <w:rPr>
          <w:rFonts w:hint="eastAsia" w:ascii="宋体" w:hAnsi="宋体" w:cs="宋体"/>
          <w:color w:val="000000" w:themeColor="text1"/>
          <w:szCs w:val="21"/>
          <w14:textFill>
            <w14:solidFill>
              <w14:schemeClr w14:val="tx1"/>
            </w14:solidFill>
          </w14:textFill>
        </w:rPr>
        <w:t>2、商务得分</w:t>
      </w:r>
      <w:bookmarkEnd w:id="18"/>
      <w:bookmarkEnd w:id="19"/>
      <w:bookmarkEnd w:id="20"/>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由定标委员会各成员根据评标结果和自己的专业判断对进入定标程序的各投标单位进行打分。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3、投标报价得分</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 [1-（Sn-S1）/S1]×</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w:t>
      </w:r>
    </w:p>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Sn为各投标人的投标报价</w:t>
      </w:r>
    </w:p>
    <w:p>
      <w:pPr>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S1为</w:t>
      </w:r>
      <w:r>
        <w:rPr>
          <w:rFonts w:hint="eastAsia" w:ascii="宋体" w:hAnsi="宋体" w:cs="宋体"/>
          <w:color w:val="000000" w:themeColor="text1"/>
          <w:szCs w:val="21"/>
          <w14:textFill>
            <w14:solidFill>
              <w14:schemeClr w14:val="tx1"/>
            </w14:solidFill>
          </w14:textFill>
        </w:rPr>
        <w:t>进入定标程序的各投标人的投标报价中的</w:t>
      </w:r>
      <w:r>
        <w:rPr>
          <w:rFonts w:ascii="宋体" w:hAnsi="宋体" w:cs="宋体"/>
          <w:color w:val="000000" w:themeColor="text1"/>
          <w:szCs w:val="21"/>
          <w14:textFill>
            <w14:solidFill>
              <w14:schemeClr w14:val="tx1"/>
            </w14:solidFill>
          </w14:textFill>
        </w:rPr>
        <w:t>最低报价，得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0分。</w:t>
      </w:r>
    </w:p>
    <w:p>
      <w:pPr>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t>此处规定当（Sn-S1）≥S1时，即Sn≥2S1时最低得零分（不取负分）。</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具体评分标准如下表所示：</w:t>
      </w:r>
    </w:p>
    <w:tbl>
      <w:tblPr>
        <w:tblStyle w:val="19"/>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投标报价得分=(评标基准价／投标报价) ×</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四舍五入至小数点后2位。（报价为含税价）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分，差得0-</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根据各投标文件中项目实施应急措施方案完整具体程度，进行综合评价，</w:t>
            </w:r>
            <w:r>
              <w:rPr>
                <w:rFonts w:hint="eastAsia" w:ascii="仿宋_GB2312" w:hAnsi="仿宋_GB2312" w:eastAsia="仿宋_GB2312" w:cs="仿宋_GB2312"/>
                <w:color w:val="000000"/>
                <w:kern w:val="0"/>
                <w:sz w:val="24"/>
                <w:szCs w:val="24"/>
                <w:lang w:val="en-US" w:eastAsia="zh-CN"/>
              </w:rPr>
              <w:t>最高得2分。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分，差得0分。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25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评审标准：考察投标人（20</w:t>
            </w:r>
            <w:r>
              <w:rPr>
                <w:rFonts w:hint="eastAsia" w:ascii="仿宋_GB2312" w:hAnsi="仿宋_GB2312" w:eastAsia="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年1月1日至本项目投标截标之日）同类业绩情况：</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1、投标人每提供一个有效的</w:t>
            </w:r>
            <w:r>
              <w:rPr>
                <w:rFonts w:hint="eastAsia" w:ascii="仿宋_GB2312" w:hAnsi="仿宋_GB2312" w:eastAsia="仿宋_GB2312" w:cs="仿宋_GB2312"/>
                <w:b/>
                <w:bCs/>
                <w:color w:val="000000"/>
                <w:kern w:val="0"/>
                <w:sz w:val="24"/>
                <w:szCs w:val="24"/>
                <w:highlight w:val="none"/>
              </w:rPr>
              <w:t>同类业绩</w:t>
            </w:r>
            <w:r>
              <w:rPr>
                <w:rFonts w:hint="eastAsia" w:ascii="仿宋_GB2312" w:hAnsi="仿宋_GB2312" w:eastAsia="仿宋_GB2312" w:cs="仿宋_GB2312"/>
                <w:color w:val="000000"/>
                <w:kern w:val="0"/>
                <w:sz w:val="24"/>
                <w:szCs w:val="24"/>
                <w:highlight w:val="none"/>
              </w:rPr>
              <w:t>即得</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分，以此类推，最多得</w:t>
            </w: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2、同类业绩中合同金额达人民币10万元（含10万元）以上得1分；20万元（含20万元）以上得2分；最多得</w:t>
            </w: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注：有效的同类业绩证明文件：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1、近三年财务报表/审计报告/所得税汇算清缴报表（纳税申报表），投标人成立不足三年的可从成立之日起，加盖公章的复印件</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显示无亏损的投标人，得</w:t>
            </w: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分；每有一年亏损的扣</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分。成立不足三年的供应商，可从成立时间开始提供。评定标准以评标委员会意见为准。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提交材料满足下列条件之一的可视为有效文件予以加分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1.财务报表及包含税局业务章的企业所得税月（季）度预缴纳税申报表（第四季度）</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2.财务报表及包含税局业务章的企业所得税年度纳税申报表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highlight w:val="none"/>
              </w:rPr>
              <w:t>3.审计报告（含事务所盖章，注册会计师签章及审计财报页面）</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1、投标人公司注册资金在人民币500万（含500万）以上，得1分；最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2、投标人公司成立时间在3年（含3年）以上，得1分</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3、投标人每提供一个有效的相关行业资质证书即得1分，最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提供上年度公司社保证明，得1分。</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、在此网站提供基本信息、许可经营信息。</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color w:val="000000"/>
                <w:kern w:val="0"/>
                <w:sz w:val="24"/>
                <w:szCs w:val="24"/>
                <w:highlight w:val="none"/>
              </w:rPr>
              <w:t>https://amr.sz.gov.cn/outer/mobile/gs.html，得1分，最高得1分。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提供资质证书复印件且证书在有效期内。评定标准以评标委员会意见为准。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rPr>
          <w:color w:val="000000" w:themeColor="text1"/>
          <w14:textFill>
            <w14:solidFill>
              <w14:schemeClr w14:val="tx1"/>
            </w14:solidFill>
          </w14:textFill>
        </w:rPr>
      </w:pPr>
    </w:p>
    <w:p>
      <w:pPr>
        <w:widowControl/>
        <w:jc w:val="left"/>
        <w:rPr>
          <w:rFonts w:ascii="黑体" w:eastAsia="黑体"/>
          <w:sz w:val="44"/>
          <w:szCs w:val="44"/>
        </w:rPr>
      </w:pPr>
      <w:r>
        <w:rPr>
          <w:rFonts w:hint="eastAsia" w:ascii="宋体" w:hAnsi="宋体" w:eastAsia="宋体" w:cs="宋体"/>
          <w:color w:val="auto"/>
        </w:rPr>
        <w:t>注：1.本量化表中每一栏的得分采用就高不就低的原则，不累计加分，每项得分最高不得超过该项评审指标的权重；</w:t>
      </w:r>
      <w:r>
        <w:rPr>
          <w:rFonts w:hint="eastAsia" w:ascii="宋体" w:hAnsi="宋体" w:cs="宋体"/>
          <w:color w:val="auto"/>
          <w:lang w:val="en-US" w:eastAsia="zh-CN"/>
        </w:rPr>
        <w:t>2.</w:t>
      </w:r>
      <w:r>
        <w:rPr>
          <w:rFonts w:hint="eastAsia" w:ascii="宋体" w:hAnsi="宋体" w:eastAsia="宋体" w:cs="宋体"/>
          <w:color w:val="auto"/>
        </w:rPr>
        <w:t>表中要求提供相关计分证明文件的内容，投标文件中须明确加以说明，未按要求提供相关文件或说明不清楚的按不符合要求处理</w:t>
      </w:r>
      <w:r>
        <w:rPr>
          <w:rFonts w:hint="eastAsia" w:ascii="宋体" w:hAnsi="宋体" w:cs="宋体"/>
          <w:color w:val="auto"/>
          <w:lang w:eastAsia="zh-CN"/>
        </w:rPr>
        <w:t>；</w:t>
      </w:r>
      <w:r>
        <w:rPr>
          <w:rFonts w:hint="eastAsia" w:ascii="宋体" w:hAnsi="宋体" w:cs="宋体"/>
          <w:color w:val="auto"/>
          <w:lang w:val="en-US" w:eastAsia="zh-CN"/>
        </w:rPr>
        <w:t>3.</w:t>
      </w:r>
      <w:r>
        <w:rPr>
          <w:rFonts w:hint="eastAsia" w:ascii="宋体" w:hAnsi="宋体" w:eastAsia="宋体" w:cs="宋体"/>
          <w:color w:val="auto"/>
        </w:rPr>
        <w:t>综合以上分</w:t>
      </w:r>
      <w:r>
        <w:rPr>
          <w:rFonts w:hint="eastAsia" w:ascii="宋体" w:hAnsi="宋体" w:eastAsia="宋体" w:cs="宋体"/>
          <w:snapToGrid w:val="0"/>
          <w:color w:val="auto"/>
          <w:kern w:val="0"/>
        </w:rPr>
        <w:t>析比较，评委会将对各投标文件进行书面的量化评定，得分</w:t>
      </w:r>
      <w:r>
        <w:rPr>
          <w:rFonts w:hint="eastAsia" w:ascii="宋体" w:hAnsi="宋体" w:eastAsia="宋体" w:cs="宋体"/>
          <w:snapToGrid w:val="0"/>
          <w:color w:val="auto"/>
          <w:kern w:val="0"/>
          <w:szCs w:val="18"/>
        </w:rPr>
        <w:t>精确到小数点后两位</w:t>
      </w:r>
      <w:r>
        <w:rPr>
          <w:rFonts w:hint="eastAsia" w:ascii="宋体" w:hAnsi="宋体" w:eastAsia="宋体" w:cs="宋体"/>
          <w:color w:val="auto"/>
          <w:szCs w:val="21"/>
        </w:rPr>
        <w:t>。</w:t>
      </w:r>
    </w:p>
    <w:p>
      <w:pPr>
        <w:rPr>
          <w:rFonts w:ascii="黑体" w:eastAsia="黑体"/>
          <w:sz w:val="44"/>
          <w:szCs w:val="44"/>
        </w:rPr>
      </w:pPr>
      <w:bookmarkStart w:id="21" w:name="_Toc9313"/>
      <w:r>
        <w:rPr>
          <w:rFonts w:hint="eastAsia" w:ascii="黑体" w:eastAsia="黑体"/>
          <w:sz w:val="44"/>
          <w:szCs w:val="44"/>
        </w:rPr>
        <w:br w:type="page"/>
      </w:r>
    </w:p>
    <w:p>
      <w:pPr>
        <w:widowControl/>
        <w:numPr>
          <w:ilvl w:val="0"/>
          <w:numId w:val="1"/>
        </w:numPr>
        <w:spacing w:before="312" w:beforeLines="100" w:after="312" w:afterLines="100"/>
        <w:ind w:firstLine="402"/>
        <w:jc w:val="center"/>
        <w:outlineLvl w:val="0"/>
        <w:rPr>
          <w:rFonts w:ascii="黑体" w:eastAsia="黑体"/>
          <w:sz w:val="44"/>
          <w:szCs w:val="44"/>
        </w:rPr>
      </w:pPr>
      <w:r>
        <w:rPr>
          <w:rFonts w:hint="eastAsia" w:ascii="黑体" w:eastAsia="黑体"/>
          <w:sz w:val="44"/>
          <w:szCs w:val="44"/>
        </w:rPr>
        <w:t>用户需求书</w:t>
      </w:r>
      <w:bookmarkEnd w:id="21"/>
    </w:p>
    <w:p>
      <w:pPr>
        <w:numPr>
          <w:ilvl w:val="0"/>
          <w:numId w:val="4"/>
        </w:numPr>
        <w:spacing w:line="360" w:lineRule="auto"/>
        <w:rPr>
          <w:rFonts w:ascii="宋体" w:hAnsi="宋体" w:eastAsia="宋体" w:cs="宋体"/>
          <w:b/>
          <w:bCs/>
          <w:sz w:val="24"/>
          <w:szCs w:val="24"/>
        </w:rPr>
      </w:pPr>
      <w:r>
        <w:rPr>
          <w:rFonts w:hint="eastAsia" w:ascii="宋体" w:hAnsi="宋体" w:eastAsia="宋体" w:cs="宋体"/>
          <w:b/>
          <w:bCs/>
          <w:sz w:val="24"/>
          <w:szCs w:val="24"/>
        </w:rPr>
        <w:t>赛事规模及时间要求：</w:t>
      </w:r>
    </w:p>
    <w:p>
      <w:pPr>
        <w:numPr>
          <w:ilvl w:val="0"/>
          <w:numId w:val="5"/>
        </w:numPr>
      </w:pPr>
      <w:r>
        <w:rPr>
          <w:rFonts w:hint="eastAsia"/>
        </w:rPr>
        <w:t>赛事规模及时间要求：</w:t>
      </w:r>
    </w:p>
    <w:p>
      <w:pPr>
        <w:tabs>
          <w:tab w:val="left" w:pos="945"/>
        </w:tabs>
        <w:autoSpaceDE w:val="0"/>
        <w:autoSpaceDN w:val="0"/>
        <w:adjustRightInd w:val="0"/>
        <w:spacing w:line="360" w:lineRule="auto"/>
        <w:ind w:left="439" w:leftChars="209"/>
        <w:jc w:val="left"/>
        <w:textAlignment w:val="baseline"/>
      </w:pPr>
      <w:r>
        <w:rPr>
          <w:rFonts w:hint="eastAsia"/>
        </w:rPr>
        <w:t>项目名称：2024年第十三届深圳动漫节x世纪汇联名活动</w:t>
      </w:r>
    </w:p>
    <w:p>
      <w:pPr>
        <w:tabs>
          <w:tab w:val="left" w:pos="945"/>
        </w:tabs>
        <w:autoSpaceDE w:val="0"/>
        <w:autoSpaceDN w:val="0"/>
        <w:adjustRightInd w:val="0"/>
        <w:spacing w:line="360" w:lineRule="auto"/>
        <w:ind w:left="439" w:leftChars="209"/>
        <w:jc w:val="left"/>
        <w:textAlignment w:val="baseline"/>
      </w:pPr>
      <w:r>
        <w:rPr>
          <w:rFonts w:hint="eastAsia"/>
        </w:rPr>
        <w:t>活动排期：</w:t>
      </w:r>
    </w:p>
    <w:p>
      <w:pPr>
        <w:pStyle w:val="2"/>
      </w:pPr>
      <w:r>
        <w:rPr>
          <w:rFonts w:hint="eastAsia"/>
          <w:lang w:val="en-US"/>
        </w:rPr>
        <w:drawing>
          <wp:inline distT="0" distB="0" distL="114300" distR="114300">
            <wp:extent cx="5267325" cy="2370455"/>
            <wp:effectExtent l="0" t="0" r="9525" b="10795"/>
            <wp:docPr id="2" name="图片 2" descr="171859387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8593879384"/>
                    <pic:cNvPicPr>
                      <a:picLocks noChangeAspect="1"/>
                    </pic:cNvPicPr>
                  </pic:nvPicPr>
                  <pic:blipFill>
                    <a:blip r:embed="rId6" cstate="print"/>
                    <a:stretch>
                      <a:fillRect/>
                    </a:stretch>
                  </pic:blipFill>
                  <pic:spPr>
                    <a:xfrm>
                      <a:off x="0" y="0"/>
                      <a:ext cx="5267325" cy="2370455"/>
                    </a:xfrm>
                    <a:prstGeom prst="rect">
                      <a:avLst/>
                    </a:prstGeom>
                  </pic:spPr>
                </pic:pic>
              </a:graphicData>
            </a:graphic>
          </wp:inline>
        </w:drawing>
      </w:r>
    </w:p>
    <w:p>
      <w:pPr>
        <w:tabs>
          <w:tab w:val="left" w:pos="945"/>
        </w:tabs>
        <w:autoSpaceDE w:val="0"/>
        <w:autoSpaceDN w:val="0"/>
        <w:adjustRightInd w:val="0"/>
        <w:spacing w:line="360" w:lineRule="auto"/>
        <w:ind w:left="439" w:leftChars="209"/>
        <w:jc w:val="left"/>
        <w:textAlignment w:val="baseline"/>
        <w:rPr>
          <w:rFonts w:ascii="宋体" w:hAnsi="宋体" w:cs="宋体"/>
          <w:szCs w:val="21"/>
          <w:highlight w:val="yellow"/>
          <w:u w:val="single"/>
        </w:rPr>
      </w:pPr>
      <w:r>
        <w:rPr>
          <w:rFonts w:hint="eastAsia"/>
        </w:rPr>
        <w:t>规模：每周末须按照完成不同主题活动。（</w:t>
      </w:r>
      <w:r>
        <w:rPr>
          <w:rFonts w:hint="eastAsia"/>
          <w:b/>
        </w:rPr>
        <w:t>具体活动时间根据实际情况调整</w:t>
      </w:r>
      <w:r>
        <w:rPr>
          <w:rFonts w:hint="eastAsia"/>
        </w:rPr>
        <w:t>）</w:t>
      </w:r>
    </w:p>
    <w:p>
      <w:pPr>
        <w:numPr>
          <w:ilvl w:val="255"/>
          <w:numId w:val="0"/>
        </w:numPr>
      </w:pPr>
    </w:p>
    <w:p>
      <w:pPr>
        <w:spacing w:line="360" w:lineRule="auto"/>
        <w:ind w:firstLine="420" w:firstLineChars="200"/>
        <w:rPr>
          <w:rFonts w:ascii="宋体" w:hAnsi="宋体" w:eastAsia="宋体" w:cs="宋体"/>
          <w:b/>
          <w:szCs w:val="21"/>
        </w:rPr>
      </w:pPr>
      <w:r>
        <w:rPr>
          <w:rFonts w:hint="eastAsia" w:ascii="宋体" w:hAnsi="宋体" w:eastAsia="宋体" w:cs="宋体"/>
          <w:szCs w:val="21"/>
        </w:rPr>
        <w:t>如因其他不可抗力因素，致使本项目展会被取消、暂停、缩短展期或举办日期和地点的变更的，招标人有权解除本合同，招标人不承担违约责任，对于中标人已发生的费用据实结算，中标人应向招标人退还多余合同款项。</w:t>
      </w:r>
    </w:p>
    <w:p>
      <w:pPr>
        <w:numPr>
          <w:ilvl w:val="0"/>
          <w:numId w:val="4"/>
        </w:numPr>
        <w:spacing w:line="360" w:lineRule="auto"/>
        <w:rPr>
          <w:rFonts w:ascii="宋体" w:hAnsi="宋体" w:eastAsia="宋体" w:cs="宋体"/>
          <w:b/>
          <w:bCs/>
          <w:sz w:val="24"/>
          <w:szCs w:val="24"/>
        </w:rPr>
      </w:pPr>
      <w:r>
        <w:rPr>
          <w:rFonts w:hint="eastAsia" w:ascii="宋体" w:hAnsi="宋体" w:eastAsia="宋体" w:cs="宋体"/>
          <w:b/>
          <w:bCs/>
          <w:sz w:val="24"/>
          <w:szCs w:val="24"/>
          <w:lang w:val="zh-CN"/>
        </w:rPr>
        <w:t>★</w:t>
      </w:r>
      <w:r>
        <w:rPr>
          <w:rFonts w:hint="eastAsia" w:ascii="宋体" w:hAnsi="宋体" w:eastAsia="宋体" w:cs="宋体"/>
          <w:b/>
          <w:bCs/>
          <w:sz w:val="24"/>
          <w:szCs w:val="24"/>
        </w:rPr>
        <w:t>投标人负责工作：</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1. 负责2024年第十三届深圳 动漫节x世纪汇联名活动项目活动策划；</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2. 负责赛事、活动全程组织、比赛选手招募、资格筛选及全程执行；</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3. 负责赛事、证书、奖杯制作颁发；</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4. 负责项目推广、含私域平台、微博微信抖音等；</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5. 负责项目评委、主持人的对接、接待；</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6. 负责赛事评委邀请费、赛事奖金发放、劳务费、接待费等所有赛事相关费用支出；</w:t>
      </w:r>
    </w:p>
    <w:p>
      <w:pPr>
        <w:tabs>
          <w:tab w:val="left" w:pos="945"/>
        </w:tabs>
        <w:autoSpaceDE w:val="0"/>
        <w:autoSpaceDN w:val="0"/>
        <w:adjustRightInd w:val="0"/>
        <w:spacing w:line="360" w:lineRule="auto"/>
        <w:ind w:firstLine="403" w:firstLineChars="192"/>
        <w:jc w:val="left"/>
        <w:textAlignment w:val="baseline"/>
        <w:rPr>
          <w:rFonts w:ascii="宋体" w:hAnsi="宋体" w:eastAsia="宋体" w:cs="宋体"/>
          <w:bCs/>
          <w:szCs w:val="21"/>
        </w:rPr>
      </w:pPr>
      <w:r>
        <w:rPr>
          <w:rFonts w:hint="eastAsia"/>
        </w:rPr>
        <w:t>7. 活动现场照片的拍摄、简短视频、总结等；</w:t>
      </w:r>
    </w:p>
    <w:p>
      <w:pPr>
        <w:numPr>
          <w:ilvl w:val="0"/>
          <w:numId w:val="6"/>
        </w:numPr>
        <w:tabs>
          <w:tab w:val="left" w:pos="945"/>
        </w:tabs>
        <w:autoSpaceDE w:val="0"/>
        <w:autoSpaceDN w:val="0"/>
        <w:adjustRightInd w:val="0"/>
        <w:spacing w:line="360" w:lineRule="auto"/>
        <w:ind w:firstLine="403" w:firstLineChars="192"/>
        <w:jc w:val="left"/>
        <w:textAlignment w:val="baseline"/>
        <w:rPr>
          <w:rFonts w:ascii="宋体" w:hAnsi="宋体" w:eastAsia="宋体" w:cs="宋体"/>
          <w:b/>
          <w:szCs w:val="21"/>
        </w:rPr>
      </w:pPr>
      <w:r>
        <w:rPr>
          <w:rFonts w:hint="eastAsia"/>
        </w:rPr>
        <w:t>活动物料的定制、采购；</w:t>
      </w:r>
    </w:p>
    <w:p>
      <w:pPr>
        <w:numPr>
          <w:ilvl w:val="0"/>
          <w:numId w:val="6"/>
        </w:numPr>
        <w:tabs>
          <w:tab w:val="left" w:pos="945"/>
        </w:tabs>
        <w:autoSpaceDE w:val="0"/>
        <w:autoSpaceDN w:val="0"/>
        <w:adjustRightInd w:val="0"/>
        <w:spacing w:line="360" w:lineRule="auto"/>
        <w:ind w:firstLine="403" w:firstLineChars="192"/>
        <w:jc w:val="left"/>
        <w:textAlignment w:val="baseline"/>
        <w:rPr>
          <w:rFonts w:ascii="宋体" w:hAnsi="宋体" w:eastAsia="宋体" w:cs="宋体"/>
          <w:b/>
          <w:szCs w:val="21"/>
        </w:rPr>
      </w:pPr>
      <w:r>
        <w:rPr>
          <w:rFonts w:hint="eastAsia"/>
        </w:rPr>
        <w:t>现场活动秩序的维护、巡游人员的管理、签到等。</w:t>
      </w:r>
    </w:p>
    <w:p>
      <w:pPr>
        <w:ind w:firstLine="249" w:firstLineChars="118"/>
        <w:rPr>
          <w:rFonts w:ascii="宋体" w:hAnsi="宋体" w:eastAsia="宋体" w:cs="宋体"/>
          <w:b/>
          <w:color w:val="000000" w:themeColor="text1"/>
          <w:szCs w:val="21"/>
          <w14:textFill>
            <w14:solidFill>
              <w14:schemeClr w14:val="tx1"/>
            </w14:solidFill>
          </w14:textFill>
        </w:rPr>
      </w:pPr>
    </w:p>
    <w:p>
      <w:pPr>
        <w:numPr>
          <w:ilvl w:val="0"/>
          <w:numId w:val="4"/>
        </w:numPr>
        <w:spacing w:line="360" w:lineRule="auto"/>
        <w:rPr>
          <w:rFonts w:ascii="宋体" w:hAnsi="宋体" w:eastAsia="宋体" w:cs="宋体"/>
          <w:b/>
          <w:bCs/>
          <w:sz w:val="24"/>
          <w:szCs w:val="24"/>
          <w:lang w:val="zh-CN"/>
        </w:rPr>
      </w:pPr>
      <w:r>
        <w:rPr>
          <w:rFonts w:hint="eastAsia" w:ascii="宋体" w:hAnsi="宋体" w:eastAsia="宋体" w:cs="宋体"/>
          <w:b/>
          <w:bCs/>
          <w:sz w:val="24"/>
          <w:szCs w:val="24"/>
          <w:lang w:val="zh-CN"/>
        </w:rPr>
        <w:t>★需提供的方案：</w:t>
      </w:r>
    </w:p>
    <w:tbl>
      <w:tblPr>
        <w:tblStyle w:val="20"/>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2600"/>
        <w:gridCol w:w="1782"/>
        <w:gridCol w:w="1452"/>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spacing w:line="360" w:lineRule="auto"/>
              <w:jc w:val="center"/>
              <w:rPr>
                <w:rFonts w:ascii="宋体" w:hAnsi="宋体" w:eastAsia="宋体" w:cs="宋体"/>
                <w:szCs w:val="21"/>
              </w:rPr>
            </w:pPr>
            <w:r>
              <w:rPr>
                <w:rFonts w:hint="eastAsia" w:ascii="宋体" w:hAnsi="宋体" w:eastAsia="宋体" w:cs="宋体"/>
                <w:szCs w:val="21"/>
              </w:rPr>
              <w:t>序号</w:t>
            </w:r>
          </w:p>
        </w:tc>
        <w:tc>
          <w:tcPr>
            <w:tcW w:w="2600" w:type="dxa"/>
          </w:tcPr>
          <w:p>
            <w:pPr>
              <w:spacing w:line="360" w:lineRule="auto"/>
              <w:jc w:val="center"/>
              <w:rPr>
                <w:rFonts w:ascii="宋体" w:hAnsi="宋体" w:eastAsia="宋体" w:cs="宋体"/>
                <w:szCs w:val="21"/>
              </w:rPr>
            </w:pPr>
            <w:r>
              <w:rPr>
                <w:rFonts w:hint="eastAsia" w:ascii="宋体" w:hAnsi="宋体" w:eastAsia="宋体" w:cs="宋体"/>
                <w:szCs w:val="21"/>
              </w:rPr>
              <w:t>内容</w:t>
            </w:r>
          </w:p>
        </w:tc>
        <w:tc>
          <w:tcPr>
            <w:tcW w:w="1782" w:type="dxa"/>
          </w:tcPr>
          <w:p>
            <w:pPr>
              <w:spacing w:line="360" w:lineRule="auto"/>
              <w:jc w:val="center"/>
              <w:rPr>
                <w:rFonts w:ascii="宋体" w:hAnsi="宋体" w:eastAsia="宋体" w:cs="宋体"/>
                <w:szCs w:val="21"/>
              </w:rPr>
            </w:pPr>
            <w:r>
              <w:rPr>
                <w:rFonts w:hint="eastAsia" w:ascii="宋体" w:hAnsi="宋体" w:eastAsia="宋体" w:cs="宋体"/>
                <w:szCs w:val="21"/>
              </w:rPr>
              <w:t>数量</w:t>
            </w:r>
          </w:p>
        </w:tc>
        <w:tc>
          <w:tcPr>
            <w:tcW w:w="1452" w:type="dxa"/>
          </w:tcPr>
          <w:p>
            <w:pPr>
              <w:spacing w:line="360" w:lineRule="auto"/>
              <w:jc w:val="center"/>
              <w:rPr>
                <w:rFonts w:ascii="宋体" w:hAnsi="宋体" w:eastAsia="宋体" w:cs="宋体"/>
                <w:szCs w:val="21"/>
              </w:rPr>
            </w:pPr>
            <w:r>
              <w:rPr>
                <w:rFonts w:hint="eastAsia" w:ascii="宋体" w:hAnsi="宋体" w:eastAsia="宋体" w:cs="宋体"/>
                <w:szCs w:val="21"/>
              </w:rPr>
              <w:t>费用</w:t>
            </w:r>
          </w:p>
        </w:tc>
        <w:tc>
          <w:tcPr>
            <w:tcW w:w="2581" w:type="dxa"/>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numPr>
                <w:ilvl w:val="0"/>
                <w:numId w:val="7"/>
              </w:numPr>
              <w:spacing w:line="360" w:lineRule="auto"/>
              <w:ind w:left="0" w:firstLine="0"/>
              <w:jc w:val="center"/>
              <w:rPr>
                <w:rFonts w:ascii="宋体" w:hAnsi="宋体" w:eastAsia="宋体" w:cs="宋体"/>
                <w:szCs w:val="21"/>
              </w:rPr>
            </w:pPr>
          </w:p>
        </w:tc>
        <w:tc>
          <w:tcPr>
            <w:tcW w:w="2600" w:type="dxa"/>
          </w:tcPr>
          <w:p>
            <w:pPr>
              <w:spacing w:line="360" w:lineRule="auto"/>
              <w:rPr>
                <w:rFonts w:ascii="宋体" w:hAnsi="宋体" w:eastAsia="宋体" w:cs="宋体"/>
                <w:szCs w:val="21"/>
              </w:rPr>
            </w:pPr>
            <w:r>
              <w:rPr>
                <w:rFonts w:hint="eastAsia" w:ascii="宋体" w:hAnsi="宋体" w:eastAsia="宋体" w:cs="宋体"/>
                <w:szCs w:val="21"/>
              </w:rPr>
              <w:t>项目整体策划、执行方案</w:t>
            </w:r>
          </w:p>
        </w:tc>
        <w:tc>
          <w:tcPr>
            <w:tcW w:w="1782" w:type="dxa"/>
          </w:tcPr>
          <w:p>
            <w:pPr>
              <w:spacing w:line="360" w:lineRule="auto"/>
              <w:jc w:val="center"/>
              <w:rPr>
                <w:rFonts w:ascii="宋体" w:hAnsi="宋体" w:eastAsia="宋体" w:cs="宋体"/>
                <w:szCs w:val="21"/>
              </w:rPr>
            </w:pPr>
          </w:p>
        </w:tc>
        <w:tc>
          <w:tcPr>
            <w:tcW w:w="1452" w:type="dxa"/>
          </w:tcPr>
          <w:p>
            <w:pPr>
              <w:spacing w:line="360" w:lineRule="auto"/>
              <w:rPr>
                <w:rFonts w:ascii="宋体" w:hAnsi="宋体" w:eastAsia="宋体" w:cs="宋体"/>
                <w:szCs w:val="21"/>
              </w:rPr>
            </w:pPr>
          </w:p>
        </w:tc>
        <w:tc>
          <w:tcPr>
            <w:tcW w:w="2581" w:type="dxa"/>
          </w:tcPr>
          <w:p>
            <w:pPr>
              <w:spacing w:line="360" w:lineRule="auto"/>
              <w:rPr>
                <w:rFonts w:ascii="宋体" w:hAnsi="宋体" w:eastAsia="宋体" w:cs="宋体"/>
                <w:szCs w:val="21"/>
              </w:rPr>
            </w:pPr>
            <w:r>
              <w:rPr>
                <w:rFonts w:hint="eastAsia" w:ascii="宋体" w:hAnsi="宋体" w:eastAsia="宋体" w:cs="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numPr>
                <w:ilvl w:val="0"/>
                <w:numId w:val="7"/>
              </w:numPr>
              <w:spacing w:line="360" w:lineRule="auto"/>
              <w:ind w:left="0" w:firstLine="0"/>
              <w:jc w:val="center"/>
              <w:rPr>
                <w:rFonts w:ascii="宋体" w:hAnsi="宋体" w:eastAsia="宋体" w:cs="宋体"/>
                <w:szCs w:val="21"/>
              </w:rPr>
            </w:pPr>
          </w:p>
        </w:tc>
        <w:tc>
          <w:tcPr>
            <w:tcW w:w="2600" w:type="dxa"/>
          </w:tcPr>
          <w:p>
            <w:pPr>
              <w:spacing w:line="360" w:lineRule="auto"/>
              <w:rPr>
                <w:rFonts w:ascii="宋体" w:hAnsi="宋体" w:eastAsia="宋体" w:cs="宋体"/>
                <w:szCs w:val="21"/>
              </w:rPr>
            </w:pPr>
            <w:r>
              <w:rPr>
                <w:rFonts w:hint="eastAsia" w:ascii="宋体" w:hAnsi="宋体" w:eastAsia="宋体" w:cs="宋体"/>
                <w:szCs w:val="21"/>
              </w:rPr>
              <w:t>活动细项预算</w:t>
            </w:r>
          </w:p>
        </w:tc>
        <w:tc>
          <w:tcPr>
            <w:tcW w:w="1782" w:type="dxa"/>
          </w:tcPr>
          <w:p>
            <w:pPr>
              <w:spacing w:line="360" w:lineRule="auto"/>
              <w:jc w:val="center"/>
              <w:rPr>
                <w:rFonts w:ascii="宋体" w:hAnsi="宋体" w:eastAsia="宋体" w:cs="宋体"/>
                <w:szCs w:val="21"/>
              </w:rPr>
            </w:pPr>
          </w:p>
        </w:tc>
        <w:tc>
          <w:tcPr>
            <w:tcW w:w="1452" w:type="dxa"/>
          </w:tcPr>
          <w:p>
            <w:pPr>
              <w:spacing w:line="360" w:lineRule="auto"/>
              <w:rPr>
                <w:rFonts w:ascii="宋体" w:hAnsi="宋体" w:eastAsia="宋体" w:cs="宋体"/>
                <w:szCs w:val="21"/>
              </w:rPr>
            </w:pPr>
          </w:p>
        </w:tc>
        <w:tc>
          <w:tcPr>
            <w:tcW w:w="2581" w:type="dxa"/>
          </w:tcPr>
          <w:p>
            <w:pPr>
              <w:spacing w:line="360" w:lineRule="auto"/>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numPr>
                <w:ilvl w:val="0"/>
                <w:numId w:val="7"/>
              </w:numPr>
              <w:spacing w:line="360" w:lineRule="auto"/>
              <w:ind w:left="0" w:firstLine="0"/>
              <w:jc w:val="center"/>
              <w:rPr>
                <w:rFonts w:ascii="宋体" w:hAnsi="宋体" w:eastAsia="宋体" w:cs="宋体"/>
                <w:szCs w:val="21"/>
              </w:rPr>
            </w:pPr>
          </w:p>
        </w:tc>
        <w:tc>
          <w:tcPr>
            <w:tcW w:w="2600" w:type="dxa"/>
          </w:tcPr>
          <w:p>
            <w:pPr>
              <w:spacing w:line="360" w:lineRule="auto"/>
              <w:rPr>
                <w:rFonts w:ascii="宋体" w:hAnsi="宋体" w:eastAsia="宋体" w:cs="宋体"/>
                <w:szCs w:val="21"/>
              </w:rPr>
            </w:pPr>
            <w:r>
              <w:rPr>
                <w:rFonts w:hint="eastAsia" w:ascii="宋体" w:hAnsi="宋体" w:eastAsia="宋体" w:cs="宋体"/>
                <w:szCs w:val="21"/>
              </w:rPr>
              <w:t>奖金方案</w:t>
            </w:r>
          </w:p>
        </w:tc>
        <w:tc>
          <w:tcPr>
            <w:tcW w:w="1782" w:type="dxa"/>
          </w:tcPr>
          <w:p>
            <w:pPr>
              <w:spacing w:line="360" w:lineRule="auto"/>
              <w:jc w:val="center"/>
              <w:rPr>
                <w:rFonts w:ascii="宋体" w:hAnsi="宋体" w:eastAsia="宋体" w:cs="宋体"/>
                <w:szCs w:val="21"/>
              </w:rPr>
            </w:pPr>
          </w:p>
        </w:tc>
        <w:tc>
          <w:tcPr>
            <w:tcW w:w="1452" w:type="dxa"/>
          </w:tcPr>
          <w:p>
            <w:pPr>
              <w:spacing w:line="360" w:lineRule="auto"/>
              <w:rPr>
                <w:rFonts w:ascii="宋体" w:hAnsi="宋体" w:eastAsia="宋体" w:cs="宋体"/>
                <w:szCs w:val="21"/>
              </w:rPr>
            </w:pPr>
          </w:p>
        </w:tc>
        <w:tc>
          <w:tcPr>
            <w:tcW w:w="2581" w:type="dxa"/>
          </w:tcPr>
          <w:p>
            <w:pPr>
              <w:spacing w:line="360" w:lineRule="auto"/>
              <w:rPr>
                <w:rFonts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numPr>
                <w:ilvl w:val="0"/>
                <w:numId w:val="7"/>
              </w:numPr>
              <w:spacing w:line="360" w:lineRule="auto"/>
              <w:ind w:left="0" w:firstLine="0"/>
              <w:jc w:val="center"/>
              <w:rPr>
                <w:rFonts w:ascii="宋体" w:hAnsi="宋体" w:eastAsia="宋体" w:cs="宋体"/>
                <w:szCs w:val="21"/>
              </w:rPr>
            </w:pPr>
          </w:p>
        </w:tc>
        <w:tc>
          <w:tcPr>
            <w:tcW w:w="2600" w:type="dxa"/>
          </w:tcPr>
          <w:p>
            <w:pPr>
              <w:spacing w:line="360" w:lineRule="auto"/>
              <w:rPr>
                <w:rFonts w:ascii="宋体" w:hAnsi="宋体" w:eastAsia="宋体" w:cs="宋体"/>
                <w:szCs w:val="21"/>
              </w:rPr>
            </w:pPr>
            <w:r>
              <w:rPr>
                <w:rFonts w:hint="eastAsia" w:ascii="宋体" w:hAnsi="宋体" w:eastAsia="宋体" w:cs="宋体"/>
                <w:szCs w:val="21"/>
              </w:rPr>
              <w:t>项目宣传推广方案</w:t>
            </w:r>
          </w:p>
        </w:tc>
        <w:tc>
          <w:tcPr>
            <w:tcW w:w="1782" w:type="dxa"/>
          </w:tcPr>
          <w:p>
            <w:pPr>
              <w:spacing w:line="360" w:lineRule="auto"/>
              <w:jc w:val="center"/>
              <w:rPr>
                <w:rFonts w:ascii="宋体" w:hAnsi="宋体" w:eastAsia="宋体" w:cs="宋体"/>
                <w:szCs w:val="21"/>
              </w:rPr>
            </w:pPr>
          </w:p>
        </w:tc>
        <w:tc>
          <w:tcPr>
            <w:tcW w:w="1452" w:type="dxa"/>
          </w:tcPr>
          <w:p>
            <w:pPr>
              <w:spacing w:line="360" w:lineRule="auto"/>
              <w:rPr>
                <w:rFonts w:ascii="宋体" w:hAnsi="宋体" w:eastAsia="宋体" w:cs="宋体"/>
                <w:szCs w:val="21"/>
              </w:rPr>
            </w:pPr>
          </w:p>
        </w:tc>
        <w:tc>
          <w:tcPr>
            <w:tcW w:w="2581" w:type="dxa"/>
          </w:tcPr>
          <w:p>
            <w:pPr>
              <w:spacing w:line="360" w:lineRule="auto"/>
              <w:rPr>
                <w:rFonts w:ascii="宋体" w:hAnsi="宋体" w:eastAsia="宋体" w:cs="宋体"/>
                <w:szCs w:val="21"/>
              </w:rPr>
            </w:pPr>
          </w:p>
        </w:tc>
      </w:tr>
    </w:tbl>
    <w:p>
      <w:pPr>
        <w:pStyle w:val="32"/>
        <w:numPr>
          <w:ilvl w:val="-1"/>
          <w:numId w:val="0"/>
        </w:numPr>
        <w:ind w:left="0" w:firstLine="0" w:firstLineChars="0"/>
        <w:rPr>
          <w:color w:val="000000"/>
        </w:rPr>
      </w:pPr>
    </w:p>
    <w:p>
      <w:pPr>
        <w:pStyle w:val="32"/>
        <w:numPr>
          <w:ilvl w:val="-1"/>
          <w:numId w:val="0"/>
        </w:numPr>
        <w:ind w:left="0" w:firstLine="0" w:firstLineChars="0"/>
        <w:rPr>
          <w:color w:val="000000"/>
        </w:rPr>
      </w:pPr>
    </w:p>
    <w:p>
      <w:pPr>
        <w:pStyle w:val="32"/>
        <w:numPr>
          <w:ilvl w:val="0"/>
          <w:numId w:val="8"/>
        </w:numPr>
        <w:ind w:firstLineChars="0"/>
        <w:rPr>
          <w:color w:val="000000"/>
        </w:rPr>
      </w:pPr>
      <w:r>
        <w:rPr>
          <w:rFonts w:hint="eastAsia" w:ascii="宋体" w:hAnsi="宋体" w:eastAsia="宋体" w:cs="宋体"/>
          <w:b/>
          <w:bCs/>
          <w:color w:val="auto"/>
          <w:sz w:val="24"/>
          <w:szCs w:val="24"/>
          <w:lang w:val="zh-CN"/>
        </w:rPr>
        <w:t>★</w:t>
      </w:r>
      <w:r>
        <w:rPr>
          <w:rFonts w:hint="eastAsia"/>
          <w:b/>
        </w:rPr>
        <w:t>报价</w:t>
      </w:r>
      <w:r>
        <w:rPr>
          <w:b/>
        </w:rPr>
        <w:t>要求</w:t>
      </w:r>
    </w:p>
    <w:p>
      <w:pPr>
        <w:pageBreakBefore w:val="0"/>
        <w:kinsoku/>
        <w:wordWrap/>
        <w:overflowPunct/>
        <w:topLinePunct w:val="0"/>
        <w:autoSpaceDE w:val="0"/>
        <w:autoSpaceDN w:val="0"/>
        <w:bidi w:val="0"/>
        <w:adjustRightInd w:val="0"/>
        <w:snapToGrid w:val="0"/>
        <w:spacing w:line="360" w:lineRule="auto"/>
        <w:ind w:left="0" w:leftChars="0" w:right="0" w:firstLine="422" w:firstLineChars="200"/>
        <w:rPr>
          <w:rFonts w:hint="eastAsia" w:ascii="宋体" w:hAnsi="宋体" w:eastAsia="宋体" w:cs="宋体"/>
          <w:b/>
          <w:color w:val="auto"/>
          <w:sz w:val="21"/>
          <w:szCs w:val="21"/>
          <w:u w:val="single"/>
        </w:rPr>
      </w:pPr>
      <w:r>
        <w:rPr>
          <w:rFonts w:hint="eastAsia" w:ascii="宋体" w:hAnsi="宋体" w:eastAsia="宋体" w:cs="宋体"/>
          <w:b/>
          <w:bCs/>
          <w:color w:val="auto"/>
          <w:sz w:val="21"/>
          <w:szCs w:val="21"/>
        </w:rPr>
        <w:t>★</w:t>
      </w:r>
      <w:r>
        <w:rPr>
          <w:rFonts w:hint="eastAsia" w:ascii="宋体" w:hAnsi="宋体" w:eastAsia="宋体" w:cs="宋体"/>
          <w:b/>
          <w:color w:val="auto"/>
          <w:sz w:val="21"/>
          <w:szCs w:val="21"/>
          <w:u w:val="single"/>
        </w:rPr>
        <w:t xml:space="preserve">本项目最高限价： </w:t>
      </w:r>
    </w:p>
    <w:p>
      <w:pPr>
        <w:pageBreakBefore w:val="0"/>
        <w:kinsoku/>
        <w:wordWrap/>
        <w:overflowPunct/>
        <w:topLinePunct w:val="0"/>
        <w:autoSpaceDE w:val="0"/>
        <w:autoSpaceDN w:val="0"/>
        <w:bidi w:val="0"/>
        <w:adjustRightInd w:val="0"/>
        <w:snapToGrid/>
        <w:spacing w:line="360" w:lineRule="auto"/>
        <w:ind w:left="0" w:leftChars="0" w:right="0" w:firstLine="420" w:firstLineChars="200"/>
        <w:rPr>
          <w:rFonts w:hint="eastAsia" w:ascii="宋体" w:hAnsi="宋体" w:eastAsia="宋体" w:cs="宋体"/>
          <w:b/>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小写</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RMB</w:t>
      </w:r>
      <w:r>
        <w:rPr>
          <w:rFonts w:hint="eastAsia" w:ascii="宋体" w:hAnsi="宋体" w:cs="宋体"/>
          <w:color w:val="auto"/>
          <w:kern w:val="0"/>
          <w:sz w:val="21"/>
          <w:szCs w:val="21"/>
          <w:highlight w:val="none"/>
          <w:u w:val="single"/>
          <w:lang w:val="en-US" w:eastAsia="zh-CN"/>
        </w:rPr>
        <w:t>126000</w:t>
      </w:r>
      <w:r>
        <w:rPr>
          <w:rFonts w:hint="eastAsia" w:ascii="宋体" w:hAnsi="宋体" w:eastAsia="宋体" w:cs="宋体"/>
          <w:color w:val="auto"/>
          <w:kern w:val="0"/>
          <w:sz w:val="21"/>
          <w:szCs w:val="21"/>
          <w:highlight w:val="none"/>
          <w:u w:val="none"/>
          <w:lang w:val="zh-CN"/>
        </w:rPr>
        <w:t>元</w:t>
      </w:r>
      <w:r>
        <w:rPr>
          <w:rFonts w:hint="eastAsia" w:ascii="宋体" w:hAnsi="宋体" w:eastAsia="宋体" w:cs="宋体"/>
          <w:color w:val="auto"/>
          <w:kern w:val="0"/>
          <w:sz w:val="21"/>
          <w:szCs w:val="21"/>
          <w:highlight w:val="none"/>
          <w:lang w:val="zh-CN"/>
        </w:rPr>
        <w:t xml:space="preserve">    大写</w:t>
      </w:r>
      <w:r>
        <w:rPr>
          <w:rFonts w:hint="eastAsia" w:ascii="宋体" w:hAnsi="宋体" w:cs="宋体"/>
          <w:color w:val="auto"/>
          <w:kern w:val="0"/>
          <w:sz w:val="21"/>
          <w:szCs w:val="21"/>
          <w:highlight w:val="none"/>
          <w:lang w:val="zh-CN"/>
        </w:rPr>
        <w:t>：</w:t>
      </w:r>
      <w:r>
        <w:rPr>
          <w:rFonts w:hint="eastAsia" w:ascii="宋体" w:hAnsi="宋体" w:eastAsia="宋体" w:cs="宋体"/>
          <w:color w:val="auto"/>
          <w:kern w:val="0"/>
          <w:sz w:val="21"/>
          <w:szCs w:val="21"/>
          <w:highlight w:val="none"/>
          <w:lang w:val="zh-CN"/>
        </w:rPr>
        <w:t>人民币</w:t>
      </w:r>
      <w:r>
        <w:rPr>
          <w:rFonts w:hint="eastAsia" w:asciiTheme="minorEastAsia" w:hAnsiTheme="minorEastAsia" w:eastAsiaTheme="minorEastAsia"/>
          <w:b/>
          <w:bCs/>
          <w:szCs w:val="21"/>
          <w:highlight w:val="none"/>
        </w:rPr>
        <w:t>壹拾贰万陆仟元整</w:t>
      </w:r>
      <w:r>
        <w:rPr>
          <w:rFonts w:hint="eastAsia" w:ascii="宋体" w:hAnsi="宋体" w:cs="宋体"/>
          <w:b/>
          <w:color w:val="auto"/>
          <w:kern w:val="0"/>
          <w:sz w:val="21"/>
          <w:szCs w:val="21"/>
          <w:highlight w:val="none"/>
          <w:u w:val="single"/>
          <w:lang w:val="en-US" w:eastAsia="zh-CN"/>
        </w:rPr>
        <w:t xml:space="preserve"> </w:t>
      </w:r>
    </w:p>
    <w:p>
      <w:pPr>
        <w:pageBreakBefore w:val="0"/>
        <w:kinsoku/>
        <w:wordWrap/>
        <w:overflowPunct/>
        <w:topLinePunct w:val="0"/>
        <w:autoSpaceDE w:val="0"/>
        <w:autoSpaceDN w:val="0"/>
        <w:bidi w:val="0"/>
        <w:adjustRightInd w:val="0"/>
        <w:spacing w:line="360" w:lineRule="auto"/>
        <w:ind w:left="0" w:leftChars="0" w:right="0" w:firstLine="420" w:firstLineChars="200"/>
        <w:rPr>
          <w:rFonts w:hint="eastAsia" w:ascii="宋体" w:hAnsi="宋体" w:eastAsia="宋体" w:cs="宋体"/>
          <w:b/>
          <w:color w:val="auto"/>
          <w:sz w:val="21"/>
          <w:szCs w:val="21"/>
        </w:rPr>
      </w:pPr>
      <w:r>
        <w:rPr>
          <w:rFonts w:hint="eastAsia" w:ascii="宋体" w:hAnsi="宋体" w:eastAsia="宋体" w:cs="宋体"/>
          <w:bCs/>
          <w:color w:val="auto"/>
          <w:kern w:val="0"/>
          <w:sz w:val="21"/>
          <w:szCs w:val="21"/>
          <w:lang w:val="zh-CN"/>
        </w:rPr>
        <w:t>投标人</w:t>
      </w:r>
      <w:r>
        <w:rPr>
          <w:rFonts w:hint="eastAsia" w:ascii="宋体" w:hAnsi="宋体" w:eastAsia="宋体" w:cs="宋体"/>
          <w:color w:val="auto"/>
          <w:kern w:val="0"/>
          <w:sz w:val="21"/>
          <w:szCs w:val="21"/>
          <w:lang w:val="zh-CN"/>
        </w:rPr>
        <w:t>报价应包括</w:t>
      </w:r>
      <w:r>
        <w:rPr>
          <w:rFonts w:hint="eastAsia" w:ascii="宋体" w:hAnsi="宋体" w:eastAsia="宋体" w:cs="宋体"/>
          <w:bCs/>
          <w:color w:val="auto"/>
          <w:kern w:val="0"/>
          <w:sz w:val="21"/>
          <w:szCs w:val="21"/>
          <w:lang w:val="zh-CN"/>
        </w:rPr>
        <w:t>完成本项目所需的一切费用，超出此预算控制金额的投标报价将导致其投标无效。投标人开具的发票为增值税专用发票。</w:t>
      </w:r>
    </w:p>
    <w:p>
      <w:pPr>
        <w:spacing w:line="360" w:lineRule="auto"/>
        <w:ind w:left="735" w:leftChars="350"/>
        <w:rPr>
          <w:rFonts w:ascii="宋体" w:hAnsi="宋体" w:cs="Arial"/>
          <w:color w:val="000000" w:themeColor="text1"/>
          <w:szCs w:val="21"/>
          <w14:textFill>
            <w14:solidFill>
              <w14:schemeClr w14:val="tx1"/>
            </w14:solidFill>
          </w14:textFill>
        </w:rPr>
      </w:pPr>
    </w:p>
    <w:p>
      <w:pPr>
        <w:pStyle w:val="32"/>
        <w:numPr>
          <w:ilvl w:val="0"/>
          <w:numId w:val="8"/>
        </w:numPr>
        <w:ind w:firstLineChars="0"/>
        <w:rPr>
          <w:b/>
        </w:rPr>
      </w:pPr>
      <w:r>
        <w:rPr>
          <w:rFonts w:hint="eastAsia" w:ascii="宋体" w:hAnsi="宋体" w:eastAsia="宋体" w:cs="宋体"/>
          <w:b/>
          <w:bCs/>
          <w:color w:val="auto"/>
          <w:sz w:val="24"/>
          <w:szCs w:val="24"/>
          <w:lang w:val="zh-CN"/>
        </w:rPr>
        <w:t>★</w:t>
      </w:r>
      <w:r>
        <w:rPr>
          <w:rFonts w:hint="eastAsia"/>
          <w:b/>
        </w:rPr>
        <w:t>付款方式</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 xml:space="preserve">合同签署后十个工作日内支付 </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zh-CN"/>
        </w:rPr>
        <w:t>0%，项目开始前五个工作日内支付 50%，项目完成后，经甲方验收及履约评价考核后（具体履约评价要求见附件）书面签字确认，</w:t>
      </w:r>
      <w:r>
        <w:rPr>
          <w:rFonts w:hint="eastAsia" w:ascii="宋体" w:hAnsi="宋体" w:cs="宋体"/>
          <w:bCs/>
          <w:color w:val="auto"/>
          <w:kern w:val="0"/>
          <w:szCs w:val="21"/>
          <w:highlight w:val="none"/>
          <w:lang w:val="zh-CN"/>
        </w:rPr>
        <w:t>十五</w:t>
      </w:r>
      <w:r>
        <w:rPr>
          <w:rFonts w:hint="eastAsia" w:ascii="宋体" w:hAnsi="宋体" w:eastAsia="宋体" w:cs="宋体"/>
          <w:bCs/>
          <w:color w:val="auto"/>
          <w:kern w:val="0"/>
          <w:szCs w:val="21"/>
          <w:highlight w:val="none"/>
          <w:lang w:val="zh-CN"/>
        </w:rPr>
        <w:t>个工作日内，根据履约考核情况，向乙方支付对应的合同尾款。</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（必需提供增值税专用发票）</w:t>
      </w:r>
    </w:p>
    <w:p>
      <w:pPr>
        <w:spacing w:line="360" w:lineRule="auto"/>
        <w:ind w:left="735" w:leftChars="350"/>
        <w:rPr>
          <w:rFonts w:ascii="宋体" w:hAnsi="宋体" w:cs="Arial"/>
          <w:color w:val="000000" w:themeColor="text1"/>
          <w:szCs w:val="21"/>
          <w14:textFill>
            <w14:solidFill>
              <w14:schemeClr w14:val="tx1"/>
            </w14:solidFill>
          </w14:textFill>
        </w:rPr>
      </w:pPr>
    </w:p>
    <w:p>
      <w:pPr>
        <w:pStyle w:val="32"/>
        <w:numPr>
          <w:ilvl w:val="0"/>
          <w:numId w:val="8"/>
        </w:numPr>
        <w:ind w:firstLineChars="0"/>
        <w:rPr>
          <w:b/>
        </w:rPr>
      </w:pPr>
      <w:r>
        <w:rPr>
          <w:rFonts w:hint="eastAsia" w:ascii="宋体" w:hAnsi="宋体" w:eastAsia="宋体" w:cs="宋体"/>
          <w:b/>
          <w:bCs/>
          <w:color w:val="auto"/>
          <w:sz w:val="24"/>
          <w:szCs w:val="24"/>
          <w:lang w:val="zh-CN"/>
        </w:rPr>
        <w:t>★</w:t>
      </w:r>
      <w:r>
        <w:rPr>
          <w:rFonts w:hint="eastAsia"/>
          <w:b/>
          <w:lang w:eastAsia="zh-CN"/>
        </w:rPr>
        <w:t>履约评价考核</w:t>
      </w:r>
    </w:p>
    <w:p>
      <w:pPr>
        <w:pStyle w:val="16"/>
        <w:numPr>
          <w:ilvl w:val="0"/>
          <w:numId w:val="9"/>
        </w:numPr>
        <w:spacing w:line="360" w:lineRule="auto"/>
        <w:ind w:firstLine="420" w:firstLineChars="0"/>
        <w:jc w:val="both"/>
        <w:rPr>
          <w:rStyle w:val="24"/>
          <w:rFonts w:hint="eastAsia" w:ascii="宋体" w:hAnsi="宋体" w:eastAsia="宋体" w:cs="宋体"/>
          <w:b/>
          <w:bCs/>
          <w:color w:val="auto"/>
          <w:sz w:val="21"/>
          <w:szCs w:val="21"/>
          <w:highlight w:val="none"/>
          <w:lang w:eastAsia="zh-CN"/>
        </w:rPr>
      </w:pPr>
      <w:r>
        <w:rPr>
          <w:rStyle w:val="24"/>
          <w:rFonts w:hint="eastAsia" w:ascii="宋体" w:hAnsi="宋体" w:eastAsia="宋体" w:cs="宋体"/>
          <w:b/>
          <w:bCs/>
          <w:color w:val="auto"/>
          <w:sz w:val="21"/>
          <w:szCs w:val="21"/>
          <w:highlight w:val="none"/>
          <w:lang w:eastAsia="zh-CN"/>
        </w:rPr>
        <w:t>履约评价考核方式：</w:t>
      </w:r>
    </w:p>
    <w:p>
      <w:pPr>
        <w:pStyle w:val="16"/>
        <w:numPr>
          <w:ilvl w:val="-1"/>
          <w:numId w:val="0"/>
        </w:numPr>
        <w:spacing w:line="360" w:lineRule="auto"/>
        <w:ind w:firstLine="420" w:firstLineChars="200"/>
        <w:jc w:val="both"/>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乙方完成本合同项下全部服务事项后20个工作日内向甲方提交项目</w:t>
      </w:r>
      <w:r>
        <w:rPr>
          <w:rStyle w:val="24"/>
          <w:rFonts w:hint="eastAsia" w:ascii="宋体" w:hAnsi="宋体" w:eastAsia="宋体" w:cs="宋体"/>
          <w:b w:val="0"/>
          <w:bCs w:val="0"/>
          <w:color w:val="auto"/>
          <w:sz w:val="21"/>
          <w:szCs w:val="21"/>
          <w:highlight w:val="none"/>
          <w:lang w:val="en-US" w:eastAsia="zh-CN"/>
        </w:rPr>
        <w:t>结算</w:t>
      </w:r>
      <w:r>
        <w:rPr>
          <w:rStyle w:val="24"/>
          <w:rFonts w:hint="eastAsia" w:ascii="宋体" w:hAnsi="宋体" w:eastAsia="宋体" w:cs="宋体"/>
          <w:b w:val="0"/>
          <w:bCs w:val="0"/>
          <w:color w:val="auto"/>
          <w:sz w:val="21"/>
          <w:szCs w:val="21"/>
          <w:highlight w:val="none"/>
          <w:lang w:eastAsia="zh-CN"/>
        </w:rPr>
        <w:t>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16"/>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乙方履约评价考核按下表执行，其中履约评价考核得分在60分以下（不含本数）者为不合格：</w:t>
      </w:r>
    </w:p>
    <w:tbl>
      <w:tblPr>
        <w:tblStyle w:val="19"/>
        <w:tblW w:w="8526" w:type="dxa"/>
        <w:tblInd w:w="0" w:type="dxa"/>
        <w:tblLayout w:type="autofit"/>
        <w:tblCellMar>
          <w:top w:w="0" w:type="dxa"/>
          <w:left w:w="108" w:type="dxa"/>
          <w:bottom w:w="0" w:type="dxa"/>
          <w:right w:w="108" w:type="dxa"/>
        </w:tblCellMar>
      </w:tblPr>
      <w:tblGrid>
        <w:gridCol w:w="2301"/>
        <w:gridCol w:w="4283"/>
        <w:gridCol w:w="1942"/>
      </w:tblGrid>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履约评价得分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对应支付的合同尾款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备注</w:t>
            </w:r>
          </w:p>
        </w:tc>
      </w:tr>
      <w:tr>
        <w:tblPrEx>
          <w:tblCellMar>
            <w:top w:w="0" w:type="dxa"/>
            <w:left w:w="108" w:type="dxa"/>
            <w:bottom w:w="0" w:type="dxa"/>
            <w:right w:w="108" w:type="dxa"/>
          </w:tblCellMar>
        </w:tblPrEx>
        <w:trPr>
          <w:trHeight w:val="16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80分以上（含80分）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default" w:ascii="宋体" w:hAnsi="宋体" w:cs="宋体"/>
                <w:szCs w:val="21"/>
                <w:highlight w:val="none"/>
              </w:rPr>
            </w:pPr>
            <w:r>
              <w:rPr>
                <w:rFonts w:hint="eastAsia" w:ascii="宋体" w:hAnsi="宋体" w:cs="宋体"/>
                <w:szCs w:val="21"/>
                <w:highlight w:val="none"/>
                <w:lang w:val="en-US" w:eastAsia="zh-CN"/>
              </w:rPr>
              <w:t>剩余尾款全额支付</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831" w:hRule="atLeast"/>
        </w:trPr>
        <w:tc>
          <w:tcPr>
            <w:tcW w:w="1349" w:type="pct"/>
            <w:tcBorders>
              <w:top w:val="single" w:color="000000" w:sz="4" w:space="0"/>
              <w:left w:val="single" w:color="000000" w:sz="4" w:space="0"/>
              <w:right w:val="single" w:color="000000" w:sz="4" w:space="0"/>
            </w:tcBorders>
            <w:noWrap w:val="0"/>
            <w:vAlign w:val="center"/>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0分以上，80分以下</w:t>
            </w:r>
          </w:p>
        </w:tc>
        <w:tc>
          <w:tcPr>
            <w:tcW w:w="2511" w:type="pct"/>
            <w:tcBorders>
              <w:top w:val="single" w:color="000000" w:sz="4" w:space="0"/>
              <w:left w:val="nil"/>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以80分为基准，履约评价实际得分每少1分，对应扣减合同总价款的1%，扣除后结算余款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p>
            <w:pPr>
              <w:widowControl w:val="0"/>
              <w:adjustRightInd w:val="0"/>
              <w:spacing w:line="360" w:lineRule="auto"/>
              <w:jc w:val="both"/>
              <w:rPr>
                <w:rFonts w:ascii="宋体" w:hAnsi="宋体" w:cs="宋体"/>
                <w:szCs w:val="21"/>
                <w:highlight w:val="none"/>
              </w:rPr>
            </w:pPr>
          </w:p>
        </w:tc>
      </w:tr>
      <w:tr>
        <w:tblPrEx>
          <w:tblCellMar>
            <w:top w:w="0" w:type="dxa"/>
            <w:left w:w="108" w:type="dxa"/>
            <w:bottom w:w="0" w:type="dxa"/>
            <w:right w:w="108" w:type="dxa"/>
          </w:tblCellMar>
        </w:tblPrEx>
        <w:trPr>
          <w:trHeight w:val="477" w:hRule="atLeast"/>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60分以下</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不付尾款</w:t>
            </w:r>
            <w:r>
              <w:rPr>
                <w:rFonts w:hint="eastAsia" w:ascii="宋体" w:hAnsi="宋体" w:cs="宋体"/>
                <w:szCs w:val="21"/>
                <w:highlight w:val="none"/>
              </w:rPr>
              <w:t>（不合格）</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Style w:val="24"/>
                <w:rFonts w:hint="eastAsia" w:ascii="宋体" w:hAnsi="宋体" w:eastAsia="宋体" w:cs="宋体"/>
                <w:b w:val="0"/>
                <w:bCs w:val="0"/>
                <w:color w:val="auto"/>
                <w:sz w:val="21"/>
                <w:szCs w:val="21"/>
                <w:highlight w:val="none"/>
                <w:lang w:val="en-US" w:eastAsia="zh-CN"/>
              </w:rPr>
              <w:t>并被剔除供应商库</w:t>
            </w:r>
          </w:p>
        </w:tc>
      </w:tr>
    </w:tbl>
    <w:p>
      <w:pPr>
        <w:pStyle w:val="16"/>
        <w:numPr>
          <w:ilvl w:val="-1"/>
          <w:numId w:val="0"/>
        </w:numPr>
        <w:spacing w:line="360" w:lineRule="auto"/>
        <w:ind w:firstLine="0" w:firstLineChars="0"/>
        <w:jc w:val="both"/>
        <w:rPr>
          <w:rStyle w:val="24"/>
          <w:rFonts w:hint="eastAsia" w:ascii="宋体" w:hAnsi="宋体" w:eastAsia="宋体" w:cs="宋体"/>
          <w:b/>
          <w:bCs/>
          <w:color w:val="auto"/>
          <w:sz w:val="21"/>
          <w:szCs w:val="21"/>
          <w:highlight w:val="none"/>
          <w:lang w:eastAsia="zh-CN"/>
        </w:rPr>
      </w:pPr>
    </w:p>
    <w:p>
      <w:pPr>
        <w:pStyle w:val="16"/>
        <w:numPr>
          <w:ilvl w:val="0"/>
          <w:numId w:val="9"/>
        </w:numPr>
        <w:spacing w:line="360" w:lineRule="auto"/>
        <w:ind w:firstLine="420" w:firstLineChars="0"/>
        <w:jc w:val="both"/>
        <w:rPr>
          <w:rStyle w:val="24"/>
          <w:rFonts w:hint="eastAsia" w:ascii="宋体" w:hAnsi="宋体" w:eastAsia="宋体" w:cs="宋体"/>
          <w:b/>
          <w:bCs/>
          <w:color w:val="auto"/>
          <w:sz w:val="21"/>
          <w:szCs w:val="21"/>
          <w:highlight w:val="none"/>
          <w:lang w:eastAsia="zh-CN"/>
        </w:rPr>
      </w:pPr>
      <w:r>
        <w:rPr>
          <w:rStyle w:val="24"/>
          <w:rFonts w:hint="eastAsia" w:ascii="宋体" w:hAnsi="宋体" w:eastAsia="宋体" w:cs="宋体"/>
          <w:b/>
          <w:bCs/>
          <w:color w:val="auto"/>
          <w:sz w:val="21"/>
          <w:szCs w:val="21"/>
          <w:highlight w:val="none"/>
          <w:lang w:eastAsia="zh-CN"/>
        </w:rPr>
        <w:t>履约评价</w:t>
      </w:r>
      <w:r>
        <w:rPr>
          <w:rStyle w:val="24"/>
          <w:rFonts w:hint="eastAsia" w:ascii="宋体" w:hAnsi="宋体" w:eastAsia="宋体" w:cs="宋体"/>
          <w:b/>
          <w:bCs/>
          <w:color w:val="auto"/>
          <w:sz w:val="21"/>
          <w:szCs w:val="21"/>
          <w:highlight w:val="none"/>
          <w:lang w:val="en-US" w:eastAsia="zh-CN"/>
        </w:rPr>
        <w:t>管理办法</w:t>
      </w:r>
      <w:r>
        <w:rPr>
          <w:rStyle w:val="24"/>
          <w:rFonts w:hint="eastAsia" w:ascii="宋体" w:hAnsi="宋体" w:eastAsia="宋体" w:cs="宋体"/>
          <w:b/>
          <w:bCs/>
          <w:color w:val="auto"/>
          <w:sz w:val="21"/>
          <w:szCs w:val="21"/>
          <w:highlight w:val="none"/>
          <w:lang w:eastAsia="zh-CN"/>
        </w:rPr>
        <w:t>：</w:t>
      </w:r>
    </w:p>
    <w:p>
      <w:pPr>
        <w:pStyle w:val="16"/>
        <w:spacing w:line="360" w:lineRule="auto"/>
        <w:ind w:firstLine="420" w:firstLineChars="20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val="en-US" w:eastAsia="zh-CN"/>
        </w:rPr>
        <w:t xml:space="preserve">第一条 </w:t>
      </w:r>
      <w:r>
        <w:rPr>
          <w:rStyle w:val="24"/>
          <w:rFonts w:hint="eastAsia" w:ascii="宋体" w:hAnsi="宋体" w:eastAsia="宋体" w:cs="宋体"/>
          <w:b w:val="0"/>
          <w:bCs w:val="0"/>
          <w:color w:val="auto"/>
          <w:sz w:val="21"/>
          <w:szCs w:val="21"/>
          <w:highlight w:val="none"/>
          <w:lang w:eastAsia="zh-CN"/>
        </w:rPr>
        <w:t>根据得分（用字母“N”表示）情况，履约评价结果分为以下五个等级：</w:t>
      </w:r>
    </w:p>
    <w:p>
      <w:pPr>
        <w:pStyle w:val="16"/>
        <w:numPr>
          <w:ilvl w:val="0"/>
          <w:numId w:val="10"/>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当N≥90分时，评价结果为优秀；</w:t>
      </w:r>
    </w:p>
    <w:p>
      <w:pPr>
        <w:pStyle w:val="16"/>
        <w:numPr>
          <w:ilvl w:val="0"/>
          <w:numId w:val="10"/>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当80≤N＜90分时，评价结果为良好；</w:t>
      </w:r>
    </w:p>
    <w:p>
      <w:pPr>
        <w:pStyle w:val="16"/>
        <w:numPr>
          <w:ilvl w:val="0"/>
          <w:numId w:val="10"/>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当70≤N＜80分时，评价结果为中等；</w:t>
      </w:r>
    </w:p>
    <w:p>
      <w:pPr>
        <w:pStyle w:val="16"/>
        <w:numPr>
          <w:ilvl w:val="0"/>
          <w:numId w:val="10"/>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当60≤N＜70分时，评价结果为合格；</w:t>
      </w:r>
    </w:p>
    <w:p>
      <w:pPr>
        <w:pStyle w:val="16"/>
        <w:numPr>
          <w:ilvl w:val="0"/>
          <w:numId w:val="10"/>
        </w:numPr>
        <w:spacing w:line="360" w:lineRule="auto"/>
        <w:ind w:left="425" w:hanging="425"/>
        <w:rPr>
          <w:rFonts w:hint="eastAsia"/>
          <w:highlight w:val="none"/>
          <w:lang w:eastAsia="zh-CN"/>
        </w:rPr>
      </w:pPr>
      <w:r>
        <w:rPr>
          <w:rStyle w:val="24"/>
          <w:rFonts w:hint="eastAsia" w:ascii="宋体" w:hAnsi="宋体" w:eastAsia="宋体" w:cs="宋体"/>
          <w:b w:val="0"/>
          <w:bCs w:val="0"/>
          <w:color w:val="auto"/>
          <w:sz w:val="21"/>
          <w:szCs w:val="21"/>
          <w:highlight w:val="none"/>
          <w:lang w:eastAsia="zh-CN"/>
        </w:rPr>
        <w:t>当N＜60分时，评价结果为不合格。</w:t>
      </w:r>
    </w:p>
    <w:p>
      <w:pPr>
        <w:pStyle w:val="16"/>
        <w:spacing w:line="360" w:lineRule="auto"/>
        <w:ind w:firstLine="0"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　　第</w:t>
      </w:r>
      <w:r>
        <w:rPr>
          <w:rStyle w:val="24"/>
          <w:rFonts w:hint="eastAsia" w:ascii="宋体" w:hAnsi="宋体" w:eastAsia="宋体" w:cs="宋体"/>
          <w:b w:val="0"/>
          <w:bCs w:val="0"/>
          <w:color w:val="auto"/>
          <w:sz w:val="21"/>
          <w:szCs w:val="21"/>
          <w:highlight w:val="none"/>
          <w:lang w:val="en-US" w:eastAsia="zh-CN"/>
        </w:rPr>
        <w:t>二</w:t>
      </w:r>
      <w:r>
        <w:rPr>
          <w:rStyle w:val="24"/>
          <w:rFonts w:hint="eastAsia" w:ascii="宋体" w:hAnsi="宋体" w:eastAsia="宋体" w:cs="宋体"/>
          <w:b w:val="0"/>
          <w:bCs w:val="0"/>
          <w:color w:val="auto"/>
          <w:sz w:val="21"/>
          <w:szCs w:val="21"/>
          <w:highlight w:val="none"/>
          <w:lang w:eastAsia="zh-CN"/>
        </w:rPr>
        <w:t>条 有下列情形之一的，</w:t>
      </w:r>
      <w:r>
        <w:rPr>
          <w:rStyle w:val="24"/>
          <w:rFonts w:hint="eastAsia" w:ascii="宋体" w:hAnsi="宋体" w:eastAsia="宋体" w:cs="宋体"/>
          <w:b w:val="0"/>
          <w:bCs w:val="0"/>
          <w:color w:val="auto"/>
          <w:sz w:val="21"/>
          <w:szCs w:val="21"/>
          <w:highlight w:val="none"/>
          <w:lang w:val="en-US" w:eastAsia="zh-CN"/>
        </w:rPr>
        <w:t>供应</w:t>
      </w:r>
      <w:r>
        <w:rPr>
          <w:rStyle w:val="24"/>
          <w:rFonts w:hint="eastAsia" w:ascii="宋体" w:hAnsi="宋体" w:eastAsia="宋体" w:cs="宋体"/>
          <w:b w:val="0"/>
          <w:bCs w:val="0"/>
          <w:color w:val="auto"/>
          <w:sz w:val="21"/>
          <w:szCs w:val="21"/>
          <w:highlight w:val="none"/>
          <w:lang w:eastAsia="zh-CN"/>
        </w:rPr>
        <w:t>商</w:t>
      </w:r>
      <w:r>
        <w:rPr>
          <w:rStyle w:val="24"/>
          <w:rFonts w:hint="eastAsia" w:ascii="宋体" w:hAnsi="宋体" w:eastAsia="宋体" w:cs="宋体"/>
          <w:b w:val="0"/>
          <w:bCs w:val="0"/>
          <w:color w:val="auto"/>
          <w:sz w:val="21"/>
          <w:szCs w:val="21"/>
          <w:highlight w:val="none"/>
          <w:lang w:val="en-US" w:eastAsia="zh-CN"/>
        </w:rPr>
        <w:t>/承包商</w:t>
      </w:r>
      <w:r>
        <w:rPr>
          <w:rStyle w:val="24"/>
          <w:rFonts w:hint="eastAsia" w:ascii="宋体" w:hAnsi="宋体" w:eastAsia="宋体" w:cs="宋体"/>
          <w:b w:val="0"/>
          <w:bCs w:val="0"/>
          <w:color w:val="auto"/>
          <w:sz w:val="21"/>
          <w:szCs w:val="21"/>
          <w:highlight w:val="none"/>
          <w:lang w:eastAsia="zh-CN"/>
        </w:rPr>
        <w:t>履约评价不得被评为优秀、良好等级，履约评价得分不得高于79分：</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因自身原因拖延合同工期6个月以上的；</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项目管理班子未按投标承诺配备或者不到位的；</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经认定使用假冒伪劣材料或偷工减料的；</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因自身原因造成工程发生一般质量安全事故的；</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因设计原因导致工程变更超过施工合同价5%的（仅限设计合同）;</w:t>
      </w:r>
    </w:p>
    <w:p>
      <w:pPr>
        <w:pStyle w:val="16"/>
        <w:numPr>
          <w:ilvl w:val="0"/>
          <w:numId w:val="11"/>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招标文件或者合同文件中列明的其他情形。</w:t>
      </w:r>
    </w:p>
    <w:p>
      <w:pPr>
        <w:pStyle w:val="16"/>
        <w:spacing w:line="360" w:lineRule="auto"/>
        <w:ind w:firstLine="0"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　　第</w:t>
      </w:r>
      <w:r>
        <w:rPr>
          <w:rStyle w:val="24"/>
          <w:rFonts w:hint="eastAsia" w:ascii="宋体" w:hAnsi="宋体" w:eastAsia="宋体" w:cs="宋体"/>
          <w:b w:val="0"/>
          <w:bCs w:val="0"/>
          <w:color w:val="auto"/>
          <w:sz w:val="21"/>
          <w:szCs w:val="21"/>
          <w:highlight w:val="none"/>
          <w:lang w:val="en-US" w:eastAsia="zh-CN"/>
        </w:rPr>
        <w:t>三</w:t>
      </w:r>
      <w:r>
        <w:rPr>
          <w:rStyle w:val="24"/>
          <w:rFonts w:hint="eastAsia" w:ascii="宋体" w:hAnsi="宋体" w:eastAsia="宋体" w:cs="宋体"/>
          <w:b w:val="0"/>
          <w:bCs w:val="0"/>
          <w:color w:val="auto"/>
          <w:sz w:val="21"/>
          <w:szCs w:val="21"/>
          <w:highlight w:val="none"/>
          <w:lang w:eastAsia="zh-CN"/>
        </w:rPr>
        <w:t>条 有下列情形之一的，</w:t>
      </w:r>
      <w:r>
        <w:rPr>
          <w:rStyle w:val="24"/>
          <w:rFonts w:hint="eastAsia" w:ascii="宋体" w:hAnsi="宋体" w:eastAsia="宋体" w:cs="宋体"/>
          <w:b w:val="0"/>
          <w:bCs w:val="0"/>
          <w:color w:val="auto"/>
          <w:sz w:val="21"/>
          <w:szCs w:val="21"/>
          <w:highlight w:val="none"/>
          <w:lang w:val="en-US" w:eastAsia="zh-CN"/>
        </w:rPr>
        <w:t>供应商/</w:t>
      </w:r>
      <w:r>
        <w:rPr>
          <w:rStyle w:val="24"/>
          <w:rFonts w:hint="eastAsia" w:ascii="宋体" w:hAnsi="宋体" w:eastAsia="宋体" w:cs="宋体"/>
          <w:b w:val="0"/>
          <w:bCs w:val="0"/>
          <w:color w:val="auto"/>
          <w:sz w:val="21"/>
          <w:szCs w:val="21"/>
          <w:highlight w:val="none"/>
          <w:lang w:eastAsia="zh-CN"/>
        </w:rPr>
        <w:t>承包商履约评价直接被评为“不合格”，得分不得高于59分，</w:t>
      </w:r>
      <w:r>
        <w:rPr>
          <w:rStyle w:val="24"/>
          <w:rFonts w:hint="eastAsia" w:ascii="宋体" w:hAnsi="宋体" w:eastAsia="宋体" w:cs="宋体"/>
          <w:b w:val="0"/>
          <w:bCs w:val="0"/>
          <w:color w:val="auto"/>
          <w:sz w:val="21"/>
          <w:szCs w:val="21"/>
          <w:highlight w:val="none"/>
          <w:lang w:val="en-US" w:eastAsia="zh-CN"/>
        </w:rPr>
        <w:t>并被剔除供应商库</w:t>
      </w:r>
      <w:r>
        <w:rPr>
          <w:rStyle w:val="24"/>
          <w:rFonts w:hint="eastAsia" w:ascii="宋体" w:hAnsi="宋体" w:eastAsia="宋体" w:cs="宋体"/>
          <w:b w:val="0"/>
          <w:bCs w:val="0"/>
          <w:color w:val="auto"/>
          <w:sz w:val="21"/>
          <w:szCs w:val="21"/>
          <w:highlight w:val="none"/>
          <w:lang w:eastAsia="zh-CN"/>
        </w:rPr>
        <w:t>：</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因自身原因拖延合同工期12个月以上的；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因拖欠工人工资或分包商工程款，引发群体性上访事件的；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因自身原因未按合同约定提交</w:t>
      </w:r>
      <w:r>
        <w:rPr>
          <w:rStyle w:val="24"/>
          <w:rFonts w:hint="eastAsia" w:ascii="宋体" w:hAnsi="宋体" w:eastAsia="宋体" w:cs="宋体"/>
          <w:b w:val="0"/>
          <w:bCs w:val="0"/>
          <w:color w:val="auto"/>
          <w:sz w:val="21"/>
          <w:szCs w:val="21"/>
          <w:highlight w:val="none"/>
          <w:lang w:val="en-US" w:eastAsia="zh-CN"/>
        </w:rPr>
        <w:t>项目结算</w:t>
      </w:r>
      <w:r>
        <w:rPr>
          <w:rStyle w:val="24"/>
          <w:rFonts w:hint="eastAsia" w:ascii="宋体" w:hAnsi="宋体" w:eastAsia="宋体" w:cs="宋体"/>
          <w:b w:val="0"/>
          <w:bCs w:val="0"/>
          <w:color w:val="auto"/>
          <w:sz w:val="21"/>
          <w:szCs w:val="21"/>
          <w:highlight w:val="none"/>
          <w:lang w:eastAsia="zh-CN"/>
        </w:rPr>
        <w:t>报告的；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经认定使用假冒伪劣材料或偷工减料，情节恶劣或者情形严重的；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因自身原因造成工程发生较大及以上质量安全事故的；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因该工程存在串通投标、转包、以他人名义投标、违法分包或者弄虚作假等违法行为，被行政监督部门行政处罚的；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经纪检监察机关或者有关部门认定，存在贿赂政府部门公职人员的行为的；</w:t>
      </w:r>
    </w:p>
    <w:p>
      <w:pPr>
        <w:pStyle w:val="16"/>
        <w:numPr>
          <w:ilvl w:val="0"/>
          <w:numId w:val="12"/>
        </w:numPr>
        <w:spacing w:line="360" w:lineRule="auto"/>
        <w:ind w:left="425" w:hanging="425" w:firstLineChars="0"/>
        <w:rPr>
          <w:rStyle w:val="24"/>
          <w:rFonts w:hint="eastAsia" w:ascii="宋体" w:hAnsi="宋体" w:eastAsia="宋体" w:cs="宋体"/>
          <w:b w:val="0"/>
          <w:bCs w:val="0"/>
          <w:color w:val="auto"/>
          <w:sz w:val="21"/>
          <w:szCs w:val="21"/>
          <w:highlight w:val="none"/>
          <w:lang w:eastAsia="zh-CN"/>
        </w:rPr>
      </w:pPr>
      <w:r>
        <w:rPr>
          <w:rStyle w:val="24"/>
          <w:rFonts w:hint="eastAsia" w:ascii="宋体" w:hAnsi="宋体" w:eastAsia="宋体" w:cs="宋体"/>
          <w:b w:val="0"/>
          <w:bCs w:val="0"/>
          <w:color w:val="auto"/>
          <w:sz w:val="21"/>
          <w:szCs w:val="21"/>
          <w:highlight w:val="none"/>
          <w:lang w:eastAsia="zh-CN"/>
        </w:rPr>
        <w:t>招标文件或者合同文件中列明的其他情形。</w:t>
      </w:r>
    </w:p>
    <w:p>
      <w:pPr>
        <w:spacing w:line="360" w:lineRule="auto"/>
        <w:ind w:left="735" w:leftChars="350"/>
        <w:rPr>
          <w:rFonts w:ascii="宋体" w:hAnsi="宋体" w:cs="Arial"/>
          <w:color w:val="000000" w:themeColor="text1"/>
          <w:szCs w:val="21"/>
          <w14:textFill>
            <w14:solidFill>
              <w14:schemeClr w14:val="tx1"/>
            </w14:solidFill>
          </w14:textFill>
        </w:rPr>
      </w:pPr>
    </w:p>
    <w:p>
      <w:pPr>
        <w:spacing w:line="360" w:lineRule="auto"/>
        <w:ind w:left="735" w:leftChars="350"/>
        <w:rPr>
          <w:rFonts w:ascii="宋体" w:hAnsi="宋体" w:cs="Arial"/>
          <w:color w:val="000000" w:themeColor="text1"/>
          <w:szCs w:val="21"/>
          <w14:textFill>
            <w14:solidFill>
              <w14:schemeClr w14:val="tx1"/>
            </w14:solidFill>
          </w14:textFill>
        </w:rPr>
      </w:pP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注：</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本招标项目要求中凡标有“★”号条款均为重要的要求，不可偏离。</w:t>
      </w:r>
    </w:p>
    <w:p>
      <w:pPr>
        <w:pageBreakBefore w:val="0"/>
        <w:kinsoku/>
        <w:wordWrap/>
        <w:overflowPunct/>
        <w:topLinePunct w:val="0"/>
        <w:bidi w:val="0"/>
        <w:spacing w:line="360" w:lineRule="auto"/>
        <w:ind w:left="0" w:leftChars="0" w:right="0" w:firstLine="840" w:firstLineChars="4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招标方在本招标文件中所列举的各类需求应视为保证本项目开展所需的最低要求，如有遗漏，投标方应予以补充，否则一旦中标将认为投标方认同遗漏部分并免费提供。</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widowControl/>
        <w:jc w:val="center"/>
        <w:rPr>
          <w:rFonts w:eastAsia="黑体"/>
          <w:sz w:val="52"/>
          <w:szCs w:val="52"/>
        </w:rPr>
      </w:pPr>
    </w:p>
    <w:p>
      <w:pPr>
        <w:pStyle w:val="3"/>
        <w:jc w:val="center"/>
      </w:pPr>
      <w:bookmarkStart w:id="22" w:name="_Toc12236"/>
      <w:r>
        <w:rPr>
          <w:rFonts w:hint="eastAsia" w:eastAsia="宋体"/>
          <w:sz w:val="44"/>
          <w:szCs w:val="44"/>
        </w:rPr>
        <w:t>招标文件第二册</w:t>
      </w:r>
      <w:bookmarkEnd w:id="22"/>
    </w:p>
    <w:p>
      <w:pPr>
        <w:jc w:val="center"/>
        <w:rPr>
          <w:rFonts w:ascii="黑体" w:eastAsia="黑体"/>
          <w:sz w:val="44"/>
          <w:szCs w:val="44"/>
        </w:rPr>
      </w:pPr>
    </w:p>
    <w:p>
      <w:pPr>
        <w:widowControl/>
        <w:jc w:val="left"/>
        <w:rPr>
          <w:rFonts w:ascii="黑体" w:eastAsia="黑体"/>
          <w:sz w:val="44"/>
          <w:szCs w:val="44"/>
        </w:rPr>
      </w:pPr>
      <w:r>
        <w:rPr>
          <w:rFonts w:ascii="黑体" w:eastAsia="黑体"/>
          <w:sz w:val="44"/>
          <w:szCs w:val="44"/>
        </w:rPr>
        <w:br w:type="page"/>
      </w:r>
    </w:p>
    <w:p>
      <w:pPr>
        <w:widowControl/>
        <w:numPr>
          <w:ilvl w:val="0"/>
          <w:numId w:val="1"/>
        </w:numPr>
        <w:spacing w:before="312" w:beforeLines="100" w:after="312" w:afterLines="100"/>
        <w:ind w:firstLine="402"/>
        <w:jc w:val="center"/>
        <w:outlineLvl w:val="0"/>
        <w:rPr>
          <w:rFonts w:ascii="黑体" w:eastAsia="黑体"/>
          <w:sz w:val="44"/>
          <w:szCs w:val="44"/>
        </w:rPr>
      </w:pPr>
      <w:bookmarkStart w:id="23" w:name="_Toc17444"/>
      <w:r>
        <w:rPr>
          <w:rFonts w:hint="eastAsia" w:ascii="黑体" w:eastAsia="黑体"/>
          <w:sz w:val="44"/>
          <w:szCs w:val="44"/>
        </w:rPr>
        <w:t>投标人须知</w:t>
      </w:r>
      <w:bookmarkEnd w:id="23"/>
    </w:p>
    <w:p>
      <w:pPr>
        <w:jc w:val="center"/>
        <w:rPr>
          <w:rFonts w:ascii="黑体" w:eastAsia="黑体"/>
          <w:sz w:val="32"/>
          <w:szCs w:val="32"/>
        </w:rPr>
      </w:pPr>
      <w:r>
        <w:rPr>
          <w:rFonts w:hint="eastAsia" w:ascii="黑体" w:eastAsia="黑体"/>
          <w:sz w:val="32"/>
          <w:szCs w:val="32"/>
        </w:rPr>
        <w:t>一、说明</w:t>
      </w:r>
    </w:p>
    <w:p/>
    <w:p>
      <w:pPr>
        <w:numPr>
          <w:ilvl w:val="0"/>
          <w:numId w:val="13"/>
        </w:numPr>
        <w:rPr>
          <w:rFonts w:ascii="黑体" w:eastAsia="黑体"/>
          <w:b/>
        </w:rPr>
      </w:pPr>
      <w:r>
        <w:rPr>
          <w:rFonts w:hint="eastAsia" w:ascii="黑体" w:eastAsia="黑体"/>
          <w:b/>
        </w:rPr>
        <w:t>招标人及资金来源</w:t>
      </w:r>
    </w:p>
    <w:p>
      <w:pPr>
        <w:numPr>
          <w:ilvl w:val="1"/>
          <w:numId w:val="13"/>
        </w:numPr>
        <w:outlineLvl w:val="0"/>
      </w:pPr>
      <w:bookmarkStart w:id="24" w:name="_Ref179620493"/>
      <w:bookmarkStart w:id="25" w:name="_Toc17232"/>
      <w:bookmarkStart w:id="26" w:name="_Toc24637"/>
      <w:bookmarkStart w:id="27" w:name="_Toc17274"/>
      <w:r>
        <w:rPr>
          <w:rFonts w:hint="eastAsia"/>
        </w:rPr>
        <w:t>招标人名称</w:t>
      </w:r>
      <w:bookmarkEnd w:id="24"/>
      <w:r>
        <w:rPr>
          <w:rFonts w:hint="eastAsia"/>
        </w:rPr>
        <w:t xml:space="preserve">: </w:t>
      </w:r>
      <w:r>
        <w:rPr>
          <w:rFonts w:hint="eastAsia" w:ascii="宋体" w:hAnsi="宋体" w:cs="仿宋_GB2312"/>
          <w:color w:val="000000" w:themeColor="text1"/>
          <w:lang w:eastAsia="zh-CN"/>
          <w14:textFill>
            <w14:solidFill>
              <w14:schemeClr w14:val="tx1"/>
            </w14:solidFill>
          </w14:textFill>
        </w:rPr>
        <w:t>深圳市设计之都运营发展有限公司</w:t>
      </w:r>
      <w:bookmarkEnd w:id="25"/>
      <w:bookmarkEnd w:id="26"/>
      <w:bookmarkEnd w:id="27"/>
    </w:p>
    <w:p>
      <w:pPr>
        <w:numPr>
          <w:ilvl w:val="1"/>
          <w:numId w:val="13"/>
        </w:numPr>
      </w:pPr>
      <w:bookmarkStart w:id="28" w:name="_Ref179620507"/>
      <w:r>
        <w:rPr>
          <w:rFonts w:hint="eastAsia"/>
        </w:rPr>
        <w:t>招标人已拥有一笔资金/贷款。招标人计划将一部分资金/贷款用于支付本次招标后所签订合同项下的款项，资金来源为自有资金。</w:t>
      </w:r>
      <w:bookmarkEnd w:id="28"/>
    </w:p>
    <w:p>
      <w:pPr>
        <w:ind w:left="907"/>
        <w:rPr>
          <w:color w:val="000000" w:themeColor="text1"/>
          <w14:textFill>
            <w14:solidFill>
              <w14:schemeClr w14:val="tx1"/>
            </w14:solidFill>
          </w14:textFill>
        </w:rPr>
      </w:pPr>
    </w:p>
    <w:p>
      <w:pPr>
        <w:numPr>
          <w:ilvl w:val="0"/>
          <w:numId w:val="13"/>
        </w:numPr>
        <w:rPr>
          <w:rFonts w:ascii="黑体" w:eastAsia="黑体"/>
          <w:b/>
          <w:color w:val="000000" w:themeColor="text1"/>
          <w14:textFill>
            <w14:solidFill>
              <w14:schemeClr w14:val="tx1"/>
            </w14:solidFill>
          </w14:textFill>
        </w:rPr>
      </w:pPr>
      <w:bookmarkStart w:id="29" w:name="_Ref179620057"/>
      <w:r>
        <w:rPr>
          <w:rFonts w:hint="eastAsia" w:ascii="黑体" w:eastAsia="黑体"/>
          <w:b/>
          <w:color w:val="000000" w:themeColor="text1"/>
          <w14:textFill>
            <w14:solidFill>
              <w14:schemeClr w14:val="tx1"/>
            </w14:solidFill>
          </w14:textFill>
        </w:rPr>
        <w:t>合格的投标人</w:t>
      </w:r>
      <w:bookmarkEnd w:id="29"/>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除非下文另有规定，凡是在中华人民共和国境内注册且为人民币流通区域内的供货人均可投标。</w:t>
      </w:r>
    </w:p>
    <w:p>
      <w:pPr>
        <w:numPr>
          <w:ilvl w:val="1"/>
          <w:numId w:val="13"/>
        </w:num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近两年来无深圳地区任何招投标中心的不良记录，不得有任何违反《深圳经济特区政府采购条例》；</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只有在法律上和财务上独立、合法运作并独立于招标人和招标机构的供货人才能参加投标。</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投标人不得直接或间接地与招标人为采购本次招标的货物进行设计、编制规范和其他文件所委托的咨询公司或其附属机构有任何关联。</w:t>
      </w:r>
    </w:p>
    <w:p>
      <w:pPr>
        <w:numPr>
          <w:ilvl w:val="1"/>
          <w:numId w:val="13"/>
        </w:numPr>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本项目不接受联合体投标</w:t>
      </w:r>
      <w:r>
        <w:rPr>
          <w:rFonts w:hint="eastAsia"/>
          <w:color w:val="000000" w:themeColor="text1"/>
          <w14:textFill>
            <w14:solidFill>
              <w14:schemeClr w14:val="tx1"/>
            </w14:solidFill>
          </w14:textFill>
        </w:rPr>
        <w:t>。</w:t>
      </w:r>
    </w:p>
    <w:p>
      <w:pPr>
        <w:numPr>
          <w:ilvl w:val="1"/>
          <w:numId w:val="13"/>
        </w:num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投标资料表要求的其他条件。</w:t>
      </w:r>
    </w:p>
    <w:p/>
    <w:p/>
    <w:p>
      <w:pPr>
        <w:jc w:val="center"/>
        <w:rPr>
          <w:rFonts w:ascii="黑体" w:eastAsia="黑体"/>
          <w:sz w:val="32"/>
          <w:szCs w:val="32"/>
        </w:rPr>
      </w:pPr>
      <w:r>
        <w:rPr>
          <w:rFonts w:hint="eastAsia" w:ascii="黑体" w:eastAsia="黑体"/>
          <w:sz w:val="32"/>
          <w:szCs w:val="32"/>
        </w:rPr>
        <w:t>二、招标文件</w:t>
      </w:r>
    </w:p>
    <w:p>
      <w:pPr>
        <w:ind w:firstLine="420" w:firstLineChars="200"/>
      </w:pPr>
    </w:p>
    <w:p>
      <w:pPr>
        <w:numPr>
          <w:ilvl w:val="0"/>
          <w:numId w:val="13"/>
        </w:numPr>
        <w:rPr>
          <w:rFonts w:ascii="黑体" w:eastAsia="黑体"/>
          <w:b/>
        </w:rPr>
      </w:pPr>
      <w:r>
        <w:rPr>
          <w:rFonts w:hint="eastAsia" w:ascii="黑体" w:eastAsia="黑体"/>
          <w:b/>
        </w:rPr>
        <w:t>招标文件的构成</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要求提供的货物、招标过程和合同条件在招标文件中均有说明。</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招标文件共六章，分两册。第一册的内容是对具体招标项目的说明、补充、完善和对第二册的修改等，第二册是招标文件的通用条款，第一册与第二册内容如有差异，以第一册内容为准。</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各册的内容如下：</w:t>
      </w:r>
    </w:p>
    <w:p>
      <w:pPr>
        <w:ind w:firstLine="420" w:firstLineChars="200"/>
        <w:rPr>
          <w:color w:val="000000" w:themeColor="text1"/>
          <w14:textFill>
            <w14:solidFill>
              <w14:schemeClr w14:val="tx1"/>
            </w14:solidFill>
          </w14:textFill>
        </w:rPr>
      </w:pPr>
    </w:p>
    <w:p>
      <w:pPr>
        <w:ind w:left="899" w:leftChars="428"/>
        <w:rPr>
          <w:b/>
          <w:color w:val="000000" w:themeColor="text1"/>
          <w14:textFill>
            <w14:solidFill>
              <w14:schemeClr w14:val="tx1"/>
            </w14:solidFill>
          </w14:textFill>
        </w:rPr>
      </w:pPr>
      <w:r>
        <w:rPr>
          <w:rFonts w:hint="eastAsia"/>
          <w:b/>
          <w:color w:val="000000" w:themeColor="text1"/>
          <w14:textFill>
            <w14:solidFill>
              <w14:schemeClr w14:val="tx1"/>
            </w14:solidFill>
          </w14:textFill>
        </w:rPr>
        <w:t>第一册</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投标邀请</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投标资料表</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第三章 用户需求书</w:t>
      </w:r>
    </w:p>
    <w:p>
      <w:pPr>
        <w:ind w:left="899" w:leftChars="428"/>
        <w:rPr>
          <w:color w:val="000000" w:themeColor="text1"/>
          <w14:textFill>
            <w14:solidFill>
              <w14:schemeClr w14:val="tx1"/>
            </w14:solidFill>
          </w14:textFill>
        </w:rPr>
      </w:pPr>
    </w:p>
    <w:p>
      <w:pPr>
        <w:ind w:left="899" w:leftChars="428"/>
        <w:rPr>
          <w:b/>
          <w:color w:val="000000" w:themeColor="text1"/>
          <w14:textFill>
            <w14:solidFill>
              <w14:schemeClr w14:val="tx1"/>
            </w14:solidFill>
          </w14:textFill>
        </w:rPr>
      </w:pPr>
      <w:r>
        <w:rPr>
          <w:rFonts w:hint="eastAsia"/>
          <w:b/>
          <w:color w:val="000000" w:themeColor="text1"/>
          <w14:textFill>
            <w14:solidFill>
              <w14:schemeClr w14:val="tx1"/>
            </w14:solidFill>
          </w14:textFill>
        </w:rPr>
        <w:t>第二册</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第四章 投标人须知</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第五章 合同条款</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第六章 附件</w:t>
      </w:r>
    </w:p>
    <w:p/>
    <w:p>
      <w:pPr>
        <w:numPr>
          <w:ilvl w:val="1"/>
          <w:numId w:val="13"/>
        </w:numPr>
      </w:pPr>
      <w:r>
        <w:rPr>
          <w:rFonts w:hint="eastAsia"/>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
      <w:pPr>
        <w:numPr>
          <w:ilvl w:val="0"/>
          <w:numId w:val="13"/>
        </w:numPr>
        <w:rPr>
          <w:rFonts w:ascii="黑体" w:eastAsia="黑体"/>
          <w:b/>
        </w:rPr>
      </w:pPr>
      <w:r>
        <w:rPr>
          <w:rFonts w:hint="eastAsia" w:ascii="黑体" w:eastAsia="黑体"/>
          <w:b/>
        </w:rPr>
        <w:t>招标文件的询问、质疑或澄清</w:t>
      </w:r>
    </w:p>
    <w:p>
      <w:pPr>
        <w:numPr>
          <w:ilvl w:val="1"/>
          <w:numId w:val="13"/>
        </w:numPr>
      </w:pPr>
      <w:r>
        <w:rPr>
          <w:rFonts w:hint="eastAsia"/>
        </w:rPr>
        <w:t>投标人如对本项目招标文件的所有内容（包括澄清，以及所有已提供的参考资料和有关附件）存在疑问，请在递交投标文件时间截止前向招标人提出询问或质疑。逾期将不再受理。</w:t>
      </w:r>
    </w:p>
    <w:p>
      <w:pPr>
        <w:numPr>
          <w:ilvl w:val="1"/>
          <w:numId w:val="13"/>
        </w:numPr>
      </w:pPr>
      <w:r>
        <w:rPr>
          <w:rFonts w:hint="eastAsia"/>
        </w:rPr>
        <w:t>询问或质疑应于递交投标文件截止时间前以书面形式（须加盖投标人公章）向招标人提出并送至招标人，逾期则视为接受招标文件所有内容。</w:t>
      </w:r>
    </w:p>
    <w:p>
      <w:pPr>
        <w:numPr>
          <w:ilvl w:val="1"/>
          <w:numId w:val="13"/>
        </w:numPr>
      </w:pPr>
      <w:r>
        <w:rPr>
          <w:rFonts w:hint="eastAsia"/>
        </w:rPr>
        <w:t>招标人对在递交投标文件截止时间前收到的对招标文件的询问或质疑均以书面形式予以答复，同时将书面答复以投标人须知5.2所述方式发给每个报名参与的投标人（答复中不包括问题的来源)；如有需要，招标人可专门组织招标文件答疑会议。</w:t>
      </w:r>
    </w:p>
    <w:p/>
    <w:p>
      <w:pPr>
        <w:numPr>
          <w:ilvl w:val="0"/>
          <w:numId w:val="13"/>
        </w:numPr>
        <w:rPr>
          <w:rFonts w:ascii="黑体" w:eastAsia="黑体"/>
          <w:b/>
        </w:rPr>
      </w:pPr>
      <w:bookmarkStart w:id="30" w:name="_Ref179619612"/>
      <w:r>
        <w:rPr>
          <w:rFonts w:hint="eastAsia" w:ascii="黑体" w:eastAsia="黑体"/>
          <w:b/>
        </w:rPr>
        <w:t>招标文件的修改</w:t>
      </w:r>
      <w:bookmarkEnd w:id="30"/>
    </w:p>
    <w:p>
      <w:pPr>
        <w:numPr>
          <w:ilvl w:val="1"/>
          <w:numId w:val="13"/>
        </w:numPr>
      </w:pPr>
      <w:r>
        <w:rPr>
          <w:rFonts w:hint="eastAsia"/>
          <w:szCs w:val="21"/>
          <w:lang w:val="zh-CN"/>
        </w:rPr>
        <w:t>在递交投标文件截止日期前的任何时候，无论何故，招标人可主动地或在答复投标人提出澄清的问题时对招标文件进行修改。</w:t>
      </w:r>
    </w:p>
    <w:p>
      <w:pPr>
        <w:numPr>
          <w:ilvl w:val="1"/>
          <w:numId w:val="13"/>
        </w:numPr>
      </w:pPr>
      <w:bookmarkStart w:id="31" w:name="_Ref179619147"/>
      <w:r>
        <w:rPr>
          <w:rFonts w:hint="eastAsia"/>
        </w:rPr>
        <w:t>招标文件的修改是招标文件的组成部分，招标文件的修改均在</w:t>
      </w:r>
      <w:r>
        <w:rPr>
          <w:rFonts w:hint="eastAsia" w:ascii="宋体" w:hAnsi="宋体" w:eastAsia="宋体" w:cs="宋体"/>
          <w:color w:val="auto"/>
        </w:rPr>
        <w:t>深广电采购网</w:t>
      </w:r>
      <w:r>
        <w:fldChar w:fldCharType="begin"/>
      </w:r>
      <w:r>
        <w:instrText xml:space="preserve"> HYPERLINK "http://cg.szmg.com.cn/" </w:instrText>
      </w:r>
      <w:r>
        <w:fldChar w:fldCharType="separate"/>
      </w:r>
      <w:r>
        <w:rPr>
          <w:rStyle w:val="22"/>
        </w:rPr>
        <w:t>http://cg.szmg.com.cn/</w:t>
      </w:r>
      <w:r>
        <w:rPr>
          <w:rStyle w:val="23"/>
        </w:rPr>
        <w:fldChar w:fldCharType="end"/>
      </w:r>
      <w:r>
        <w:rPr>
          <w:rStyle w:val="23"/>
          <w:rFonts w:hint="eastAsia"/>
          <w:lang w:val="en-US" w:eastAsia="zh-CN"/>
        </w:rPr>
        <w:t>或</w:t>
      </w:r>
      <w:r>
        <w:rPr>
          <w:rStyle w:val="23"/>
          <w:rFonts w:hint="eastAsia"/>
        </w:rPr>
        <w:t>设计之都公司官网https://www.designcities.cn/</w:t>
      </w:r>
      <w:r>
        <w:rPr>
          <w:rFonts w:hint="eastAsia"/>
        </w:rPr>
        <w:t>以网上公告形式发布，并对投标人具有约束力，招标期间，投标人有义务上网查看，公告一经上网发布，即视为送达。</w:t>
      </w:r>
      <w:bookmarkEnd w:id="31"/>
    </w:p>
    <w:p>
      <w:pPr>
        <w:numPr>
          <w:ilvl w:val="1"/>
          <w:numId w:val="13"/>
        </w:numPr>
      </w:pPr>
      <w:r>
        <w:rPr>
          <w:rFonts w:hint="eastAsia"/>
        </w:rPr>
        <w:t>为使投标人准备投标时有充分时间对招标文件的修改部分进行研究，招标人可适当推迟投标截止期。</w:t>
      </w:r>
    </w:p>
    <w:p>
      <w:pPr>
        <w:ind w:firstLine="420" w:firstLineChars="200"/>
      </w:pPr>
    </w:p>
    <w:p>
      <w:pPr>
        <w:jc w:val="center"/>
        <w:rPr>
          <w:rFonts w:ascii="黑体" w:eastAsia="黑体"/>
          <w:sz w:val="32"/>
          <w:szCs w:val="32"/>
        </w:rPr>
      </w:pPr>
      <w:r>
        <w:rPr>
          <w:rFonts w:hint="eastAsia" w:ascii="黑体" w:eastAsia="黑体"/>
          <w:sz w:val="32"/>
          <w:szCs w:val="32"/>
        </w:rPr>
        <w:t>三、投标文件的编制</w:t>
      </w:r>
    </w:p>
    <w:p>
      <w:pPr>
        <w:ind w:firstLine="420" w:firstLineChars="200"/>
      </w:pPr>
    </w:p>
    <w:p>
      <w:pPr>
        <w:numPr>
          <w:ilvl w:val="0"/>
          <w:numId w:val="13"/>
        </w:numPr>
        <w:rPr>
          <w:rFonts w:ascii="黑体" w:eastAsia="黑体"/>
          <w:b/>
        </w:rPr>
      </w:pPr>
      <w:r>
        <w:rPr>
          <w:rFonts w:hint="eastAsia" w:ascii="黑体" w:eastAsia="黑体"/>
          <w:b/>
        </w:rPr>
        <w:t>投标的语言</w:t>
      </w:r>
    </w:p>
    <w:p>
      <w:pPr>
        <w:numPr>
          <w:ilvl w:val="1"/>
          <w:numId w:val="13"/>
        </w:numPr>
      </w:pPr>
      <w:r>
        <w:rPr>
          <w:rFonts w:hint="eastAsia"/>
        </w:rPr>
        <w:t>投标人提交的投标文件以及投标人与招标人就有关投标的所有来往函件均应使用简体中文书写。对于任何非中文的资料，都应提供简体中文翻译本，在解释时以简体中文翻译本为准。</w:t>
      </w:r>
    </w:p>
    <w:p/>
    <w:p>
      <w:pPr>
        <w:numPr>
          <w:ilvl w:val="0"/>
          <w:numId w:val="13"/>
        </w:numPr>
        <w:rPr>
          <w:rFonts w:ascii="黑体" w:eastAsia="黑体"/>
          <w:b/>
        </w:rPr>
      </w:pPr>
      <w:r>
        <w:rPr>
          <w:rFonts w:hint="eastAsia" w:ascii="黑体" w:eastAsia="黑体"/>
          <w:b/>
        </w:rPr>
        <w:t>投标范围及投标文件中计量单位的使用</w:t>
      </w:r>
    </w:p>
    <w:p>
      <w:pPr>
        <w:numPr>
          <w:ilvl w:val="1"/>
          <w:numId w:val="13"/>
        </w:numPr>
      </w:pPr>
      <w:r>
        <w:rPr>
          <w:rFonts w:hint="eastAsia"/>
        </w:rPr>
        <w:t>投标人可对招标文件中“用户需求书”中所述的所有货物进行投标，也可以只对其中一包或几包货物进行投标，但不得将一包中的内容拆开投标。</w:t>
      </w:r>
    </w:p>
    <w:p>
      <w:pPr>
        <w:numPr>
          <w:ilvl w:val="1"/>
          <w:numId w:val="13"/>
        </w:numPr>
      </w:pPr>
      <w:r>
        <w:rPr>
          <w:rFonts w:hint="eastAsia"/>
        </w:rPr>
        <w:t>投标文件中所使用的计量单位，除招标文件中有特殊要求外，应采用中华人民共和国法定计量单位。</w:t>
      </w:r>
    </w:p>
    <w:p>
      <w:pPr>
        <w:numPr>
          <w:ilvl w:val="1"/>
          <w:numId w:val="13"/>
        </w:numPr>
      </w:pPr>
      <w:r>
        <w:rPr>
          <w:rFonts w:hint="eastAsia"/>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
      <w:pPr>
        <w:numPr>
          <w:ilvl w:val="0"/>
          <w:numId w:val="13"/>
        </w:numPr>
        <w:rPr>
          <w:rFonts w:ascii="黑体" w:eastAsia="黑体"/>
          <w:b/>
        </w:rPr>
      </w:pPr>
      <w:r>
        <w:rPr>
          <w:rFonts w:hint="eastAsia" w:ascii="黑体" w:eastAsia="黑体"/>
          <w:b/>
        </w:rPr>
        <w:t>投标文件的构成</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投标人应完整地按招标文件提供的投标文件格式制作投标文件。投标文件应包括下列部分：</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第一章　投标书（格式见附件1）</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第二章　投标分项报价表（格式见附件3）</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第三章　技术方案（格式见附件4）</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第四章　服务方案（格式见附件5）</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第五章　技术规格偏离表（格式见附件6）</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第六章　商务条款偏离表（格式见附件7）</w:t>
      </w:r>
    </w:p>
    <w:p>
      <w:pPr>
        <w:ind w:firstLine="2125" w:firstLineChars="1012"/>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第七章　资格证明文件（格式见附件8）</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上述文件须按顺序装订成册，并编制投标文件目录及注明页码。</w:t>
      </w:r>
    </w:p>
    <w:p>
      <w:pPr>
        <w:ind w:left="899" w:leftChars="428"/>
        <w:rPr>
          <w:color w:val="000000" w:themeColor="text1"/>
          <w14:textFill>
            <w14:solidFill>
              <w14:schemeClr w14:val="tx1"/>
            </w14:solidFill>
          </w14:textFill>
        </w:rPr>
      </w:pPr>
      <w:r>
        <w:rPr>
          <w:rFonts w:hint="eastAsia"/>
          <w:color w:val="000000" w:themeColor="text1"/>
          <w14:textFill>
            <w14:solidFill>
              <w14:schemeClr w14:val="tx1"/>
            </w14:solidFill>
          </w14:textFill>
        </w:rPr>
        <w:t>除上述文件资料外投标人还须按投标人须知的要求制作“开标文件”。“开标文件”作为投标文件的一部分，但须单独密封。</w:t>
      </w:r>
    </w:p>
    <w:p/>
    <w:p>
      <w:pPr>
        <w:numPr>
          <w:ilvl w:val="0"/>
          <w:numId w:val="13"/>
        </w:numPr>
        <w:rPr>
          <w:rFonts w:ascii="黑体" w:eastAsia="黑体"/>
          <w:b/>
        </w:rPr>
      </w:pPr>
      <w:r>
        <w:rPr>
          <w:rFonts w:hint="eastAsia" w:ascii="黑体" w:eastAsia="黑体"/>
          <w:b/>
        </w:rPr>
        <w:t>投标文件电子文档</w:t>
      </w:r>
    </w:p>
    <w:p>
      <w:pPr>
        <w:numPr>
          <w:ilvl w:val="1"/>
          <w:numId w:val="13"/>
        </w:numPr>
      </w:pPr>
      <w:r>
        <w:rPr>
          <w:rFonts w:hint="eastAsia"/>
        </w:rPr>
        <w:t>投标人在提交书面投标文件的同时，应提交该投标文件的电子文档。</w:t>
      </w:r>
    </w:p>
    <w:p>
      <w:pPr>
        <w:numPr>
          <w:ilvl w:val="1"/>
          <w:numId w:val="13"/>
        </w:numPr>
      </w:pPr>
      <w:r>
        <w:rPr>
          <w:rFonts w:hint="eastAsia"/>
        </w:rPr>
        <w:t>电子文档的格式要求：投标文件电子文档应统一使用OFFICE2000及以上版本软件制作，单独的图片文件应采用JPG格式，图纸文件应采用DWG格式或JPG格式。</w:t>
      </w:r>
    </w:p>
    <w:p>
      <w:pPr>
        <w:numPr>
          <w:ilvl w:val="1"/>
          <w:numId w:val="13"/>
        </w:numPr>
      </w:pPr>
      <w:r>
        <w:rPr>
          <w:rFonts w:hint="eastAsia"/>
        </w:rPr>
        <w:t>投标人提交的书面投标文件的实质内容应与提交的电子文档的实质内容完全一致。如果评标委员会发现两者的实质内容不一致，将按不利于投标人的原则予以处置。因此产生的一切责任均由投标人承担。</w:t>
      </w:r>
    </w:p>
    <w:p/>
    <w:p>
      <w:pPr>
        <w:numPr>
          <w:ilvl w:val="0"/>
          <w:numId w:val="13"/>
        </w:numPr>
        <w:rPr>
          <w:rFonts w:ascii="黑体" w:eastAsia="黑体"/>
          <w:b/>
        </w:rPr>
      </w:pPr>
      <w:r>
        <w:rPr>
          <w:rFonts w:hint="eastAsia" w:ascii="黑体" w:eastAsia="黑体"/>
          <w:b/>
        </w:rPr>
        <w:t>投标文件的编写</w:t>
      </w:r>
    </w:p>
    <w:p>
      <w:pPr>
        <w:numPr>
          <w:ilvl w:val="1"/>
          <w:numId w:val="13"/>
        </w:numPr>
      </w:pPr>
      <w:r>
        <w:rPr>
          <w:rFonts w:hint="eastAsia"/>
        </w:rPr>
        <w:t>投标人应按招标文件的规定，及附件要求的内容和格式完整地填写和提供资料，并保证所提供的全部资料的真实性。</w:t>
      </w:r>
    </w:p>
    <w:p/>
    <w:p>
      <w:pPr>
        <w:numPr>
          <w:ilvl w:val="0"/>
          <w:numId w:val="13"/>
        </w:numPr>
        <w:rPr>
          <w:rFonts w:ascii="黑体" w:eastAsia="黑体"/>
          <w:b/>
        </w:rPr>
      </w:pPr>
      <w:r>
        <w:rPr>
          <w:rFonts w:hint="eastAsia" w:ascii="黑体" w:eastAsia="黑体"/>
          <w:b/>
        </w:rPr>
        <w:t>投标报价</w:t>
      </w:r>
    </w:p>
    <w:p>
      <w:pPr>
        <w:numPr>
          <w:ilvl w:val="1"/>
          <w:numId w:val="13"/>
        </w:numPr>
      </w:pPr>
      <w:r>
        <w:rPr>
          <w:rFonts w:hint="eastAsia"/>
        </w:rPr>
        <w:t>所有投标均以人民币报价。投标人的投标报价应符合《中华人民共和国价格法》的有关规定。</w:t>
      </w:r>
    </w:p>
    <w:p>
      <w:pPr>
        <w:numPr>
          <w:ilvl w:val="1"/>
          <w:numId w:val="13"/>
        </w:numPr>
      </w:pPr>
      <w:bookmarkStart w:id="32" w:name="_Ref179619251"/>
      <w:r>
        <w:rPr>
          <w:rFonts w:hint="eastAsia"/>
        </w:rPr>
        <w:t>投标人应在投标分项报价表（附件3)上标明投标货物及相关服务的单价（如适用)和总价，并由法定代表人或其授权代表签署。投标总价中不得包含招标文件要求以外的内容，否则，在评标时不予核减。</w:t>
      </w:r>
      <w:bookmarkEnd w:id="32"/>
    </w:p>
    <w:p>
      <w:pPr>
        <w:numPr>
          <w:ilvl w:val="1"/>
          <w:numId w:val="13"/>
        </w:numPr>
      </w:pPr>
      <w:bookmarkStart w:id="33" w:name="_Ref179620595"/>
      <w:r>
        <w:rPr>
          <w:rFonts w:hint="eastAsia"/>
        </w:rPr>
        <w:t>投标人的投标报价，应完整的包含所有采购内容，且不得以任何理由重复，每一项目只允许有一个报价，任何有选择的报价将不予接受。</w:t>
      </w:r>
      <w:bookmarkEnd w:id="33"/>
    </w:p>
    <w:p>
      <w:pPr>
        <w:numPr>
          <w:ilvl w:val="1"/>
          <w:numId w:val="13"/>
        </w:numPr>
      </w:pPr>
      <w:r>
        <w:rPr>
          <w:rFonts w:hint="eastAsia"/>
        </w:rPr>
        <w:t>投标分项报价上的价格应按下列方式填写：</w:t>
      </w:r>
    </w:p>
    <w:p>
      <w:pPr>
        <w:numPr>
          <w:ilvl w:val="2"/>
          <w:numId w:val="13"/>
        </w:numPr>
      </w:pPr>
      <w:r>
        <w:rPr>
          <w:rFonts w:hint="eastAsia"/>
        </w:rPr>
        <w:t>投标货物包括标准附件、备品备件、专用工具等的出厂价（包括已在中国国内的进口货物完税后的仓库交货价、展室交货价或货架交货价)，投标货物安装、调试、检验、技术服务和培训等费用；</w:t>
      </w:r>
    </w:p>
    <w:p>
      <w:pPr>
        <w:numPr>
          <w:ilvl w:val="2"/>
          <w:numId w:val="13"/>
        </w:numPr>
      </w:pPr>
      <w:r>
        <w:rPr>
          <w:rFonts w:hint="eastAsia"/>
        </w:rPr>
        <w:t>货物运至最终目的地并安装调试完毕的运输费和保险费用和伴随货物交运的有关费用；</w:t>
      </w:r>
    </w:p>
    <w:p>
      <w:pPr>
        <w:numPr>
          <w:ilvl w:val="0"/>
          <w:numId w:val="0"/>
        </w:numPr>
        <w:spacing w:line="360" w:lineRule="auto"/>
        <w:ind w:firstLine="420" w:firstLineChars="200"/>
      </w:pPr>
      <w:r>
        <w:rPr>
          <w:rFonts w:hint="eastAsia" w:ascii="宋体" w:hAnsi="宋体" w:eastAsia="宋体" w:cs="宋体"/>
          <w:color w:val="auto"/>
          <w:highlight w:val="yellow"/>
          <w:u w:val="single"/>
        </w:rPr>
        <w:t>（</w:t>
      </w:r>
      <w:r>
        <w:rPr>
          <w:rFonts w:hint="eastAsia" w:ascii="宋体" w:hAnsi="宋体" w:cs="宋体"/>
          <w:color w:val="auto"/>
          <w:highlight w:val="yellow"/>
          <w:u w:val="single"/>
          <w:lang w:eastAsia="zh-CN"/>
        </w:rPr>
        <w:t>无</w:t>
      </w:r>
      <w:r>
        <w:rPr>
          <w:rFonts w:hint="eastAsia" w:ascii="宋体" w:hAnsi="宋体" w:eastAsia="宋体" w:cs="宋体"/>
          <w:color w:val="auto"/>
          <w:highlight w:val="yellow"/>
          <w:u w:val="single"/>
        </w:rPr>
        <w:t>货物</w:t>
      </w:r>
      <w:r>
        <w:rPr>
          <w:rFonts w:hint="eastAsia" w:ascii="宋体" w:hAnsi="宋体" w:cs="宋体"/>
          <w:color w:val="auto"/>
          <w:highlight w:val="yellow"/>
          <w:u w:val="single"/>
          <w:lang w:eastAsia="zh-CN"/>
        </w:rPr>
        <w:t>的项目则删除此条</w:t>
      </w:r>
      <w:r>
        <w:rPr>
          <w:rFonts w:hint="eastAsia" w:ascii="宋体" w:hAnsi="宋体" w:eastAsia="宋体" w:cs="宋体"/>
          <w:color w:val="auto"/>
          <w:highlight w:val="yellow"/>
          <w:u w:val="single"/>
        </w:rPr>
        <w:t>）</w:t>
      </w:r>
    </w:p>
    <w:p>
      <w:pPr>
        <w:numPr>
          <w:ilvl w:val="2"/>
          <w:numId w:val="13"/>
        </w:numPr>
      </w:pPr>
      <w:bookmarkStart w:id="34" w:name="_Ref179620755"/>
      <w:r>
        <w:rPr>
          <w:rFonts w:hint="eastAsia"/>
        </w:rPr>
        <w:t>报投标资料表中列出的其他伴随服务的费用（如果有的话)。</w:t>
      </w:r>
      <w:bookmarkEnd w:id="34"/>
    </w:p>
    <w:p>
      <w:pPr>
        <w:numPr>
          <w:ilvl w:val="1"/>
          <w:numId w:val="13"/>
        </w:numPr>
      </w:pPr>
      <w:r>
        <w:rPr>
          <w:rFonts w:hint="eastAsia"/>
        </w:rPr>
        <w:t>如果投标人对于采购文件或答疑文件中为满足技术要求中所提供的设备有未报价或漏报、错报、缺报等情况，可以视其为投标人予以采购人的投标优惠报价，中标后不予调整。如果投标人不接受对其错误的更正，其投标将被拒绝。</w:t>
      </w:r>
    </w:p>
    <w:p/>
    <w:p>
      <w:pPr>
        <w:numPr>
          <w:ilvl w:val="0"/>
          <w:numId w:val="13"/>
        </w:numPr>
        <w:rPr>
          <w:rFonts w:ascii="黑体" w:eastAsia="黑体"/>
          <w:b/>
        </w:rPr>
      </w:pPr>
      <w:r>
        <w:rPr>
          <w:rFonts w:hint="eastAsia" w:ascii="黑体" w:eastAsia="黑体"/>
          <w:b/>
        </w:rPr>
        <w:t xml:space="preserve">证明投标人合格和资格的文件 </w:t>
      </w:r>
    </w:p>
    <w:p>
      <w:pPr>
        <w:numPr>
          <w:ilvl w:val="1"/>
          <w:numId w:val="13"/>
        </w:numPr>
      </w:pPr>
      <w:r>
        <w:rPr>
          <w:rFonts w:hint="eastAsia"/>
        </w:rPr>
        <w:t>投标人应提交证明其有资格参加投标和中标后有能力履行合同的文件，并作为其投标文件的一部分。</w:t>
      </w:r>
    </w:p>
    <w:p>
      <w:pPr>
        <w:numPr>
          <w:ilvl w:val="1"/>
          <w:numId w:val="13"/>
        </w:numPr>
      </w:pPr>
      <w:r>
        <w:rPr>
          <w:rFonts w:hint="eastAsia"/>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numPr>
          <w:ilvl w:val="1"/>
          <w:numId w:val="13"/>
        </w:numPr>
      </w:pPr>
      <w:r>
        <w:rPr>
          <w:rFonts w:hint="eastAsia"/>
        </w:rPr>
        <w:t xml:space="preserve">投标人提交的证明其中标后能履行合同的资格证明文件应包括下列文件： </w:t>
      </w:r>
    </w:p>
    <w:p>
      <w:pPr>
        <w:numPr>
          <w:ilvl w:val="2"/>
          <w:numId w:val="13"/>
        </w:numPr>
      </w:pPr>
      <w:r>
        <w:rPr>
          <w:rFonts w:hint="eastAsia"/>
        </w:rPr>
        <w:t xml:space="preserve">证明投标人已具备履行合同所需的财务、技术和生产能力的文件； </w:t>
      </w:r>
    </w:p>
    <w:p>
      <w:pPr>
        <w:numPr>
          <w:ilvl w:val="2"/>
          <w:numId w:val="13"/>
        </w:numPr>
        <w:outlineLvl w:val="0"/>
      </w:pPr>
      <w:bookmarkStart w:id="35" w:name="_Toc18881"/>
      <w:bookmarkStart w:id="36" w:name="_Toc26654"/>
      <w:bookmarkStart w:id="37" w:name="_Toc32643"/>
      <w:r>
        <w:rPr>
          <w:rFonts w:hint="eastAsia"/>
        </w:rPr>
        <w:t>证明投标人满足招标文件业绩要求的文件；</w:t>
      </w:r>
      <w:bookmarkEnd w:id="35"/>
      <w:bookmarkEnd w:id="36"/>
      <w:bookmarkEnd w:id="37"/>
    </w:p>
    <w:p>
      <w:pPr>
        <w:numPr>
          <w:ilvl w:val="2"/>
          <w:numId w:val="13"/>
        </w:numPr>
      </w:pPr>
      <w:bookmarkStart w:id="38" w:name="_Ref179620846"/>
      <w:r>
        <w:rPr>
          <w:rFonts w:hint="eastAsia"/>
        </w:rPr>
        <w:t>投标资料</w:t>
      </w:r>
      <w:r>
        <w:rPr>
          <w:rFonts w:hint="eastAsia" w:eastAsia="黑体"/>
        </w:rPr>
        <w:t>表</w:t>
      </w:r>
      <w:r>
        <w:rPr>
          <w:rFonts w:hint="eastAsia"/>
        </w:rPr>
        <w:t>要求的其它资格证明文件。</w:t>
      </w:r>
      <w:bookmarkEnd w:id="38"/>
    </w:p>
    <w:p/>
    <w:p>
      <w:pPr>
        <w:numPr>
          <w:ilvl w:val="0"/>
          <w:numId w:val="13"/>
        </w:numPr>
        <w:rPr>
          <w:rFonts w:ascii="黑体" w:eastAsia="黑体"/>
          <w:b/>
        </w:rPr>
      </w:pPr>
      <w:r>
        <w:rPr>
          <w:rFonts w:hint="eastAsia" w:ascii="黑体" w:eastAsia="黑体"/>
          <w:b/>
        </w:rPr>
        <w:t>证明货物的合格性和符合招标文件规定的文件</w:t>
      </w:r>
    </w:p>
    <w:p>
      <w:pPr>
        <w:numPr>
          <w:ilvl w:val="1"/>
          <w:numId w:val="13"/>
        </w:numPr>
      </w:pPr>
      <w:r>
        <w:rPr>
          <w:rFonts w:hint="eastAsia"/>
        </w:rPr>
        <w:t>投标人应提交证明文件，证明其拟供的合同项下的货物和服务的合格性符合招标文件规定。该证明文件作为投标文件的一部分。</w:t>
      </w:r>
    </w:p>
    <w:p>
      <w:pPr>
        <w:numPr>
          <w:ilvl w:val="1"/>
          <w:numId w:val="13"/>
        </w:numPr>
      </w:pPr>
      <w:r>
        <w:rPr>
          <w:rFonts w:hint="eastAsia"/>
        </w:rPr>
        <w:t>上述所述的证明文件，可以是文字资料、图纸和数据，它包括：</w:t>
      </w:r>
    </w:p>
    <w:p>
      <w:pPr>
        <w:numPr>
          <w:ilvl w:val="2"/>
          <w:numId w:val="13"/>
        </w:numPr>
        <w:outlineLvl w:val="0"/>
      </w:pPr>
      <w:bookmarkStart w:id="39" w:name="_Toc28042"/>
      <w:bookmarkStart w:id="40" w:name="_Toc22831"/>
      <w:bookmarkStart w:id="41" w:name="_Toc14396"/>
      <w:r>
        <w:rPr>
          <w:rFonts w:hint="eastAsia"/>
        </w:rPr>
        <w:t>货物主要技术指标和性能的详细说明；</w:t>
      </w:r>
      <w:bookmarkEnd w:id="39"/>
      <w:bookmarkEnd w:id="40"/>
      <w:bookmarkEnd w:id="41"/>
    </w:p>
    <w:p>
      <w:pPr>
        <w:numPr>
          <w:ilvl w:val="2"/>
          <w:numId w:val="13"/>
        </w:numPr>
      </w:pPr>
      <w:r>
        <w:rPr>
          <w:rFonts w:hint="eastAsia"/>
        </w:rPr>
        <w:t>货物从招标人验收后开始使用至招标文件规定的保质期内正常、连续地使用所必须的备件和专用工具清单，包括备件和专用工具的货源及现行价格；</w:t>
      </w:r>
    </w:p>
    <w:p>
      <w:pPr>
        <w:numPr>
          <w:ilvl w:val="2"/>
          <w:numId w:val="13"/>
        </w:numPr>
      </w:pPr>
      <w:r>
        <w:rPr>
          <w:rFonts w:hint="eastAsia"/>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numPr>
          <w:ilvl w:val="1"/>
          <w:numId w:val="13"/>
        </w:numPr>
      </w:pPr>
      <w:r>
        <w:rPr>
          <w:rFonts w:hint="eastAsia" w:hAnsi="宋体"/>
        </w:rPr>
        <w:t>投标人在投标文件中须主动填报投标之前三年内有无受各级管理部分的处分或处罚（含其授权服务的子公司、分公司等)如果不主动填报而被事后发现的，将可能导致取消其投标资格，并按有关规定从重处理。</w:t>
      </w:r>
    </w:p>
    <w:p>
      <w:pPr>
        <w:numPr>
          <w:ilvl w:val="0"/>
          <w:numId w:val="0"/>
        </w:numPr>
        <w:spacing w:line="360" w:lineRule="auto"/>
        <w:ind w:firstLine="420" w:firstLineChars="200"/>
      </w:pPr>
      <w:r>
        <w:rPr>
          <w:rFonts w:hint="eastAsia" w:ascii="宋体" w:hAnsi="宋体" w:eastAsia="宋体" w:cs="宋体"/>
          <w:color w:val="auto"/>
          <w:highlight w:val="yellow"/>
          <w:u w:val="single"/>
        </w:rPr>
        <w:t>（</w:t>
      </w:r>
      <w:r>
        <w:rPr>
          <w:rFonts w:hint="eastAsia" w:ascii="宋体" w:hAnsi="宋体" w:cs="宋体"/>
          <w:color w:val="auto"/>
          <w:highlight w:val="yellow"/>
          <w:u w:val="single"/>
          <w:lang w:eastAsia="zh-CN"/>
        </w:rPr>
        <w:t>无</w:t>
      </w:r>
      <w:r>
        <w:rPr>
          <w:rFonts w:hint="eastAsia" w:ascii="宋体" w:hAnsi="宋体" w:eastAsia="宋体" w:cs="宋体"/>
          <w:color w:val="auto"/>
          <w:highlight w:val="yellow"/>
          <w:u w:val="single"/>
        </w:rPr>
        <w:t>货物</w:t>
      </w:r>
      <w:r>
        <w:rPr>
          <w:rFonts w:hint="eastAsia" w:ascii="宋体" w:hAnsi="宋体" w:cs="宋体"/>
          <w:color w:val="auto"/>
          <w:highlight w:val="yellow"/>
          <w:u w:val="single"/>
          <w:lang w:eastAsia="zh-CN"/>
        </w:rPr>
        <w:t>的项目则删除此条</w:t>
      </w:r>
      <w:r>
        <w:rPr>
          <w:rFonts w:hint="eastAsia" w:ascii="宋体" w:hAnsi="宋体" w:eastAsia="宋体" w:cs="宋体"/>
          <w:color w:val="auto"/>
          <w:highlight w:val="yellow"/>
          <w:u w:val="single"/>
        </w:rPr>
        <w:t>）</w:t>
      </w:r>
    </w:p>
    <w:p/>
    <w:p>
      <w:pPr>
        <w:numPr>
          <w:ilvl w:val="0"/>
          <w:numId w:val="13"/>
        </w:numPr>
        <w:rPr>
          <w:rFonts w:ascii="黑体" w:eastAsia="黑体"/>
          <w:b/>
        </w:rPr>
      </w:pPr>
      <w:r>
        <w:rPr>
          <w:rFonts w:hint="eastAsia" w:ascii="黑体" w:eastAsia="黑体"/>
          <w:b/>
        </w:rPr>
        <w:t>投标有效期</w:t>
      </w:r>
    </w:p>
    <w:p>
      <w:pPr>
        <w:numPr>
          <w:ilvl w:val="1"/>
          <w:numId w:val="13"/>
        </w:numPr>
      </w:pPr>
      <w:bookmarkStart w:id="42" w:name="_Ref179620893"/>
      <w:r>
        <w:rPr>
          <w:rFonts w:hint="eastAsia"/>
        </w:rPr>
        <w:t>投标应自投标资料表中规定的开标日起，并在投标资料表中所述期限内保持有效。投标有效期不足的投标将被视为非实质性响应，并予以拒绝。</w:t>
      </w:r>
      <w:bookmarkEnd w:id="42"/>
    </w:p>
    <w:p>
      <w:pPr>
        <w:numPr>
          <w:ilvl w:val="1"/>
          <w:numId w:val="13"/>
        </w:numPr>
      </w:pPr>
      <w:r>
        <w:rPr>
          <w:rFonts w:hint="eastAsia"/>
        </w:rPr>
        <w:t>特殊情况下，在原投标有效期截止之前，招标人可要求投标人延长投标有效期。该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
      <w:pPr>
        <w:numPr>
          <w:ilvl w:val="0"/>
          <w:numId w:val="13"/>
        </w:numPr>
        <w:rPr>
          <w:rFonts w:ascii="黑体" w:eastAsia="黑体"/>
          <w:b/>
        </w:rPr>
      </w:pPr>
      <w:r>
        <w:rPr>
          <w:rFonts w:hint="eastAsia" w:ascii="黑体" w:eastAsia="黑体"/>
          <w:b/>
        </w:rPr>
        <w:t>投标文件的式样和签署</w:t>
      </w:r>
    </w:p>
    <w:p>
      <w:pPr>
        <w:numPr>
          <w:ilvl w:val="1"/>
          <w:numId w:val="13"/>
        </w:numPr>
      </w:pPr>
      <w:bookmarkStart w:id="43" w:name="_Ref179620912"/>
      <w:r>
        <w:rPr>
          <w:rFonts w:hint="eastAsia"/>
        </w:rPr>
        <w:t>投标人应准备一份投标文件正本和投标资料表中规定数目的副本，每套投标文件须清楚地标明“正本”或“副本”。若副本与正本不符，以正本为准。</w:t>
      </w:r>
      <w:bookmarkEnd w:id="43"/>
    </w:p>
    <w:p>
      <w:pPr>
        <w:numPr>
          <w:ilvl w:val="1"/>
          <w:numId w:val="13"/>
        </w:numPr>
      </w:pPr>
      <w:r>
        <w:rPr>
          <w:rFonts w:hint="eastAsia"/>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pPr>
        <w:numPr>
          <w:ilvl w:val="1"/>
          <w:numId w:val="13"/>
        </w:numPr>
      </w:pPr>
      <w:r>
        <w:rPr>
          <w:rFonts w:hint="eastAsia"/>
        </w:rPr>
        <w:t>任何行间插字、涂改和增删，必须由投标文件签字人用姓或首字母在旁边签字或加盖投标单位公章才有效。</w:t>
      </w:r>
    </w:p>
    <w:p/>
    <w:p>
      <w:pPr>
        <w:jc w:val="center"/>
        <w:rPr>
          <w:rFonts w:ascii="黑体" w:eastAsia="黑体"/>
          <w:sz w:val="32"/>
          <w:szCs w:val="32"/>
        </w:rPr>
      </w:pPr>
      <w:r>
        <w:rPr>
          <w:rFonts w:hint="eastAsia" w:ascii="黑体" w:eastAsia="黑体"/>
          <w:sz w:val="32"/>
          <w:szCs w:val="32"/>
        </w:rPr>
        <w:t>四、投标文件的递交</w:t>
      </w:r>
    </w:p>
    <w:p>
      <w:pPr>
        <w:ind w:firstLine="420" w:firstLineChars="200"/>
      </w:pPr>
    </w:p>
    <w:p>
      <w:pPr>
        <w:numPr>
          <w:ilvl w:val="0"/>
          <w:numId w:val="13"/>
        </w:numPr>
        <w:rPr>
          <w:rFonts w:ascii="黑体" w:eastAsia="黑体"/>
          <w:b/>
        </w:rPr>
      </w:pPr>
      <w:r>
        <w:rPr>
          <w:rFonts w:hint="eastAsia" w:ascii="黑体" w:eastAsia="黑体"/>
          <w:b/>
        </w:rPr>
        <w:t>投标文件的密封和标记</w:t>
      </w:r>
    </w:p>
    <w:p>
      <w:pPr>
        <w:numPr>
          <w:ilvl w:val="1"/>
          <w:numId w:val="13"/>
        </w:numPr>
      </w:pPr>
      <w:r>
        <w:rPr>
          <w:rFonts w:hint="eastAsia"/>
        </w:rPr>
        <w:t>投标人应将投标文件正本和所有的副本分开密封装在单独的信封中，且在信封上标明“正本”“副本”字样。然后再将所有信封封装在一个外层信封中。</w:t>
      </w:r>
    </w:p>
    <w:p>
      <w:pPr>
        <w:numPr>
          <w:ilvl w:val="1"/>
          <w:numId w:val="13"/>
        </w:numPr>
      </w:pPr>
      <w:r>
        <w:rPr>
          <w:rFonts w:hint="eastAsia"/>
        </w:rPr>
        <w:t>为方便开标唱标，投标人应将开标一览表和授权委托书单独密封提交，并在信封上标明“开标文件”字样。投标人的法定代表人参加投标时，须开具法定代表人证明书，按上述要求与开标一览表一并密封提交。“开标文件”份数及签章等要求与投标文件正本相同。</w:t>
      </w:r>
    </w:p>
    <w:p>
      <w:pPr>
        <w:numPr>
          <w:ilvl w:val="1"/>
          <w:numId w:val="13"/>
        </w:numPr>
      </w:pPr>
      <w:bookmarkStart w:id="44" w:name="_Ref179620969"/>
      <w:r>
        <w:rPr>
          <w:rFonts w:hint="eastAsia"/>
        </w:rPr>
        <w:t>所有的信封均应：</w:t>
      </w:r>
      <w:bookmarkEnd w:id="44"/>
      <w:r>
        <w:rPr>
          <w:rFonts w:hint="eastAsia"/>
        </w:rPr>
        <w:t xml:space="preserve"> </w:t>
      </w:r>
    </w:p>
    <w:p>
      <w:pPr>
        <w:ind w:left="899" w:leftChars="428"/>
      </w:pPr>
      <w:r>
        <w:rPr>
          <w:rFonts w:hint="eastAsia"/>
        </w:rPr>
        <w:t>1) 清楚标明递交至</w:t>
      </w:r>
      <w:r>
        <w:rPr>
          <w:rFonts w:hint="eastAsia" w:ascii="黑体" w:eastAsia="黑体"/>
          <w:b/>
        </w:rPr>
        <w:t>投标资料表</w:t>
      </w:r>
      <w:r>
        <w:rPr>
          <w:rFonts w:hint="eastAsia"/>
        </w:rPr>
        <w:t>中指明的地址。</w:t>
      </w:r>
    </w:p>
    <w:p>
      <w:pPr>
        <w:ind w:left="899" w:leftChars="428"/>
      </w:pPr>
      <w:r>
        <w:rPr>
          <w:rFonts w:hint="eastAsia"/>
        </w:rPr>
        <w:t>2) 清楚标明</w:t>
      </w:r>
      <w:r>
        <w:rPr>
          <w:rFonts w:hint="eastAsia" w:ascii="黑体" w:eastAsia="黑体"/>
          <w:b/>
        </w:rPr>
        <w:t>投标资料表</w:t>
      </w:r>
      <w:r>
        <w:rPr>
          <w:rFonts w:hint="eastAsia"/>
        </w:rPr>
        <w:t>中指明的项目名称、包号（如果分包的话）、招标编号和“在</w:t>
      </w:r>
      <w:r>
        <w:rPr>
          <w:rFonts w:hint="eastAsia"/>
          <w:i/>
          <w:u w:val="single"/>
        </w:rPr>
        <w:t>（开标日期、时间)</w:t>
      </w:r>
      <w:r>
        <w:rPr>
          <w:rFonts w:hint="eastAsia"/>
        </w:rPr>
        <w:t>之前不得启封”的字样，并填入</w:t>
      </w:r>
      <w:r>
        <w:rPr>
          <w:rFonts w:hint="eastAsia" w:ascii="黑体" w:eastAsia="黑体"/>
          <w:b/>
        </w:rPr>
        <w:t>投标资料表</w:t>
      </w:r>
      <w:r>
        <w:rPr>
          <w:rFonts w:hint="eastAsia"/>
        </w:rPr>
        <w:t>中规定的开标日期和时间。</w:t>
      </w:r>
    </w:p>
    <w:p>
      <w:pPr>
        <w:ind w:left="899" w:leftChars="428"/>
      </w:pPr>
      <w:r>
        <w:rPr>
          <w:rFonts w:hint="eastAsia"/>
        </w:rPr>
        <w:t>3) 清楚标明投标单位名称并在信封的封装处加盖投标人公章。</w:t>
      </w:r>
    </w:p>
    <w:p>
      <w:pPr>
        <w:numPr>
          <w:ilvl w:val="1"/>
          <w:numId w:val="13"/>
        </w:numPr>
      </w:pPr>
      <w:r>
        <w:rPr>
          <w:rFonts w:hint="eastAsia"/>
        </w:rPr>
        <w:t>内层信封应写明投标人名称和地址，以便将迟交的投标文件能原封退回。</w:t>
      </w:r>
    </w:p>
    <w:p>
      <w:pPr>
        <w:numPr>
          <w:ilvl w:val="1"/>
          <w:numId w:val="13"/>
        </w:numPr>
      </w:pPr>
      <w:r>
        <w:rPr>
          <w:rFonts w:hint="eastAsia"/>
        </w:rPr>
        <w:t>如果投标人未按本须知要求加写标记和密封，招标人对投标文件的误投或提前启封概不负责。</w:t>
      </w:r>
    </w:p>
    <w:p>
      <w:pPr>
        <w:numPr>
          <w:ilvl w:val="1"/>
          <w:numId w:val="13"/>
        </w:numPr>
      </w:pPr>
      <w:r>
        <w:rPr>
          <w:rFonts w:hint="eastAsia"/>
        </w:rPr>
        <w:t>投标人同时参加几个包投标时必须按招标文件要求按包号分别制作投标文件，分别密封递交。</w:t>
      </w:r>
    </w:p>
    <w:p/>
    <w:p>
      <w:pPr>
        <w:numPr>
          <w:ilvl w:val="0"/>
          <w:numId w:val="13"/>
        </w:numPr>
        <w:rPr>
          <w:rFonts w:ascii="黑体" w:eastAsia="黑体"/>
          <w:b/>
        </w:rPr>
      </w:pPr>
      <w:r>
        <w:rPr>
          <w:rFonts w:hint="eastAsia" w:ascii="黑体" w:eastAsia="黑体"/>
          <w:b/>
        </w:rPr>
        <w:t>投标样品</w:t>
      </w:r>
    </w:p>
    <w:p>
      <w:pPr>
        <w:numPr>
          <w:ilvl w:val="1"/>
          <w:numId w:val="13"/>
        </w:numPr>
      </w:pPr>
      <w:r>
        <w:rPr>
          <w:rFonts w:hint="eastAsia"/>
        </w:rPr>
        <w:t>如有必要，招标人可以要求投标人提供能反映货物材质或关键部分的极少部分的尺寸、价值不大的样品，投标人在投标时应提交《样品清单》。</w:t>
      </w:r>
    </w:p>
    <w:p>
      <w:pPr>
        <w:numPr>
          <w:ilvl w:val="1"/>
          <w:numId w:val="13"/>
        </w:numPr>
      </w:pPr>
      <w:r>
        <w:rPr>
          <w:rFonts w:hint="eastAsia"/>
        </w:rPr>
        <w:t>为方便评标，投标人在提供样品时，应使用透明的外包装或尽量少用外包装，但必须在所提供的样品表面显著位置标注投标人的名称、包号、样品名称、招标文件规定的货物编号。</w:t>
      </w:r>
    </w:p>
    <w:p>
      <w:pPr>
        <w:numPr>
          <w:ilvl w:val="1"/>
          <w:numId w:val="13"/>
        </w:numPr>
      </w:pPr>
      <w:r>
        <w:rPr>
          <w:rFonts w:hint="eastAsia"/>
        </w:rPr>
        <w:t>样品作为投标文件的一部分，</w:t>
      </w:r>
      <w:r>
        <w:rPr>
          <w:rFonts w:hint="eastAsia" w:ascii="宋体" w:hAnsi="宋体"/>
        </w:rPr>
        <w:t>除非另有说明，</w:t>
      </w:r>
      <w:r>
        <w:rPr>
          <w:rFonts w:hint="eastAsia"/>
        </w:rPr>
        <w:t>中标单位的样品不再退还，</w:t>
      </w:r>
      <w:r>
        <w:rPr>
          <w:rFonts w:hint="eastAsia" w:ascii="宋体" w:hAnsi="宋体"/>
        </w:rPr>
        <w:t>未中标单位须在中标公告发布后五个工作日内，前往招标人领取投标样品，逾期不领，招标人将不承担样品的保管责任，由此引发的样品丢失、毁损，招标人不予负责。</w:t>
      </w:r>
    </w:p>
    <w:p/>
    <w:p>
      <w:pPr>
        <w:numPr>
          <w:ilvl w:val="0"/>
          <w:numId w:val="13"/>
        </w:numPr>
        <w:rPr>
          <w:rFonts w:ascii="黑体" w:eastAsia="黑体"/>
          <w:b/>
        </w:rPr>
      </w:pPr>
      <w:bookmarkStart w:id="45" w:name="_Ref179619638"/>
      <w:r>
        <w:rPr>
          <w:rFonts w:hint="eastAsia" w:ascii="黑体" w:eastAsia="黑体"/>
          <w:b/>
        </w:rPr>
        <w:t>投标截止期</w:t>
      </w:r>
      <w:bookmarkEnd w:id="45"/>
    </w:p>
    <w:p>
      <w:pPr>
        <w:numPr>
          <w:ilvl w:val="1"/>
          <w:numId w:val="13"/>
        </w:numPr>
      </w:pPr>
      <w:bookmarkStart w:id="46" w:name="_Ref179621022"/>
      <w:r>
        <w:rPr>
          <w:rFonts w:hint="eastAsia"/>
        </w:rPr>
        <w:t>投标人应在不迟于</w:t>
      </w:r>
      <w:r>
        <w:rPr>
          <w:rFonts w:hint="eastAsia" w:ascii="黑体" w:eastAsia="黑体"/>
          <w:b/>
        </w:rPr>
        <w:t>投标资料表</w:t>
      </w:r>
      <w:r>
        <w:rPr>
          <w:rFonts w:hint="eastAsia"/>
        </w:rPr>
        <w:t>中规定的截止日期和时间将投标文件递交至招标机构，递交地点应是</w:t>
      </w:r>
      <w:r>
        <w:rPr>
          <w:rFonts w:hint="eastAsia" w:ascii="黑体" w:eastAsia="黑体"/>
          <w:b/>
        </w:rPr>
        <w:t>投标资料表</w:t>
      </w:r>
      <w:r>
        <w:rPr>
          <w:rFonts w:hint="eastAsia"/>
        </w:rPr>
        <w:t>中指明的地址。</w:t>
      </w:r>
      <w:bookmarkEnd w:id="46"/>
    </w:p>
    <w:p>
      <w:pPr>
        <w:numPr>
          <w:ilvl w:val="1"/>
          <w:numId w:val="13"/>
        </w:numPr>
      </w:pPr>
      <w:r>
        <w:rPr>
          <w:rFonts w:hint="eastAsia"/>
        </w:rPr>
        <w:t>招标人可以按本须知第4条规定，通过修改招标文件自行决定酌情推迟投标截止期。在此情况下，招标人和投标人受投标截止期制约的所有权利和义务均应延长至新的截止期。</w:t>
      </w:r>
      <w:r>
        <w:t xml:space="preserve"> </w:t>
      </w:r>
    </w:p>
    <w:p/>
    <w:p>
      <w:pPr>
        <w:numPr>
          <w:ilvl w:val="0"/>
          <w:numId w:val="13"/>
        </w:numPr>
        <w:rPr>
          <w:rFonts w:ascii="黑体" w:eastAsia="黑体"/>
          <w:b/>
        </w:rPr>
      </w:pPr>
      <w:bookmarkStart w:id="47" w:name="_Ref179619679"/>
      <w:r>
        <w:rPr>
          <w:rFonts w:hint="eastAsia" w:ascii="黑体" w:eastAsia="黑体"/>
          <w:b/>
        </w:rPr>
        <w:t>迟交的投标文件</w:t>
      </w:r>
      <w:bookmarkEnd w:id="47"/>
    </w:p>
    <w:p>
      <w:pPr>
        <w:numPr>
          <w:ilvl w:val="1"/>
          <w:numId w:val="13"/>
        </w:numPr>
      </w:pPr>
      <w:r>
        <w:rPr>
          <w:rFonts w:hint="eastAsia"/>
        </w:rPr>
        <w:t>招标人将拒绝并原封退回在本须知第19条规定的截止期后收到的任何投标文件。</w:t>
      </w:r>
    </w:p>
    <w:p/>
    <w:p>
      <w:pPr>
        <w:numPr>
          <w:ilvl w:val="0"/>
          <w:numId w:val="13"/>
        </w:numPr>
        <w:rPr>
          <w:rFonts w:ascii="黑体" w:eastAsia="黑体"/>
          <w:b/>
        </w:rPr>
      </w:pPr>
      <w:bookmarkStart w:id="48" w:name="_Ref179619013"/>
      <w:r>
        <w:rPr>
          <w:rFonts w:hint="eastAsia" w:ascii="黑体" w:eastAsia="黑体"/>
          <w:b/>
        </w:rPr>
        <w:t>投标文件的修改与撤回</w:t>
      </w:r>
      <w:bookmarkEnd w:id="48"/>
    </w:p>
    <w:p>
      <w:pPr>
        <w:numPr>
          <w:ilvl w:val="1"/>
          <w:numId w:val="13"/>
        </w:numPr>
      </w:pPr>
      <w:r>
        <w:rPr>
          <w:rFonts w:hint="eastAsia"/>
        </w:rPr>
        <w:t>投标人在递交投标文件后，可以修改或撤回其投标，但投标人必须在规定的投标截止期之前将修改或撤回的书面通知递交到招标人。</w:t>
      </w:r>
    </w:p>
    <w:p>
      <w:pPr>
        <w:numPr>
          <w:ilvl w:val="1"/>
          <w:numId w:val="13"/>
        </w:numPr>
      </w:pPr>
      <w:r>
        <w:rPr>
          <w:rFonts w:hint="eastAsia"/>
        </w:rPr>
        <w:t>投标人的修改或撤回通知应按本须知规定编制、密封、标记和递交。</w:t>
      </w:r>
    </w:p>
    <w:p>
      <w:pPr>
        <w:numPr>
          <w:ilvl w:val="1"/>
          <w:numId w:val="13"/>
        </w:numPr>
      </w:pPr>
      <w:r>
        <w:rPr>
          <w:rFonts w:hint="eastAsia"/>
        </w:rPr>
        <w:t>在投标截止期之后，投标人不得对其投标做任何修改。</w:t>
      </w:r>
    </w:p>
    <w:p>
      <w:pPr>
        <w:numPr>
          <w:ilvl w:val="1"/>
          <w:numId w:val="13"/>
        </w:numPr>
      </w:pPr>
      <w:r>
        <w:rPr>
          <w:rFonts w:hint="eastAsia"/>
        </w:rPr>
        <w:t>从投标截止期至投标人在投标书中确定的投标有效期期满的这段时间内，投标人不得撤回其投标，否则其投标保证金将按照本须知的规定被没收。</w:t>
      </w:r>
    </w:p>
    <w:p/>
    <w:p>
      <w:pPr>
        <w:numPr>
          <w:ilvl w:val="0"/>
          <w:numId w:val="13"/>
        </w:numPr>
        <w:rPr>
          <w:rFonts w:ascii="黑体" w:eastAsia="黑体"/>
          <w:b/>
        </w:rPr>
      </w:pPr>
      <w:r>
        <w:rPr>
          <w:rFonts w:hint="eastAsia" w:ascii="黑体" w:eastAsia="黑体"/>
          <w:b/>
        </w:rPr>
        <w:t>投标文件的退还</w:t>
      </w:r>
    </w:p>
    <w:p>
      <w:pPr>
        <w:numPr>
          <w:ilvl w:val="1"/>
          <w:numId w:val="13"/>
        </w:numPr>
      </w:pPr>
      <w:r>
        <w:rPr>
          <w:rFonts w:hint="eastAsia"/>
        </w:rPr>
        <w:t>除非招标文件另有规定或说明，投标文件一律不予退还。</w:t>
      </w:r>
    </w:p>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五、开标与评标</w:t>
      </w:r>
    </w:p>
    <w:p>
      <w:pPr>
        <w:ind w:firstLine="420" w:firstLineChars="200"/>
        <w:rPr>
          <w:color w:val="FF0000"/>
        </w:rPr>
      </w:pPr>
    </w:p>
    <w:p>
      <w:pPr>
        <w:numPr>
          <w:ilvl w:val="0"/>
          <w:numId w:val="13"/>
        </w:numPr>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开标</w:t>
      </w:r>
    </w:p>
    <w:p>
      <w:pPr>
        <w:numPr>
          <w:ilvl w:val="1"/>
          <w:numId w:val="13"/>
        </w:numPr>
        <w:rPr>
          <w:color w:val="000000" w:themeColor="text1"/>
          <w14:textFill>
            <w14:solidFill>
              <w14:schemeClr w14:val="tx1"/>
            </w14:solidFill>
          </w14:textFill>
        </w:rPr>
      </w:pPr>
      <w:bookmarkStart w:id="49" w:name="_Ref179621054"/>
      <w:r>
        <w:rPr>
          <w:rFonts w:hint="eastAsia"/>
          <w:color w:val="000000" w:themeColor="text1"/>
          <w14:textFill>
            <w14:solidFill>
              <w14:schemeClr w14:val="tx1"/>
            </w14:solidFill>
          </w14:textFill>
        </w:rPr>
        <w:t>招标人在</w:t>
      </w:r>
      <w:r>
        <w:rPr>
          <w:rFonts w:hint="eastAsia" w:ascii="黑体" w:eastAsia="黑体"/>
          <w:b/>
          <w:color w:val="000000" w:themeColor="text1"/>
          <w14:textFill>
            <w14:solidFill>
              <w14:schemeClr w14:val="tx1"/>
            </w14:solidFill>
          </w14:textFill>
        </w:rPr>
        <w:t>投标资料表</w:t>
      </w:r>
      <w:r>
        <w:rPr>
          <w:rFonts w:hint="eastAsia"/>
          <w:color w:val="000000" w:themeColor="text1"/>
          <w14:textFill>
            <w14:solidFill>
              <w14:schemeClr w14:val="tx1"/>
            </w14:solidFill>
          </w14:textFill>
        </w:rPr>
        <w:t>中规定的日期、时间和地点组织公开开标。投标人代表均须按时参加开标会。参加开标的投标人代表应签名报到以证明其出席。</w:t>
      </w:r>
      <w:bookmarkEnd w:id="49"/>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开标时，招标人当众宣读投标人名称、修改和撤回投标的通知、投标价格、是否提交了投标保证金，以及招标人认为合适的其他内容。除了按照本须知第20条的规定原封退回迟到的投标之外，开标时将不得拒绝任何已购买招标文件的投标人的投标。</w:t>
      </w:r>
      <w:r>
        <w:rPr>
          <w:rFonts w:hint="eastAsia"/>
          <w:color w:val="000000" w:themeColor="text1"/>
          <w:szCs w:val="21"/>
          <w:lang w:val="zh-CN"/>
          <w14:textFill>
            <w14:solidFill>
              <w14:schemeClr w14:val="tx1"/>
            </w14:solidFill>
          </w14:textFill>
        </w:rPr>
        <w:t>若招标人宣读的结果与开标文件不符时，投标人有权在开标现场提出异议，经有关监督人员或公证人员当场核查确认之后，可重新宣读其开标文件。若投标人现场未提出异议，则视为投标人确认宣读的结果。</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在开标时没有启封和没有读出的投标文件（包括按照本须知第20条递交的修改书)，在评标时将不予考虑。没有启封和读出的投标文件将原封退回给投标人。</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招标人将做开标记录，并要求与会有关人员签字确认。</w:t>
      </w:r>
    </w:p>
    <w:p>
      <w:pPr>
        <w:rPr>
          <w:color w:val="FF0000"/>
        </w:rPr>
      </w:pPr>
    </w:p>
    <w:p>
      <w:pPr>
        <w:numPr>
          <w:ilvl w:val="0"/>
          <w:numId w:val="13"/>
        </w:numPr>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评标委员会和评标方法</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评标委员会依法组建，负责评标工作。评标委员会由招标人代表和有关技术、经济等方面的专家组成，成员人数为五人或五人以上单数。</w:t>
      </w:r>
    </w:p>
    <w:p>
      <w:pPr>
        <w:numPr>
          <w:ilvl w:val="1"/>
          <w:numId w:val="13"/>
        </w:numPr>
        <w:rPr>
          <w:color w:val="000000" w:themeColor="text1"/>
          <w14:textFill>
            <w14:solidFill>
              <w14:schemeClr w14:val="tx1"/>
            </w14:solidFill>
          </w14:textFill>
        </w:rPr>
      </w:pPr>
      <w:bookmarkStart w:id="50" w:name="_Ref179621079"/>
      <w:r>
        <w:rPr>
          <w:rFonts w:hint="eastAsia"/>
          <w:color w:val="000000" w:themeColor="text1"/>
          <w14:textFill>
            <w14:solidFill>
              <w14:schemeClr w14:val="tx1"/>
            </w14:solidFill>
          </w14:textFill>
        </w:rPr>
        <w:t>依照有关规定，货物或服务招标采购的评标方法分为最低评标价法、综合评分法和性价比法三种基本方法。评标委员会将按照</w:t>
      </w:r>
      <w:r>
        <w:rPr>
          <w:rFonts w:hint="eastAsia" w:ascii="黑体" w:eastAsia="黑体"/>
          <w:b/>
          <w:color w:val="000000" w:themeColor="text1"/>
          <w14:textFill>
            <w14:solidFill>
              <w14:schemeClr w14:val="tx1"/>
            </w14:solidFill>
          </w14:textFill>
        </w:rPr>
        <w:t>投标资料表</w:t>
      </w:r>
      <w:r>
        <w:rPr>
          <w:rFonts w:hint="eastAsia"/>
          <w:color w:val="000000" w:themeColor="text1"/>
          <w14:textFill>
            <w14:solidFill>
              <w14:schemeClr w14:val="tx1"/>
            </w14:solidFill>
          </w14:textFill>
        </w:rPr>
        <w:t>中所确定的评标方法进行评审。</w:t>
      </w:r>
      <w:bookmarkEnd w:id="50"/>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评标委员会对投标文件的评审内容，分为商务评议、技术评议和价格评议/综合评议。评审流程包括资格性检查、符合性检查、澄清问题、比较与评价、推荐中标候选人或确定中标人、编写评标报告等步骤。</w:t>
      </w:r>
    </w:p>
    <w:p>
      <w:pPr>
        <w:numPr>
          <w:ilvl w:val="1"/>
          <w:numId w:val="13"/>
        </w:numPr>
        <w:rPr>
          <w:color w:val="000000" w:themeColor="text1"/>
          <w14:textFill>
            <w14:solidFill>
              <w14:schemeClr w14:val="tx1"/>
            </w14:solidFill>
          </w14:textFill>
        </w:rPr>
      </w:pPr>
      <w:bookmarkStart w:id="51" w:name="_Ref179619857"/>
      <w:r>
        <w:rPr>
          <w:rFonts w:hint="eastAsia"/>
          <w:color w:val="000000" w:themeColor="text1"/>
          <w14:textFill>
            <w14:solidFill>
              <w14:schemeClr w14:val="tx1"/>
            </w14:solidFill>
          </w14:textFill>
        </w:rPr>
        <w:t>在评标期间，评标委员会可要求投标人对其投标文件进行澄清，但不得寻求、提供或允许对投标价格等实质性内容做任何更改。有关澄清的要求和答复均应以书面形式提交。</w:t>
      </w:r>
      <w:bookmarkEnd w:id="51"/>
    </w:p>
    <w:p>
      <w:pPr>
        <w:ind w:firstLine="420" w:firstLineChars="200"/>
        <w:rPr>
          <w:color w:val="000000" w:themeColor="text1"/>
          <w14:textFill>
            <w14:solidFill>
              <w14:schemeClr w14:val="tx1"/>
            </w14:solidFill>
          </w14:textFill>
        </w:rPr>
      </w:pPr>
    </w:p>
    <w:p>
      <w:pPr>
        <w:numPr>
          <w:ilvl w:val="0"/>
          <w:numId w:val="13"/>
        </w:numPr>
        <w:rPr>
          <w:rFonts w:ascii="黑体" w:eastAsia="黑体"/>
          <w:b/>
          <w:color w:val="000000" w:themeColor="text1"/>
          <w14:textFill>
            <w14:solidFill>
              <w14:schemeClr w14:val="tx1"/>
            </w14:solidFill>
          </w14:textFill>
        </w:rPr>
      </w:pPr>
      <w:r>
        <w:rPr>
          <w:rFonts w:hint="eastAsia" w:ascii="黑体" w:eastAsia="黑体"/>
          <w:b/>
          <w:color w:val="000000" w:themeColor="text1"/>
          <w14:textFill>
            <w14:solidFill>
              <w14:schemeClr w14:val="tx1"/>
            </w14:solidFill>
          </w14:textFill>
        </w:rPr>
        <w:t>投标文件的初审</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评标委员会将审查投标文件是否完整、总体编排是否有序、文件签署是否合格、投标人是否提交了投标保证金、有无计算上的错误等。</w:t>
      </w:r>
    </w:p>
    <w:p>
      <w:pPr>
        <w:numPr>
          <w:ilvl w:val="1"/>
          <w:numId w:val="13"/>
        </w:numPr>
        <w:rPr>
          <w:color w:val="000000" w:themeColor="text1"/>
          <w14:textFill>
            <w14:solidFill>
              <w14:schemeClr w14:val="tx1"/>
            </w14:solidFill>
          </w14:textFill>
        </w:rPr>
      </w:pPr>
      <w:r>
        <w:rPr>
          <w:rFonts w:hint="eastAsia"/>
          <w:color w:val="000000" w:themeColor="text1"/>
          <w:szCs w:val="21"/>
          <w:lang w:val="zh-CN"/>
          <w14:textFill>
            <w14:solidFill>
              <w14:schemeClr w14:val="tx1"/>
            </w14:solidFill>
          </w14:textFill>
        </w:rPr>
        <w:t>投标文件中开标一览表内容与投标文件中明细表内容不一致的，以开标一览表为准。投标文件的投标报价大写金额和小写金额不一致的，以大写金额为准；总价金额与按单价汇总金额不一致的，以单价金额计算结果为准；单价金额小数点有明显错位的，应以总价为准，并修改单价</w:t>
      </w:r>
      <w:r>
        <w:rPr>
          <w:rFonts w:hint="eastAsia"/>
          <w:color w:val="000000" w:themeColor="text1"/>
          <w14:textFill>
            <w14:solidFill>
              <w14:schemeClr w14:val="tx1"/>
            </w14:solidFill>
          </w14:textFill>
        </w:rPr>
        <w:t>。如果投标人不接受对其错误的更正，其投标将被拒绝。</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对于投标文件中不构成实质性偏差的不正规、不一致或不规则，评标委员会可以接受，但这种接受不能损害或影响任何投标人的相对排序。</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pPr>
        <w:numPr>
          <w:ilvl w:val="1"/>
          <w:numId w:val="13"/>
        </w:numPr>
        <w:rPr>
          <w:color w:val="000000" w:themeColor="text1"/>
          <w14:textFill>
            <w14:solidFill>
              <w14:schemeClr w14:val="tx1"/>
            </w14:solidFill>
          </w14:textFill>
        </w:rPr>
      </w:pPr>
      <w:bookmarkStart w:id="52" w:name="_Ref179619330"/>
      <w:r>
        <w:rPr>
          <w:rFonts w:hint="eastAsia"/>
          <w:color w:val="000000" w:themeColor="text1"/>
          <w14:textFill>
            <w14:solidFill>
              <w14:schemeClr w14:val="tx1"/>
            </w14:solidFill>
          </w14:textFill>
        </w:rPr>
        <w:t>实质上没有响应招标文件要求的投标将被作废标处理。投标人不得通过修正或撤销不合要求的偏离或保留从而使其投标成为实质上响应的投标。评标委员会评审中，发现下列情况之一的，其投标将作废标处理：</w:t>
      </w:r>
      <w:bookmarkEnd w:id="52"/>
    </w:p>
    <w:p>
      <w:pPr>
        <w:numPr>
          <w:ilvl w:val="2"/>
          <w:numId w:val="13"/>
        </w:numPr>
        <w:outlineLvl w:val="0"/>
      </w:pPr>
      <w:bookmarkStart w:id="53" w:name="_Toc28411"/>
      <w:bookmarkStart w:id="54" w:name="_Toc31685"/>
      <w:bookmarkStart w:id="55" w:name="_Toc32364"/>
      <w:r>
        <w:rPr>
          <w:rFonts w:hint="eastAsia"/>
        </w:rPr>
        <w:t>资格性检查</w:t>
      </w:r>
      <w:bookmarkEnd w:id="53"/>
      <w:bookmarkEnd w:id="54"/>
      <w:bookmarkEnd w:id="55"/>
    </w:p>
    <w:p>
      <w:pPr>
        <w:ind w:left="899" w:leftChars="428"/>
        <w:outlineLvl w:val="0"/>
        <w:rPr>
          <w:rFonts w:ascii="黑体" w:eastAsia="黑体"/>
          <w:b/>
        </w:rPr>
      </w:pPr>
      <w:bookmarkStart w:id="56" w:name="_Toc7244"/>
      <w:bookmarkStart w:id="57" w:name="_Toc32488"/>
      <w:bookmarkStart w:id="58" w:name="_Toc19474"/>
      <w:r>
        <w:rPr>
          <w:rFonts w:hint="eastAsia" w:ascii="黑体" w:eastAsia="黑体"/>
          <w:b/>
        </w:rPr>
        <w:t>1) 资格瑕疵</w:t>
      </w:r>
      <w:bookmarkEnd w:id="56"/>
      <w:bookmarkEnd w:id="57"/>
      <w:bookmarkEnd w:id="58"/>
    </w:p>
    <w:p>
      <w:pPr>
        <w:ind w:left="899" w:leftChars="428"/>
      </w:pPr>
      <w:r>
        <w:rPr>
          <w:rFonts w:hint="eastAsia"/>
        </w:rPr>
        <w:t>包括但不限于：①资格证明文件未提供或不符合招标文件要求的；②投标人及其制造商与招标人、招标机构有利害关系的。</w:t>
      </w:r>
    </w:p>
    <w:p>
      <w:pPr>
        <w:ind w:left="899" w:leftChars="428"/>
        <w:outlineLvl w:val="0"/>
        <w:rPr>
          <w:rFonts w:ascii="黑体" w:eastAsia="黑体"/>
          <w:b/>
        </w:rPr>
      </w:pPr>
      <w:bookmarkStart w:id="59" w:name="_Toc7772"/>
      <w:bookmarkStart w:id="60" w:name="_Toc2862"/>
      <w:bookmarkStart w:id="61" w:name="_Toc11389"/>
      <w:r>
        <w:rPr>
          <w:rFonts w:hint="eastAsia" w:ascii="黑体" w:eastAsia="黑体"/>
          <w:b/>
        </w:rPr>
        <w:t>2) 投标保证金瑕疵</w:t>
      </w:r>
      <w:bookmarkEnd w:id="59"/>
      <w:bookmarkEnd w:id="60"/>
      <w:bookmarkEnd w:id="61"/>
    </w:p>
    <w:p>
      <w:pPr>
        <w:ind w:left="899" w:leftChars="428"/>
      </w:pPr>
      <w:r>
        <w:rPr>
          <w:rFonts w:hint="eastAsia"/>
        </w:rPr>
        <w:t>包括但不限于：①投标人未提交投标保证金或金额不足；②提交方式、提交时间不符合招标要求；③投标保证金有效期不符合招标要求的。</w:t>
      </w:r>
    </w:p>
    <w:p>
      <w:pPr>
        <w:numPr>
          <w:ilvl w:val="2"/>
          <w:numId w:val="13"/>
        </w:numPr>
        <w:outlineLvl w:val="0"/>
      </w:pPr>
      <w:bookmarkStart w:id="62" w:name="_Toc24077"/>
      <w:bookmarkStart w:id="63" w:name="_Toc345"/>
      <w:bookmarkStart w:id="64" w:name="_Ref179621189"/>
      <w:bookmarkStart w:id="65" w:name="_Toc20796"/>
      <w:r>
        <w:rPr>
          <w:rFonts w:hint="eastAsia"/>
        </w:rPr>
        <w:t>符合性检查</w:t>
      </w:r>
      <w:bookmarkEnd w:id="62"/>
      <w:bookmarkEnd w:id="63"/>
      <w:bookmarkEnd w:id="64"/>
      <w:bookmarkEnd w:id="65"/>
    </w:p>
    <w:p>
      <w:pPr>
        <w:ind w:left="899" w:leftChars="428"/>
        <w:outlineLvl w:val="0"/>
        <w:rPr>
          <w:rFonts w:ascii="黑体" w:eastAsia="黑体"/>
          <w:b/>
        </w:rPr>
      </w:pPr>
      <w:bookmarkStart w:id="66" w:name="_Toc1058"/>
      <w:bookmarkStart w:id="67" w:name="_Toc8324"/>
      <w:bookmarkStart w:id="68" w:name="_Toc8551"/>
      <w:r>
        <w:rPr>
          <w:rFonts w:hint="eastAsia" w:ascii="黑体" w:eastAsia="黑体"/>
          <w:b/>
        </w:rPr>
        <w:t>1) 投标人代表身份审查</w:t>
      </w:r>
      <w:bookmarkEnd w:id="66"/>
      <w:bookmarkEnd w:id="67"/>
      <w:bookmarkEnd w:id="68"/>
    </w:p>
    <w:p>
      <w:pPr>
        <w:ind w:left="899" w:leftChars="428"/>
      </w:pPr>
      <w:r>
        <w:rPr>
          <w:rFonts w:hint="eastAsia"/>
        </w:rPr>
        <w:t>包括但不限于：①投标人代表未参加开标会；②投标人代表无有效授权；③核对投标人代表身份时，不能提供相应的身份证明或不相符。</w:t>
      </w:r>
    </w:p>
    <w:p>
      <w:pPr>
        <w:ind w:left="899" w:leftChars="428"/>
        <w:outlineLvl w:val="0"/>
        <w:rPr>
          <w:rFonts w:ascii="黑体" w:eastAsia="黑体"/>
          <w:b/>
        </w:rPr>
      </w:pPr>
      <w:bookmarkStart w:id="69" w:name="_Toc25734"/>
      <w:bookmarkStart w:id="70" w:name="_Toc10634"/>
      <w:bookmarkStart w:id="71" w:name="_Toc31384"/>
      <w:r>
        <w:rPr>
          <w:rFonts w:hint="eastAsia" w:ascii="黑体" w:eastAsia="黑体"/>
          <w:b/>
        </w:rPr>
        <w:t>2) 投标文件的有效性、完整性瑕疵</w:t>
      </w:r>
      <w:bookmarkEnd w:id="69"/>
      <w:bookmarkEnd w:id="70"/>
      <w:bookmarkEnd w:id="71"/>
    </w:p>
    <w:p>
      <w:pPr>
        <w:ind w:left="899" w:leftChars="428"/>
      </w:pPr>
      <w:r>
        <w:rPr>
          <w:rFonts w:hint="eastAsia"/>
        </w:rPr>
        <w:t>包括但不限于：①投标文件的数量、制作、密封、标记不符合要求；②投标文件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pPr>
        <w:ind w:left="899" w:leftChars="428"/>
        <w:outlineLvl w:val="0"/>
        <w:rPr>
          <w:rFonts w:ascii="黑体" w:eastAsia="黑体"/>
          <w:b/>
        </w:rPr>
      </w:pPr>
      <w:bookmarkStart w:id="72" w:name="_Toc24083"/>
      <w:bookmarkStart w:id="73" w:name="_Toc16347"/>
      <w:bookmarkStart w:id="74" w:name="_Toc670"/>
      <w:r>
        <w:rPr>
          <w:rFonts w:hint="eastAsia" w:ascii="黑体" w:eastAsia="黑体"/>
          <w:b/>
        </w:rPr>
        <w:t>3) 技术响应瑕疵</w:t>
      </w:r>
      <w:bookmarkEnd w:id="72"/>
      <w:bookmarkEnd w:id="73"/>
      <w:bookmarkEnd w:id="74"/>
    </w:p>
    <w:p>
      <w:pPr>
        <w:ind w:left="899" w:leftChars="428"/>
      </w:pPr>
      <w:r>
        <w:rPr>
          <w:rFonts w:hint="eastAsia"/>
        </w:rPr>
        <w:t>包括但不限于：①投标文件不满足招标文件中加注星号（</w:t>
      </w:r>
      <w:r>
        <w:rPr>
          <w:rFonts w:hint="eastAsia" w:ascii="宋体" w:hAnsi="宋体"/>
          <w:szCs w:val="21"/>
        </w:rPr>
        <w:t>※）</w:t>
      </w:r>
      <w:r>
        <w:rPr>
          <w:rFonts w:hint="eastAsia"/>
        </w:rPr>
        <w:t>的主要参数要求或加注星号的主要参数无技术资料支持的；②一般参数超出允许偏离的最大范围或最高项数的；③投标文件技术响应与事实不符或虚假投标的；④投标人复制招标文件的技术规格相关部分内容作为其投标文件的一部分的；⑤《技术规格偏离表》填写不明或不实的；⑥将一个包中的内容拆开投标的；⑦投标人对同一货物或服务投标时，同时提供两套或两套以上的投标方案的；⑧明显不符合技术规格、技术标准要求的；⑨其他未实质性响应招标文件技术要求的。</w:t>
      </w:r>
    </w:p>
    <w:p>
      <w:pPr>
        <w:ind w:left="899" w:leftChars="428"/>
        <w:outlineLvl w:val="0"/>
        <w:rPr>
          <w:rFonts w:ascii="黑体" w:eastAsia="黑体"/>
          <w:b/>
        </w:rPr>
      </w:pPr>
      <w:bookmarkStart w:id="75" w:name="_Toc1274"/>
      <w:bookmarkStart w:id="76" w:name="_Toc13245"/>
      <w:bookmarkStart w:id="77" w:name="_Toc2072"/>
      <w:r>
        <w:rPr>
          <w:rFonts w:hint="eastAsia" w:ascii="黑体" w:eastAsia="黑体"/>
          <w:b/>
        </w:rPr>
        <w:t>4) 商务响应瑕疵</w:t>
      </w:r>
      <w:bookmarkEnd w:id="75"/>
      <w:bookmarkEnd w:id="76"/>
      <w:bookmarkEnd w:id="77"/>
    </w:p>
    <w:p>
      <w:pPr>
        <w:ind w:left="899" w:leftChars="428"/>
      </w:pPr>
      <w:r>
        <w:rPr>
          <w:rFonts w:hint="eastAsia"/>
        </w:rPr>
        <w:t>包括但不限于：①招标文件加注星号（</w:t>
      </w:r>
      <w:r>
        <w:rPr>
          <w:rFonts w:hint="eastAsia" w:ascii="宋体" w:hAnsi="宋体"/>
          <w:szCs w:val="21"/>
        </w:rPr>
        <w:t>※）</w:t>
      </w:r>
      <w:r>
        <w:rPr>
          <w:rFonts w:hint="eastAsia"/>
        </w:rPr>
        <w:t>的商务要求负偏离的；②招标项目完成期未满足招标文件要求的；③投标文件载明的货物包装方式、检验标准和方法不符合招标文件要求的；④投标报价超出委托金额上限的。⑤《商务条款偏离表》填写不明或不实的；⑥投标文件附有招标人不能接受的条件的；⑦其他未实质性响应招标文件商务要求的。</w:t>
      </w:r>
    </w:p>
    <w:p>
      <w:pPr>
        <w:ind w:firstLine="843" w:firstLineChars="400"/>
      </w:pPr>
      <w:r>
        <w:rPr>
          <w:rFonts w:hint="eastAsia" w:ascii="黑体" w:eastAsia="黑体"/>
          <w:b/>
        </w:rPr>
        <w:t>5)投标报价</w:t>
      </w:r>
      <w:r>
        <w:rPr>
          <w:rFonts w:hint="eastAsia"/>
        </w:rPr>
        <w:t>：如招标文件中有明确提出项目标底的，投标报价不得高于标底价。</w:t>
      </w:r>
    </w:p>
    <w:p>
      <w:pPr>
        <w:ind w:firstLine="843" w:firstLineChars="400"/>
        <w:outlineLvl w:val="0"/>
        <w:rPr>
          <w:rFonts w:ascii="黑体" w:eastAsia="黑体"/>
          <w:b/>
        </w:rPr>
      </w:pPr>
      <w:bookmarkStart w:id="78" w:name="_Toc20442"/>
      <w:bookmarkStart w:id="79" w:name="_Toc22697"/>
      <w:bookmarkStart w:id="80" w:name="_Toc10893"/>
      <w:r>
        <w:rPr>
          <w:rFonts w:hint="eastAsia" w:ascii="黑体" w:eastAsia="黑体"/>
          <w:b/>
        </w:rPr>
        <w:t>6)违规行为</w:t>
      </w:r>
      <w:bookmarkEnd w:id="78"/>
      <w:bookmarkEnd w:id="79"/>
      <w:bookmarkEnd w:id="80"/>
    </w:p>
    <w:p>
      <w:pPr>
        <w:ind w:left="840" w:leftChars="400"/>
      </w:pPr>
      <w:r>
        <w:rPr>
          <w:rFonts w:hint="eastAsia"/>
        </w:rPr>
        <w:t>包括但不限于：①以他人的名义投标、串通投标、以行贿手段谋取中标或者以其他弄虚作假方式投标的；②拒不按照要求对投标文件进行澄清、说明或者补正的；③扰乱开标、评标秩序，干扰招标工作正常进行的。</w:t>
      </w:r>
    </w:p>
    <w:p>
      <w:pPr>
        <w:ind w:firstLine="843" w:firstLineChars="400"/>
      </w:pPr>
      <w:r>
        <w:rPr>
          <w:rFonts w:hint="eastAsia" w:ascii="黑体" w:eastAsia="黑体"/>
          <w:b/>
        </w:rPr>
        <w:t>7)法律法规及招标文件中规定的其它情形</w:t>
      </w:r>
      <w:r>
        <w:rPr>
          <w:rFonts w:hint="eastAsia"/>
        </w:rPr>
        <w:t>。</w:t>
      </w:r>
    </w:p>
    <w:p>
      <w:pPr>
        <w:numPr>
          <w:ilvl w:val="2"/>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根据项目情况，评标委员会有权决定招标文件中“可能导致废标”或“可能导致其投标被拒绝”等具体条款是否实施“废标”或“投标被拒绝”，但对同一条款的裁决应适用于每个投标人。</w:t>
      </w:r>
    </w:p>
    <w:p>
      <w:pPr>
        <w:ind w:firstLine="420" w:firstLineChars="200"/>
        <w:rPr>
          <w:color w:val="000000" w:themeColor="text1"/>
          <w14:textFill>
            <w14:solidFill>
              <w14:schemeClr w14:val="tx1"/>
            </w14:solidFill>
          </w14:textFill>
        </w:rPr>
      </w:pPr>
    </w:p>
    <w:p>
      <w:pPr>
        <w:numPr>
          <w:ilvl w:val="0"/>
          <w:numId w:val="13"/>
        </w:numPr>
        <w:rPr>
          <w:rFonts w:ascii="黑体" w:eastAsia="黑体"/>
          <w:color w:val="000000" w:themeColor="text1"/>
          <w14:textFill>
            <w14:solidFill>
              <w14:schemeClr w14:val="tx1"/>
            </w14:solidFill>
          </w14:textFill>
        </w:rPr>
      </w:pPr>
      <w:r>
        <w:rPr>
          <w:rFonts w:hint="eastAsia" w:ascii="黑体" w:eastAsia="黑体"/>
          <w:color w:val="000000" w:themeColor="text1"/>
          <w14:textFill>
            <w14:solidFill>
              <w14:schemeClr w14:val="tx1"/>
            </w14:solidFill>
          </w14:textFill>
        </w:rPr>
        <w:t>评标方法和定标原则</w:t>
      </w:r>
    </w:p>
    <w:p>
      <w:pPr>
        <w:numPr>
          <w:ilvl w:val="1"/>
          <w:numId w:val="13"/>
        </w:numPr>
      </w:pPr>
      <w:r>
        <w:rPr>
          <w:rFonts w:hint="eastAsia"/>
          <w:color w:val="000000" w:themeColor="text1"/>
          <w14:textFill>
            <w14:solidFill>
              <w14:schemeClr w14:val="tx1"/>
            </w14:solidFill>
          </w14:textFill>
        </w:rPr>
        <w:t>综合评估法定标（见第二章投标资料表中附表）</w:t>
      </w:r>
    </w:p>
    <w:p>
      <w:pPr>
        <w:jc w:val="both"/>
        <w:rPr>
          <w:rFonts w:ascii="黑体" w:eastAsia="黑体"/>
          <w:sz w:val="32"/>
          <w:szCs w:val="32"/>
        </w:rPr>
      </w:pPr>
    </w:p>
    <w:p>
      <w:pPr>
        <w:jc w:val="center"/>
        <w:rPr>
          <w:rFonts w:ascii="黑体" w:eastAsia="黑体"/>
          <w:sz w:val="32"/>
          <w:szCs w:val="32"/>
        </w:rPr>
      </w:pPr>
      <w:r>
        <w:rPr>
          <w:rFonts w:hint="eastAsia" w:ascii="黑体" w:eastAsia="黑体"/>
          <w:sz w:val="32"/>
          <w:szCs w:val="32"/>
        </w:rPr>
        <w:t>六、授予合同</w:t>
      </w:r>
    </w:p>
    <w:p>
      <w:pPr>
        <w:ind w:firstLine="420" w:firstLineChars="200"/>
      </w:pPr>
    </w:p>
    <w:p>
      <w:pPr>
        <w:numPr>
          <w:ilvl w:val="0"/>
          <w:numId w:val="13"/>
        </w:numPr>
        <w:rPr>
          <w:rFonts w:ascii="黑体" w:eastAsia="黑体"/>
          <w:b/>
        </w:rPr>
      </w:pPr>
      <w:r>
        <w:rPr>
          <w:rFonts w:hint="eastAsia" w:ascii="黑体" w:eastAsia="黑体"/>
          <w:b/>
        </w:rPr>
        <w:t>最终审查</w:t>
      </w:r>
    </w:p>
    <w:p>
      <w:pPr>
        <w:numPr>
          <w:ilvl w:val="1"/>
          <w:numId w:val="13"/>
        </w:numPr>
      </w:pPr>
      <w:r>
        <w:rPr>
          <w:rFonts w:hint="eastAsia"/>
        </w:rPr>
        <w:t>招标人将根据本须知列出的标准审查第一中标候选人是否有能力圆满地履行合同。</w:t>
      </w:r>
    </w:p>
    <w:p>
      <w:pPr>
        <w:numPr>
          <w:ilvl w:val="1"/>
          <w:numId w:val="13"/>
        </w:numPr>
      </w:pPr>
      <w:r>
        <w:rPr>
          <w:rFonts w:hint="eastAsia"/>
        </w:rPr>
        <w:t>授标决定时还将考虑投标人的财务、技术和生产能力在招标期间是否有实质性变化。其基础是审查投标人按照本须知规定提交的资格证明文件和招标人认为必要的、合适的其它资料。</w:t>
      </w:r>
    </w:p>
    <w:p>
      <w:pPr>
        <w:numPr>
          <w:ilvl w:val="1"/>
          <w:numId w:val="13"/>
        </w:numPr>
      </w:pPr>
      <w:r>
        <w:rPr>
          <w:rFonts w:hint="eastAsia"/>
        </w:rPr>
        <w:t>如果审查通过，招标人将把合同授予该投标人；如果审查没有通过，招标人将拒绝其投标，并对下一个中标候选人能否令人满意地履行合同作类似的审查。</w:t>
      </w:r>
    </w:p>
    <w:p/>
    <w:p>
      <w:pPr>
        <w:numPr>
          <w:ilvl w:val="0"/>
          <w:numId w:val="13"/>
        </w:numPr>
        <w:rPr>
          <w:rFonts w:ascii="黑体" w:eastAsia="黑体"/>
          <w:b/>
        </w:rPr>
      </w:pPr>
      <w:r>
        <w:rPr>
          <w:rFonts w:hint="eastAsia" w:ascii="黑体" w:eastAsia="黑体"/>
          <w:b/>
        </w:rPr>
        <w:t>合同授予标准</w:t>
      </w:r>
    </w:p>
    <w:p>
      <w:pPr>
        <w:numPr>
          <w:ilvl w:val="1"/>
          <w:numId w:val="13"/>
        </w:numPr>
      </w:pPr>
      <w:r>
        <w:rPr>
          <w:rFonts w:hint="eastAsia"/>
        </w:rPr>
        <w:t>除第31条的规定之外，招标人将把合同授予被确定为实质上响应招标文件的要求并有履行合同能力的投标人。</w:t>
      </w:r>
    </w:p>
    <w:p/>
    <w:p>
      <w:pPr>
        <w:numPr>
          <w:ilvl w:val="0"/>
          <w:numId w:val="13"/>
        </w:numPr>
        <w:rPr>
          <w:rFonts w:ascii="黑体" w:eastAsia="黑体"/>
          <w:b/>
        </w:rPr>
      </w:pPr>
      <w:r>
        <w:rPr>
          <w:rFonts w:hint="eastAsia" w:ascii="黑体" w:eastAsia="黑体"/>
          <w:b/>
        </w:rPr>
        <w:t>授标时更改采购货物数量的权力</w:t>
      </w:r>
    </w:p>
    <w:p>
      <w:pPr>
        <w:numPr>
          <w:ilvl w:val="1"/>
          <w:numId w:val="13"/>
        </w:numPr>
      </w:pPr>
      <w:bookmarkStart w:id="81" w:name="_Ref179621665"/>
      <w:r>
        <w:rPr>
          <w:rFonts w:hint="eastAsia"/>
        </w:rPr>
        <w:t>招标人在授予合同时有权在</w:t>
      </w:r>
      <w:r>
        <w:rPr>
          <w:rFonts w:hint="eastAsia" w:ascii="黑体" w:eastAsia="黑体"/>
          <w:b/>
        </w:rPr>
        <w:t>投标资料表</w:t>
      </w:r>
      <w:r>
        <w:rPr>
          <w:rFonts w:hint="eastAsia"/>
        </w:rPr>
        <w:t>规定的幅度内对“用户需求书”中规定的货物数量和服务予以增加或减少，但不得对单价或其它的条款和条件做任何改变。</w:t>
      </w:r>
      <w:bookmarkEnd w:id="81"/>
    </w:p>
    <w:p/>
    <w:p>
      <w:pPr>
        <w:numPr>
          <w:ilvl w:val="0"/>
          <w:numId w:val="13"/>
        </w:numPr>
        <w:rPr>
          <w:rFonts w:ascii="黑体" w:eastAsia="黑体"/>
          <w:b/>
        </w:rPr>
      </w:pPr>
      <w:r>
        <w:rPr>
          <w:rFonts w:hint="eastAsia" w:ascii="黑体" w:eastAsia="黑体"/>
          <w:b/>
        </w:rPr>
        <w:t>中标结果公示</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为体现“公开、公平、公正”的原则，评标结束后，将在</w:t>
      </w:r>
      <w:r>
        <w:rPr>
          <w:rFonts w:hint="eastAsia" w:ascii="宋体" w:hAnsi="宋体" w:eastAsia="宋体" w:cs="宋体"/>
          <w:color w:val="auto"/>
        </w:rPr>
        <w:t>“深广电采购网</w:t>
      </w:r>
      <w:r>
        <w:fldChar w:fldCharType="begin"/>
      </w:r>
      <w:r>
        <w:instrText xml:space="preserve"> HYPERLINK "http://cg.szmg.com.cn/" </w:instrText>
      </w:r>
      <w:r>
        <w:fldChar w:fldCharType="separate"/>
      </w:r>
      <w:r>
        <w:rPr>
          <w:rStyle w:val="23"/>
        </w:rPr>
        <w:t>http://cg.szmg.com.cn/</w:t>
      </w:r>
      <w:r>
        <w:rPr>
          <w:rStyle w:val="23"/>
        </w:rPr>
        <w:fldChar w:fldCharType="end"/>
      </w:r>
      <w:r>
        <w:rPr>
          <w:rFonts w:hint="eastAsia" w:ascii="宋体" w:hAnsi="宋体" w:eastAsia="宋体" w:cs="宋体"/>
          <w:color w:val="auto"/>
        </w:rPr>
        <w:t>”</w:t>
      </w:r>
      <w:r>
        <w:rPr>
          <w:rStyle w:val="23"/>
          <w:rFonts w:hint="eastAsia"/>
          <w:highlight w:val="none"/>
          <w:lang w:val="en-US" w:eastAsia="zh-CN"/>
        </w:rPr>
        <w:t>或设计之都公司官网https://www.designcities.cn/</w:t>
      </w:r>
      <w:r>
        <w:rPr>
          <w:rFonts w:hint="eastAsia"/>
          <w:color w:val="000000" w:themeColor="text1"/>
          <w14:textFill>
            <w14:solidFill>
              <w14:schemeClr w14:val="tx1"/>
            </w14:solidFill>
          </w14:textFill>
        </w:rPr>
        <w:t>进行中标结果公示。投标人如对评标结果有异议，应于中标公示之日起3日内以书面形式提出。若未提出异议，则视为无异议或放弃异议权。</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
      <w:pPr>
        <w:numPr>
          <w:ilvl w:val="0"/>
          <w:numId w:val="13"/>
        </w:numPr>
        <w:rPr>
          <w:rFonts w:ascii="黑体" w:eastAsia="黑体"/>
          <w:b/>
        </w:rPr>
      </w:pPr>
      <w:bookmarkStart w:id="82" w:name="_Ref179619923"/>
      <w:r>
        <w:rPr>
          <w:rFonts w:hint="eastAsia" w:ascii="黑体" w:eastAsia="黑体"/>
          <w:b/>
        </w:rPr>
        <w:t>接受和拒绝任何或所有投标的权力</w:t>
      </w:r>
      <w:bookmarkEnd w:id="82"/>
    </w:p>
    <w:p>
      <w:pPr>
        <w:numPr>
          <w:ilvl w:val="1"/>
          <w:numId w:val="13"/>
        </w:numPr>
      </w:pPr>
      <w:r>
        <w:rPr>
          <w:rFonts w:hint="eastAsia"/>
        </w:rPr>
        <w:t>在法律法规允许的特殊情况下，招标人保留在授标之前拒绝任何投标以及宣布招标程序无效或拒绝所有投标的权力，且对受影响的投标人不承担任何责任，</w:t>
      </w:r>
      <w:r>
        <w:rPr>
          <w:rFonts w:hint="eastAsia" w:ascii="宋体" w:hAnsi="宋体"/>
        </w:rPr>
        <w:t>也无义务向受影响的投标人解释采取这一行动的理由。</w:t>
      </w:r>
    </w:p>
    <w:p/>
    <w:p>
      <w:pPr>
        <w:numPr>
          <w:ilvl w:val="0"/>
          <w:numId w:val="13"/>
        </w:numPr>
        <w:rPr>
          <w:rFonts w:ascii="黑体" w:eastAsia="黑体"/>
          <w:b/>
        </w:rPr>
      </w:pPr>
      <w:r>
        <w:rPr>
          <w:rFonts w:hint="eastAsia" w:ascii="黑体" w:eastAsia="黑体"/>
          <w:b/>
        </w:rPr>
        <w:t>中标通知书</w:t>
      </w:r>
    </w:p>
    <w:p>
      <w:pPr>
        <w:numPr>
          <w:ilvl w:val="1"/>
          <w:numId w:val="13"/>
        </w:numPr>
      </w:pPr>
      <w:r>
        <w:rPr>
          <w:rFonts w:hint="eastAsia"/>
        </w:rPr>
        <w:t>中标结果公示后三个工作日内，中标供应商须提供营业执照、税务登记证以及在投标文件中提供的资质证明文件、合同等主要证明文件的原件进行核对，经核对无误后才能向中标供应商发出中标通知书。如授权其分支机构进行项目实施或提供售后服务的，亦应提供其与分支机构关系的法律证明材料。</w:t>
      </w:r>
    </w:p>
    <w:p>
      <w:pPr>
        <w:numPr>
          <w:ilvl w:val="1"/>
          <w:numId w:val="13"/>
        </w:numPr>
      </w:pPr>
      <w:r>
        <w:rPr>
          <w:rFonts w:hint="eastAsia"/>
        </w:rPr>
        <w:t>《中标通知书》是合同的一个组成部分。中标人如在中标结果公示后15日内不按规定提交相关资料及领取中标通知书的，则视为自动放弃中标资格进行处理。</w:t>
      </w:r>
    </w:p>
    <w:p/>
    <w:p>
      <w:pPr>
        <w:numPr>
          <w:ilvl w:val="0"/>
          <w:numId w:val="13"/>
        </w:numPr>
        <w:rPr>
          <w:rFonts w:ascii="黑体" w:eastAsia="黑体"/>
          <w:b/>
        </w:rPr>
      </w:pPr>
      <w:bookmarkStart w:id="83" w:name="_Ref179619520"/>
      <w:r>
        <w:rPr>
          <w:rFonts w:hint="eastAsia" w:ascii="黑体" w:eastAsia="黑体"/>
          <w:b/>
        </w:rPr>
        <w:t>签订合同</w:t>
      </w:r>
      <w:bookmarkEnd w:id="83"/>
    </w:p>
    <w:p>
      <w:pPr>
        <w:numPr>
          <w:ilvl w:val="1"/>
          <w:numId w:val="13"/>
        </w:numPr>
      </w:pPr>
      <w:r>
        <w:rPr>
          <w:rFonts w:hint="eastAsia"/>
        </w:rPr>
        <w:t>《中标通知书》发出后30 日内，中标人应按照招标文件和中标人的投标文件订立书面合同。中标人不得与招标人再订立背离合同实质性内容的其他协议。</w:t>
      </w:r>
    </w:p>
    <w:p>
      <w:pPr>
        <w:numPr>
          <w:ilvl w:val="1"/>
          <w:numId w:val="13"/>
        </w:numPr>
      </w:pPr>
      <w:r>
        <w:rPr>
          <w:rFonts w:hint="eastAsia"/>
        </w:rPr>
        <w:t>招标文件、中标人的投标文件及其澄清文件等，均为签订合同的依据。</w:t>
      </w:r>
    </w:p>
    <w:p>
      <w:pPr>
        <w:numPr>
          <w:ilvl w:val="1"/>
          <w:numId w:val="13"/>
        </w:numPr>
      </w:pPr>
      <w:r>
        <w:rPr>
          <w:rFonts w:hint="eastAsia"/>
        </w:rPr>
        <w:t>合同签订后5个工作日内，中标人须将合同副本（合同复印件加盖中标人公章，原件核验)送招标机构存档备案。</w:t>
      </w:r>
    </w:p>
    <w:p/>
    <w:p>
      <w:pPr>
        <w:numPr>
          <w:ilvl w:val="0"/>
          <w:numId w:val="13"/>
        </w:numPr>
        <w:rPr>
          <w:rFonts w:ascii="黑体" w:eastAsia="黑体"/>
          <w:b/>
        </w:rPr>
      </w:pPr>
      <w:r>
        <w:rPr>
          <w:rFonts w:hint="eastAsia" w:ascii="黑体" w:eastAsia="黑体"/>
          <w:b/>
        </w:rPr>
        <w:t>履约保证金</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中标人投标前递交的投标保证金直接转为合同履约金。如中标人未按合同履约，招标人有权终止合同</w:t>
      </w:r>
      <w:r>
        <w:rPr>
          <w:rFonts w:hint="eastAsia" w:cs="Arial"/>
          <w:color w:val="000000" w:themeColor="text1"/>
          <w14:textFill>
            <w14:solidFill>
              <w14:schemeClr w14:val="tx1"/>
            </w14:solidFill>
          </w14:textFill>
        </w:rPr>
        <w:t>，并没收其</w:t>
      </w:r>
      <w:r>
        <w:rPr>
          <w:rFonts w:hint="eastAsia"/>
          <w:color w:val="000000" w:themeColor="text1"/>
          <w14:textFill>
            <w14:solidFill>
              <w14:schemeClr w14:val="tx1"/>
            </w14:solidFill>
          </w14:textFill>
        </w:rPr>
        <w:t>合同履约金</w:t>
      </w:r>
      <w:r>
        <w:rPr>
          <w:rFonts w:hint="eastAsia" w:cs="Arial"/>
          <w:color w:val="000000" w:themeColor="text1"/>
          <w14:textFill>
            <w14:solidFill>
              <w14:schemeClr w14:val="tx1"/>
            </w14:solidFill>
          </w14:textFill>
        </w:rPr>
        <w:t>。给招标人造成的损失超过</w:t>
      </w:r>
      <w:r>
        <w:rPr>
          <w:rFonts w:hint="eastAsia"/>
          <w:color w:val="000000" w:themeColor="text1"/>
          <w14:textFill>
            <w14:solidFill>
              <w14:schemeClr w14:val="tx1"/>
            </w14:solidFill>
          </w14:textFill>
        </w:rPr>
        <w:t>合同履约金</w:t>
      </w:r>
      <w:r>
        <w:rPr>
          <w:rFonts w:hint="eastAsia" w:cs="Arial"/>
          <w:color w:val="000000" w:themeColor="text1"/>
          <w14:textFill>
            <w14:solidFill>
              <w14:schemeClr w14:val="tx1"/>
            </w14:solidFill>
          </w14:textFill>
        </w:rPr>
        <w:t>数额的，还应当由其对超过部分予以赔偿，并依法追究其责任。</w:t>
      </w:r>
    </w:p>
    <w:p>
      <w:pPr>
        <w:numPr>
          <w:ilvl w:val="1"/>
          <w:numId w:val="13"/>
        </w:num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下列任何情况发生时，</w:t>
      </w:r>
      <w:r>
        <w:rPr>
          <w:rFonts w:hint="eastAsia" w:cs="Arial"/>
          <w:color w:val="000000" w:themeColor="text1"/>
          <w14:textFill>
            <w14:solidFill>
              <w14:schemeClr w14:val="tx1"/>
            </w14:solidFill>
          </w14:textFill>
        </w:rPr>
        <w:t>履约</w:t>
      </w:r>
      <w:r>
        <w:rPr>
          <w:rFonts w:cs="Arial"/>
          <w:color w:val="000000" w:themeColor="text1"/>
          <w14:textFill>
            <w14:solidFill>
              <w14:schemeClr w14:val="tx1"/>
            </w14:solidFill>
          </w14:textFill>
        </w:rPr>
        <w:t>保证金将被没收：</w:t>
      </w:r>
    </w:p>
    <w:p>
      <w:pPr>
        <w:numPr>
          <w:ilvl w:val="2"/>
          <w:numId w:val="13"/>
        </w:numP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中标人将本项目转让给他人，或者在投标文件中未说明，且未经招采购人同意，将中标项目分包给他人的，采购人可依法没收其履约保证金。</w:t>
      </w:r>
    </w:p>
    <w:p>
      <w:pPr>
        <w:numPr>
          <w:ilvl w:val="2"/>
          <w:numId w:val="13"/>
        </w:numP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中标人将本项目转让给他人，或者在投标文件中未说明，且未经招采购人同意，将中标项目分包给他人的，采购人可依法没收其履约保证金。</w:t>
      </w:r>
    </w:p>
    <w:p>
      <w:pPr>
        <w:numPr>
          <w:ilvl w:val="1"/>
          <w:numId w:val="13"/>
        </w:numPr>
        <w:rPr>
          <w:color w:val="000000" w:themeColor="text1"/>
          <w14:textFill>
            <w14:solidFill>
              <w14:schemeClr w14:val="tx1"/>
            </w14:solidFill>
          </w14:textFill>
        </w:rPr>
      </w:pPr>
      <w:r>
        <w:rPr>
          <w:rFonts w:hint="eastAsia"/>
          <w:color w:val="000000" w:themeColor="text1"/>
          <w14:textFill>
            <w14:solidFill>
              <w14:schemeClr w14:val="tx1"/>
            </w14:solidFill>
          </w14:textFill>
        </w:rPr>
        <w:t>如果中标人没有按照上述规定执行，招标人将取消该中标决定，并没收其投标保证金。在此情况下，招标机构和招标人可将合同授予下一个中标候选人，或重新招标。</w:t>
      </w:r>
    </w:p>
    <w:p>
      <w:pPr>
        <w:rPr>
          <w:rFonts w:ascii="黑体" w:eastAsia="黑体"/>
          <w:b/>
        </w:rPr>
      </w:pPr>
    </w:p>
    <w:p>
      <w:pPr>
        <w:numPr>
          <w:ilvl w:val="0"/>
          <w:numId w:val="13"/>
        </w:numPr>
        <w:rPr>
          <w:rFonts w:ascii="黑体" w:eastAsia="黑体"/>
          <w:b/>
        </w:rPr>
      </w:pPr>
      <w:r>
        <w:rPr>
          <w:rFonts w:hint="eastAsia" w:ascii="黑体" w:eastAsia="黑体"/>
          <w:b/>
        </w:rPr>
        <w:t>解释权</w:t>
      </w:r>
    </w:p>
    <w:p>
      <w:pPr>
        <w:numPr>
          <w:ilvl w:val="1"/>
          <w:numId w:val="13"/>
        </w:numPr>
      </w:pPr>
      <w:r>
        <w:rPr>
          <w:rFonts w:hint="eastAsia"/>
        </w:rPr>
        <w:t>本采购文件是根据国家有关法律、法规以及政府采购管理有关规定和参照国际惯例编制，解释权属本采购招标人。</w:t>
      </w:r>
    </w:p>
    <w:p>
      <w:pPr>
        <w:jc w:val="center"/>
        <w:rPr>
          <w:rFonts w:ascii="黑体" w:eastAsia="黑体"/>
          <w:sz w:val="44"/>
          <w:szCs w:val="44"/>
        </w:rPr>
      </w:pPr>
    </w:p>
    <w:p>
      <w:pPr>
        <w:jc w:val="center"/>
        <w:rPr>
          <w:rFonts w:ascii="黑体" w:eastAsia="黑体"/>
          <w:sz w:val="44"/>
          <w:szCs w:val="44"/>
        </w:rPr>
      </w:pPr>
    </w:p>
    <w:p>
      <w:pPr>
        <w:jc w:val="both"/>
        <w:rPr>
          <w:rFonts w:ascii="黑体" w:eastAsia="黑体"/>
          <w:sz w:val="44"/>
          <w:szCs w:val="44"/>
        </w:rPr>
      </w:pPr>
    </w:p>
    <w:p>
      <w:pPr>
        <w:jc w:val="center"/>
        <w:rPr>
          <w:rFonts w:ascii="黑体" w:eastAsia="黑体"/>
          <w:sz w:val="44"/>
          <w:szCs w:val="44"/>
        </w:rPr>
      </w:pPr>
    </w:p>
    <w:p>
      <w:pPr>
        <w:widowControl/>
        <w:numPr>
          <w:ilvl w:val="0"/>
          <w:numId w:val="1"/>
        </w:numPr>
        <w:spacing w:before="312" w:beforeLines="100" w:after="312" w:afterLines="100"/>
        <w:ind w:firstLine="402"/>
        <w:jc w:val="center"/>
        <w:outlineLvl w:val="0"/>
        <w:rPr>
          <w:rFonts w:ascii="黑体" w:eastAsia="黑体"/>
          <w:sz w:val="44"/>
          <w:szCs w:val="44"/>
        </w:rPr>
      </w:pPr>
      <w:bookmarkStart w:id="84" w:name="_Toc15172"/>
      <w:r>
        <w:rPr>
          <w:rFonts w:hint="eastAsia" w:ascii="黑体" w:eastAsia="黑体"/>
          <w:sz w:val="44"/>
          <w:szCs w:val="44"/>
        </w:rPr>
        <w:t>合同条款</w:t>
      </w:r>
      <w:bookmarkEnd w:id="84"/>
    </w:p>
    <w:p>
      <w:pPr>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(另行订立)</w:t>
      </w:r>
    </w:p>
    <w:p>
      <w:pPr>
        <w:numPr>
          <w:ilvl w:val="1"/>
          <w:numId w:val="14"/>
        </w:numPr>
        <w:jc w:val="center"/>
        <w:outlineLvl w:val="1"/>
        <w:rPr>
          <w:rFonts w:ascii="黑体" w:eastAsia="黑体"/>
          <w:b/>
          <w:sz w:val="28"/>
          <w:szCs w:val="28"/>
        </w:rPr>
      </w:pPr>
      <w:r>
        <w:rPr>
          <w:rFonts w:ascii="黑体" w:eastAsia="黑体"/>
          <w:sz w:val="44"/>
          <w:szCs w:val="44"/>
        </w:rPr>
        <w:br w:type="page"/>
      </w:r>
      <w:bookmarkStart w:id="85" w:name="_Toc15791"/>
      <w:r>
        <w:rPr>
          <w:rFonts w:hint="eastAsia" w:ascii="黑体" w:hAnsi="宋体" w:eastAsia="黑体"/>
          <w:color w:val="000000"/>
          <w:sz w:val="28"/>
          <w:szCs w:val="28"/>
        </w:rPr>
        <w:t>合同主要条款</w:t>
      </w:r>
      <w:bookmarkEnd w:id="85"/>
    </w:p>
    <w:p/>
    <w:p>
      <w:pPr>
        <w:pStyle w:val="18"/>
        <w:spacing w:after="240"/>
        <w:ind w:firstLine="537" w:firstLineChars="224"/>
        <w:jc w:val="center"/>
        <w:rPr>
          <w:rFonts w:ascii="仿宋_GB2312" w:hAnsi="宋体" w:eastAsia="仿宋_GB2312"/>
          <w:color w:val="FF0000"/>
          <w:highlight w:val="yellow"/>
        </w:rPr>
      </w:pPr>
      <w:r>
        <w:rPr>
          <w:rFonts w:hint="eastAsia" w:ascii="仿宋_GB2312" w:hAnsi="宋体" w:eastAsia="仿宋_GB2312"/>
          <w:color w:val="FF0000"/>
        </w:rPr>
        <w:t>（仅供参考）</w:t>
      </w:r>
    </w:p>
    <w:p>
      <w:pPr>
        <w:jc w:val="center"/>
        <w:outlineLvl w:val="1"/>
        <w:rPr>
          <w:rFonts w:ascii="仿宋" w:hAnsi="仿宋" w:eastAsia="仿宋"/>
          <w:b/>
          <w:sz w:val="30"/>
          <w:szCs w:val="30"/>
        </w:rPr>
      </w:pPr>
      <w:r>
        <w:rPr>
          <w:rFonts w:hint="eastAsia" w:ascii="仿宋" w:hAnsi="仿宋" w:eastAsia="仿宋"/>
          <w:b/>
          <w:sz w:val="30"/>
          <w:szCs w:val="30"/>
        </w:rPr>
        <w:t>2024年第十三届深圳动漫节x世纪汇联名活动</w:t>
      </w:r>
      <w:r>
        <w:rPr>
          <w:rFonts w:hint="eastAsia" w:ascii="仿宋" w:hAnsi="仿宋" w:eastAsia="仿宋"/>
          <w:b/>
          <w:color w:val="000000" w:themeColor="text1"/>
          <w:sz w:val="30"/>
          <w:szCs w:val="30"/>
          <w14:textFill>
            <w14:solidFill>
              <w14:schemeClr w14:val="tx1"/>
            </w14:solidFill>
          </w14:textFill>
        </w:rPr>
        <w:t>项目</w:t>
      </w:r>
    </w:p>
    <w:p>
      <w:pPr>
        <w:jc w:val="center"/>
        <w:outlineLvl w:val="1"/>
        <w:rPr>
          <w:rFonts w:ascii="仿宋" w:hAnsi="仿宋" w:eastAsia="仿宋"/>
          <w:b/>
          <w:sz w:val="30"/>
          <w:szCs w:val="30"/>
        </w:rPr>
      </w:pPr>
      <w:r>
        <w:rPr>
          <w:rFonts w:hint="eastAsia" w:ascii="仿宋" w:hAnsi="仿宋" w:eastAsia="仿宋"/>
          <w:b/>
          <w:sz w:val="30"/>
          <w:szCs w:val="30"/>
        </w:rPr>
        <w:t>承制合同</w:t>
      </w:r>
    </w:p>
    <w:p>
      <w:pPr>
        <w:rPr>
          <w:rFonts w:ascii="仿宋_GB2312" w:hAnsi="仿宋" w:eastAsia="仿宋_GB2312"/>
          <w:sz w:val="30"/>
          <w:szCs w:val="30"/>
        </w:rPr>
      </w:pPr>
    </w:p>
    <w:p>
      <w:pPr>
        <w:spacing w:line="360" w:lineRule="auto"/>
        <w:outlineLvl w:val="0"/>
        <w:rPr>
          <w:rFonts w:ascii="仿宋" w:hAnsi="仿宋" w:eastAsia="仿宋" w:cs="仿宋"/>
          <w:szCs w:val="21"/>
        </w:rPr>
      </w:pPr>
      <w:r>
        <w:rPr>
          <w:rFonts w:hint="eastAsia" w:ascii="仿宋" w:hAnsi="仿宋" w:eastAsia="仿宋" w:cs="仿宋"/>
          <w:szCs w:val="21"/>
        </w:rPr>
        <w:t>甲  方：深圳市设计之都运营发展有限公司</w:t>
      </w:r>
    </w:p>
    <w:p>
      <w:pPr>
        <w:spacing w:line="360" w:lineRule="auto"/>
        <w:outlineLvl w:val="0"/>
        <w:rPr>
          <w:rFonts w:ascii="仿宋" w:hAnsi="仿宋" w:eastAsia="仿宋" w:cs="仿宋"/>
          <w:szCs w:val="21"/>
        </w:rPr>
      </w:pPr>
      <w:r>
        <w:rPr>
          <w:rFonts w:hint="eastAsia" w:ascii="仿宋" w:hAnsi="仿宋" w:eastAsia="仿宋" w:cs="仿宋"/>
          <w:szCs w:val="21"/>
        </w:rPr>
        <w:t>地  址：深圳市福田区鹏程一路广电金融中心48楼</w:t>
      </w:r>
    </w:p>
    <w:p>
      <w:pPr>
        <w:spacing w:line="360" w:lineRule="auto"/>
        <w:rPr>
          <w:rFonts w:ascii="仿宋" w:hAnsi="仿宋" w:eastAsia="仿宋" w:cs="仿宋"/>
          <w:szCs w:val="21"/>
        </w:rPr>
      </w:pPr>
    </w:p>
    <w:p>
      <w:pPr>
        <w:spacing w:line="360" w:lineRule="auto"/>
        <w:outlineLvl w:val="0"/>
        <w:rPr>
          <w:rFonts w:ascii="仿宋" w:hAnsi="仿宋" w:eastAsia="仿宋" w:cs="仿宋"/>
          <w:szCs w:val="21"/>
        </w:rPr>
      </w:pPr>
      <w:r>
        <w:rPr>
          <w:rFonts w:hint="eastAsia" w:ascii="仿宋" w:hAnsi="仿宋" w:eastAsia="仿宋" w:cs="仿宋"/>
          <w:szCs w:val="21"/>
        </w:rPr>
        <w:t xml:space="preserve">乙  方： </w:t>
      </w:r>
    </w:p>
    <w:p>
      <w:pPr>
        <w:spacing w:line="360" w:lineRule="auto"/>
        <w:rPr>
          <w:rFonts w:ascii="仿宋" w:hAnsi="仿宋" w:eastAsia="仿宋" w:cs="仿宋"/>
          <w:szCs w:val="21"/>
        </w:rPr>
      </w:pPr>
      <w:r>
        <w:rPr>
          <w:rFonts w:hint="eastAsia" w:ascii="仿宋" w:hAnsi="仿宋" w:eastAsia="仿宋" w:cs="仿宋"/>
          <w:szCs w:val="21"/>
        </w:rPr>
        <w:t xml:space="preserve">地  址： </w:t>
      </w:r>
    </w:p>
    <w:p>
      <w:pPr>
        <w:spacing w:line="360" w:lineRule="auto"/>
        <w:rPr>
          <w:rFonts w:ascii="仿宋" w:hAnsi="仿宋" w:eastAsia="仿宋" w:cs="仿宋"/>
          <w:szCs w:val="21"/>
        </w:rPr>
      </w:pPr>
    </w:p>
    <w:p>
      <w:pPr>
        <w:spacing w:line="360" w:lineRule="auto"/>
        <w:ind w:firstLine="420" w:firstLineChars="200"/>
        <w:outlineLvl w:val="0"/>
        <w:rPr>
          <w:rFonts w:ascii="仿宋" w:hAnsi="仿宋" w:eastAsia="仿宋" w:cs="仿宋"/>
          <w:szCs w:val="21"/>
        </w:rPr>
      </w:pPr>
      <w:r>
        <w:rPr>
          <w:rFonts w:hint="eastAsia" w:ascii="仿宋" w:hAnsi="仿宋" w:eastAsia="仿宋" w:cs="仿宋"/>
          <w:szCs w:val="21"/>
        </w:rPr>
        <w:t>2024年第十三届深圳动漫节将于2024年 7月25-28日在深圳市会展中心2.3.4号馆举行。甲方（深圳市设计之都运营发展有限公司）为本次活动的主办方，乙方（xxx）为2024年第十三届深圳 动漫节x世纪汇联名活动项目活动（以下简称‘本次活动’或‘该项目’）的承办方。经甲乙双方友好协商，双方就本次活动达成以下合作意向：</w:t>
      </w:r>
    </w:p>
    <w:p>
      <w:pPr>
        <w:spacing w:line="360" w:lineRule="auto"/>
        <w:outlineLvl w:val="1"/>
        <w:rPr>
          <w:rFonts w:ascii="仿宋" w:hAnsi="仿宋" w:eastAsia="仿宋" w:cs="仿宋"/>
          <w:b/>
          <w:szCs w:val="21"/>
        </w:rPr>
      </w:pPr>
      <w:r>
        <w:rPr>
          <w:rFonts w:hint="eastAsia" w:ascii="仿宋" w:hAnsi="仿宋" w:eastAsia="仿宋" w:cs="仿宋"/>
          <w:b/>
          <w:szCs w:val="21"/>
        </w:rPr>
        <w:t>一、合作内容：</w:t>
      </w:r>
    </w:p>
    <w:p>
      <w:pPr>
        <w:spacing w:line="360" w:lineRule="auto"/>
        <w:ind w:firstLine="420" w:firstLineChars="200"/>
        <w:rPr>
          <w:rFonts w:ascii="仿宋" w:hAnsi="仿宋" w:eastAsia="仿宋" w:cs="仿宋"/>
          <w:szCs w:val="21"/>
        </w:rPr>
      </w:pPr>
      <w:r>
        <w:rPr>
          <w:rFonts w:hint="eastAsia" w:ascii="仿宋" w:hAnsi="仿宋" w:eastAsia="仿宋" w:cs="仿宋"/>
          <w:szCs w:val="21"/>
        </w:rPr>
        <w:t>（一）甲方授权乙方为2024年第十三届深圳 动漫节x世纪汇联名活动项目承办单位，乙方为该项目进行活动策划、选手招募、资格筛查、宣传推广、嘉宾邀请、主题巡游等具体工作及赛事全程执行；</w:t>
      </w:r>
    </w:p>
    <w:p>
      <w:pPr>
        <w:spacing w:line="360" w:lineRule="auto"/>
        <w:ind w:firstLine="420" w:firstLineChars="200"/>
        <w:rPr>
          <w:rFonts w:ascii="仿宋" w:hAnsi="仿宋" w:eastAsia="仿宋" w:cs="仿宋"/>
          <w:szCs w:val="21"/>
        </w:rPr>
      </w:pPr>
      <w:r>
        <w:rPr>
          <w:rFonts w:hint="eastAsia" w:ascii="仿宋" w:hAnsi="仿宋" w:eastAsia="仿宋" w:cs="仿宋"/>
          <w:szCs w:val="21"/>
        </w:rPr>
        <w:t>（二）甲方授权乙方对整体赛事选手进行招募及深圳动漫节期间复赛、决赛等多种形式；</w:t>
      </w:r>
    </w:p>
    <w:p>
      <w:pPr>
        <w:spacing w:line="360" w:lineRule="auto"/>
        <w:ind w:firstLine="420" w:firstLineChars="200"/>
        <w:rPr>
          <w:rFonts w:ascii="仿宋" w:hAnsi="仿宋" w:eastAsia="仿宋" w:cs="仿宋"/>
          <w:szCs w:val="21"/>
        </w:rPr>
      </w:pPr>
      <w:r>
        <w:rPr>
          <w:rFonts w:hint="eastAsia" w:ascii="仿宋" w:hAnsi="仿宋" w:eastAsia="仿宋" w:cs="仿宋"/>
          <w:szCs w:val="21"/>
        </w:rPr>
        <w:t>（三）甲乙双方共同负责本次“世纪汇动漫节系列活动项目”的全程宣传推广。</w:t>
      </w:r>
    </w:p>
    <w:p>
      <w:pPr>
        <w:spacing w:line="360" w:lineRule="auto"/>
        <w:outlineLvl w:val="1"/>
        <w:rPr>
          <w:rFonts w:ascii="仿宋" w:hAnsi="仿宋" w:eastAsia="仿宋" w:cs="仿宋"/>
          <w:b/>
          <w:szCs w:val="21"/>
        </w:rPr>
      </w:pPr>
      <w:r>
        <w:rPr>
          <w:rFonts w:hint="eastAsia" w:ascii="仿宋" w:hAnsi="仿宋" w:eastAsia="仿宋" w:cs="仿宋"/>
          <w:b/>
          <w:szCs w:val="21"/>
        </w:rPr>
        <w:t>二、甲方的权利与义务：</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（一）甲方作为本次活动的主办方，拥有本次合作内容中活动的所有权益，对合作内容的策划、推广、运作等拥有控制权和管理权。</w:t>
      </w:r>
    </w:p>
    <w:p>
      <w:pPr>
        <w:spacing w:line="400" w:lineRule="exact"/>
        <w:ind w:firstLine="420" w:firstLineChars="200"/>
        <w:rPr>
          <w:rFonts w:ascii="仿宋" w:hAnsi="仿宋" w:eastAsia="仿宋" w:cs="仿宋"/>
          <w:szCs w:val="21"/>
        </w:rPr>
      </w:pPr>
      <w:r>
        <w:rPr>
          <w:rFonts w:hint="eastAsia" w:ascii="仿宋" w:hAnsi="仿宋" w:eastAsia="仿宋" w:cs="仿宋"/>
          <w:szCs w:val="21"/>
        </w:rPr>
        <w:t>（二）甲方提供活动场地范围内活动预告铺垫，包括但不仅限于铺设活动地面广告（含地贴、灯箱、</w:t>
      </w:r>
      <w:r>
        <w:rPr>
          <w:rFonts w:ascii="仿宋" w:hAnsi="仿宋" w:eastAsia="仿宋" w:cs="仿宋"/>
          <w:szCs w:val="21"/>
        </w:rPr>
        <w:t>LED广告屏、指示牌、展架等）。</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（三）甲方负责提供活动场地，舞台、灯光、音响、屏幕等全部设施，甲方应确保本次活动的场地、设施等无安全隐患。</w:t>
      </w:r>
    </w:p>
    <w:p>
      <w:pPr>
        <w:spacing w:line="400" w:lineRule="exact"/>
        <w:ind w:firstLine="420" w:firstLineChars="200"/>
        <w:rPr>
          <w:rFonts w:ascii="仿宋" w:hAnsi="仿宋" w:eastAsia="仿宋" w:cs="仿宋"/>
          <w:szCs w:val="21"/>
        </w:rPr>
      </w:pPr>
      <w:r>
        <w:rPr>
          <w:rFonts w:hint="eastAsia" w:ascii="仿宋" w:hAnsi="仿宋" w:eastAsia="仿宋" w:cs="仿宋"/>
          <w:szCs w:val="21"/>
        </w:rPr>
        <w:t>（四）所有参赛、演出等现场照片、视频，甲方可免费无限次使用于线上、线下活动宣传推广。</w:t>
      </w:r>
    </w:p>
    <w:p>
      <w:pPr>
        <w:spacing w:line="400" w:lineRule="exact"/>
        <w:ind w:firstLine="420" w:firstLineChars="200"/>
        <w:rPr>
          <w:rFonts w:ascii="仿宋" w:hAnsi="仿宋" w:eastAsia="仿宋" w:cs="仿宋"/>
          <w:szCs w:val="21"/>
        </w:rPr>
      </w:pPr>
      <w:r>
        <w:rPr>
          <w:rFonts w:hint="eastAsia" w:ascii="仿宋" w:hAnsi="仿宋" w:eastAsia="仿宋" w:cs="仿宋"/>
          <w:szCs w:val="21"/>
        </w:rPr>
        <w:t>（五）除本次活动预算内的项目，其他增加或变更项目所产生费用需</w:t>
      </w:r>
      <w:r>
        <w:rPr>
          <w:rFonts w:ascii="仿宋" w:hAnsi="仿宋" w:eastAsia="仿宋" w:cs="仿宋"/>
          <w:szCs w:val="21"/>
        </w:rPr>
        <w:t>经甲方书面确认后方可变更</w:t>
      </w:r>
      <w:r>
        <w:rPr>
          <w:rFonts w:hint="eastAsia" w:ascii="仿宋" w:hAnsi="仿宋" w:eastAsia="仿宋" w:cs="仿宋"/>
          <w:szCs w:val="21"/>
        </w:rPr>
        <w:t>。</w:t>
      </w:r>
    </w:p>
    <w:p>
      <w:pPr>
        <w:spacing w:line="360" w:lineRule="auto"/>
        <w:outlineLvl w:val="1"/>
        <w:rPr>
          <w:rFonts w:ascii="仿宋" w:hAnsi="仿宋" w:eastAsia="仿宋" w:cs="仿宋"/>
          <w:b/>
          <w:szCs w:val="21"/>
        </w:rPr>
      </w:pPr>
      <w:r>
        <w:rPr>
          <w:rFonts w:hint="eastAsia" w:ascii="仿宋" w:hAnsi="仿宋" w:eastAsia="仿宋" w:cs="仿宋"/>
          <w:b/>
          <w:szCs w:val="21"/>
        </w:rPr>
        <w:t>三、乙方的权利与义务：</w:t>
      </w:r>
    </w:p>
    <w:p>
      <w:pPr>
        <w:spacing w:line="360" w:lineRule="auto"/>
        <w:ind w:firstLine="420" w:firstLineChars="200"/>
        <w:rPr>
          <w:rFonts w:ascii="仿宋" w:hAnsi="仿宋" w:eastAsia="仿宋" w:cs="仿宋"/>
          <w:szCs w:val="21"/>
        </w:rPr>
      </w:pPr>
      <w:r>
        <w:rPr>
          <w:rFonts w:hint="eastAsia" w:ascii="仿宋" w:hAnsi="仿宋" w:eastAsia="仿宋" w:cs="仿宋"/>
          <w:szCs w:val="21"/>
        </w:rPr>
        <w:t>（一）乙方负责安排动漫节“世纪汇动漫节系列活动项目”活动策划的主要工作，包括但不限于策划活动执行方案、费用预算、赛事、巡游全程组织、比赛选手招募、资格筛选及全程执行、专业主持人、嘉宾（2-3人）的邀请、参赛队伍征集及组</w:t>
      </w:r>
      <w:r>
        <w:rPr>
          <w:rFonts w:hint="eastAsia" w:ascii="仿宋" w:hAnsi="仿宋" w:eastAsia="仿宋" w:cs="仿宋"/>
          <w:color w:val="000000" w:themeColor="text1"/>
          <w:szCs w:val="21"/>
          <w14:textFill>
            <w14:solidFill>
              <w14:schemeClr w14:val="tx1"/>
            </w14:solidFill>
          </w14:textFill>
        </w:rPr>
        <w:t>织、</w:t>
      </w:r>
      <w:r>
        <w:rPr>
          <w:rFonts w:hint="eastAsia" w:ascii="仿宋" w:hAnsi="仿宋" w:eastAsia="仿宋" w:cs="仿宋"/>
          <w:szCs w:val="21"/>
        </w:rPr>
        <w:t>出席安排等工作（电子竞技大赛人员邀请方案须报甲方审批通过后，方可落实邀请）；</w:t>
      </w:r>
    </w:p>
    <w:p>
      <w:pPr>
        <w:spacing w:line="360" w:lineRule="auto"/>
        <w:ind w:firstLine="420" w:firstLineChars="200"/>
        <w:rPr>
          <w:rFonts w:ascii="仿宋" w:hAnsi="仿宋" w:eastAsia="仿宋" w:cs="仿宋"/>
          <w:szCs w:val="21"/>
        </w:rPr>
      </w:pPr>
      <w:r>
        <w:rPr>
          <w:rFonts w:hint="eastAsia" w:ascii="仿宋" w:hAnsi="仿宋" w:eastAsia="仿宋" w:cs="仿宋"/>
          <w:szCs w:val="21"/>
        </w:rPr>
        <w:t>（二）乙方负责第十三届深圳 动漫节x世纪汇联名活动项目落地执行（大赛现场赛事及主题巡游安排、大赛主持人聘请对接、现场参赛选手管理、活动宣传执行等内容）；</w:t>
      </w:r>
    </w:p>
    <w:p>
      <w:pPr>
        <w:spacing w:line="360" w:lineRule="auto"/>
        <w:ind w:firstLine="420" w:firstLineChars="200"/>
        <w:rPr>
          <w:rFonts w:ascii="仿宋" w:hAnsi="仿宋" w:eastAsia="仿宋" w:cs="仿宋"/>
          <w:szCs w:val="21"/>
        </w:rPr>
      </w:pPr>
      <w:r>
        <w:rPr>
          <w:rFonts w:hint="eastAsia" w:ascii="仿宋" w:hAnsi="仿宋" w:eastAsia="仿宋" w:cs="仿宋"/>
          <w:szCs w:val="21"/>
        </w:rPr>
        <w:t>（三）乙方应于本协议签订后在5天内提供书面的活动执行方案、活动日程供甲方审定。甲方提出的修改意见，乙方应及时配合调整，所执行内容需严格按照方案计划推进，如有变动需提前一周与甲方提出，征得同意后修改；</w:t>
      </w:r>
    </w:p>
    <w:p>
      <w:pPr>
        <w:spacing w:line="360" w:lineRule="auto"/>
        <w:ind w:firstLine="420" w:firstLineChars="200"/>
        <w:rPr>
          <w:rFonts w:ascii="仿宋" w:hAnsi="仿宋" w:eastAsia="仿宋" w:cs="仿宋"/>
          <w:szCs w:val="21"/>
        </w:rPr>
      </w:pPr>
      <w:r>
        <w:rPr>
          <w:rFonts w:hint="eastAsia" w:ascii="仿宋" w:hAnsi="仿宋" w:eastAsia="仿宋" w:cs="仿宋"/>
          <w:szCs w:val="21"/>
        </w:rPr>
        <w:t>（四）在甲方的监督下，乙方负责本次合同合作内容中活动现场组织、活动进程安排等全部工作，并确保活动时间安排合理性与活动的顺利开展，确保赛事现场、主题巡游项目的质量及效果；</w:t>
      </w:r>
    </w:p>
    <w:p>
      <w:pPr>
        <w:spacing w:line="360" w:lineRule="auto"/>
        <w:ind w:firstLine="420" w:firstLineChars="200"/>
        <w:rPr>
          <w:rFonts w:ascii="仿宋" w:hAnsi="仿宋" w:eastAsia="仿宋" w:cs="仿宋"/>
          <w:szCs w:val="21"/>
        </w:rPr>
      </w:pPr>
      <w:r>
        <w:rPr>
          <w:rFonts w:hint="eastAsia" w:ascii="仿宋" w:hAnsi="仿宋" w:eastAsia="仿宋" w:cs="仿宋"/>
          <w:szCs w:val="21"/>
        </w:rPr>
        <w:t>（五）乙方积极利用自身传播途径及媒体关系更好的宣传深圳动漫节，如论坛、微博、微信、QQ群、邮箱宣传、网络广告等，扩大深圳动漫节本身的宣传层面；</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六）乙方须与嘉宾签订合作协议明确规定合作内容与活动档期，确保大赛顺利完成，且明确所有比赛、演出等现场照片、音频、视频等版权归甲方所有，可用于线上、线下活动宣传推广使用。因乙方嘉宾与他人产生任何纠纷，由乙方负责处理并承担责任。</w:t>
      </w:r>
    </w:p>
    <w:p>
      <w:pPr>
        <w:spacing w:line="360" w:lineRule="auto"/>
        <w:ind w:firstLine="420" w:firstLineChars="200"/>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（七）乙方所邀请的嘉宾等需配合甲方拍摄深圳动漫节宣传vcr（个人到场活动宣传及动漫节宣传），作于开展前宣传，及展期现场播放。</w:t>
      </w:r>
    </w:p>
    <w:p>
      <w:pPr>
        <w:spacing w:line="400" w:lineRule="exact"/>
        <w:rPr>
          <w:rFonts w:ascii="仿宋" w:hAnsi="仿宋" w:eastAsia="仿宋" w:cs="仿宋"/>
          <w:b/>
          <w:szCs w:val="21"/>
        </w:rPr>
      </w:pPr>
      <w:r>
        <w:rPr>
          <w:rFonts w:hint="eastAsia" w:ascii="仿宋" w:hAnsi="仿宋" w:eastAsia="仿宋" w:cs="仿宋"/>
          <w:b/>
          <w:szCs w:val="21"/>
        </w:rPr>
        <w:t>四、预算费用及支付</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（一）甲方向乙方支付的费用包括本次活动所有相关费用（见</w:t>
      </w:r>
      <w:r>
        <w:rPr>
          <w:rFonts w:ascii="仿宋" w:hAnsi="仿宋" w:eastAsia="仿宋" w:cs="仿宋"/>
          <w:szCs w:val="21"/>
        </w:rPr>
        <w:t>附件</w:t>
      </w:r>
      <w:r>
        <w:rPr>
          <w:rFonts w:hint="eastAsia" w:ascii="仿宋" w:hAnsi="仿宋" w:eastAsia="仿宋" w:cs="仿宋"/>
          <w:szCs w:val="21"/>
        </w:rPr>
        <w:t>一），合同总金额为</w:t>
      </w:r>
      <w:r>
        <w:rPr>
          <w:rFonts w:hint="eastAsia" w:ascii="仿宋" w:hAnsi="仿宋" w:eastAsia="仿宋" w:cs="仿宋"/>
          <w:szCs w:val="21"/>
          <w:u w:val="single"/>
        </w:rPr>
        <w:t>人民币    元（大写：   元整）</w:t>
      </w:r>
      <w:r>
        <w:rPr>
          <w:rFonts w:hint="eastAsia" w:ascii="仿宋" w:hAnsi="仿宋" w:eastAsia="仿宋" w:cs="仿宋"/>
          <w:szCs w:val="21"/>
        </w:rPr>
        <w:t>含税。</w:t>
      </w:r>
    </w:p>
    <w:p>
      <w:pPr>
        <w:spacing w:line="400" w:lineRule="exact"/>
        <w:ind w:firstLine="420" w:firstLineChars="200"/>
        <w:jc w:val="left"/>
        <w:rPr>
          <w:rFonts w:ascii="仿宋" w:hAnsi="仿宋" w:eastAsia="仿宋" w:cs="仿宋"/>
          <w:b/>
          <w:color w:val="FF0000"/>
          <w:szCs w:val="21"/>
          <w:u w:val="single"/>
        </w:rPr>
      </w:pPr>
      <w:r>
        <w:rPr>
          <w:rFonts w:hint="eastAsia" w:ascii="仿宋" w:hAnsi="仿宋" w:eastAsia="仿宋" w:cs="仿宋"/>
          <w:szCs w:val="21"/>
        </w:rPr>
        <w:t>（二）付款方式：</w:t>
      </w:r>
    </w:p>
    <w:p>
      <w:pPr>
        <w:spacing w:line="400" w:lineRule="exact"/>
        <w:ind w:left="437" w:leftChars="208"/>
        <w:rPr>
          <w:rFonts w:ascii="仿宋" w:hAnsi="仿宋" w:eastAsia="仿宋" w:cs="仿宋"/>
          <w:szCs w:val="21"/>
        </w:rPr>
      </w:pPr>
      <w:r>
        <w:rPr>
          <w:rFonts w:ascii="仿宋" w:hAnsi="仿宋" w:eastAsia="仿宋" w:cs="仿宋"/>
          <w:szCs w:val="21"/>
        </w:rPr>
        <w:t>1.签署合同后</w:t>
      </w:r>
      <w:r>
        <w:rPr>
          <w:rFonts w:hint="eastAsia" w:ascii="仿宋" w:hAnsi="仿宋" w:eastAsia="仿宋" w:cs="仿宋"/>
          <w:szCs w:val="21"/>
        </w:rPr>
        <w:t>,在世纪汇商场支付我方费用后</w:t>
      </w:r>
      <w:r>
        <w:rPr>
          <w:rFonts w:ascii="仿宋" w:hAnsi="仿宋" w:eastAsia="仿宋" w:cs="仿宋"/>
          <w:szCs w:val="21"/>
        </w:rPr>
        <w:t>10日内，甲方向乙方预付合同总金额的10%,即人民币（大写）</w:t>
      </w:r>
      <w:r>
        <w:rPr>
          <w:rFonts w:hint="eastAsia" w:ascii="仿宋" w:hAnsi="仿宋" w:eastAsia="仿宋" w:cs="仿宋"/>
          <w:szCs w:val="21"/>
          <w:u w:val="single"/>
        </w:rPr>
        <w:t xml:space="preserve">     元整</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元），活动开始前五日内，甲方向乙方支付合同总金额的</w:t>
      </w:r>
      <w:r>
        <w:rPr>
          <w:rFonts w:ascii="仿宋" w:hAnsi="仿宋" w:eastAsia="仿宋" w:cs="仿宋"/>
          <w:szCs w:val="21"/>
        </w:rPr>
        <w:t>50%，即人民币（大写）</w:t>
      </w:r>
      <w:r>
        <w:rPr>
          <w:rFonts w:ascii="仿宋" w:hAnsi="仿宋" w:eastAsia="仿宋" w:cs="仿宋"/>
          <w:szCs w:val="21"/>
          <w:u w:val="single"/>
        </w:rPr>
        <w:t xml:space="preserve"> </w:t>
      </w:r>
      <w:r>
        <w:rPr>
          <w:rFonts w:hint="eastAsia" w:ascii="仿宋" w:hAnsi="仿宋" w:eastAsia="仿宋" w:cs="仿宋"/>
          <w:szCs w:val="21"/>
          <w:u w:val="single"/>
        </w:rPr>
        <w:t xml:space="preserve">    元整</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元）。合同总金额预留</w:t>
      </w:r>
      <w:r>
        <w:rPr>
          <w:rFonts w:ascii="仿宋" w:hAnsi="仿宋" w:eastAsia="仿宋" w:cs="仿宋"/>
          <w:szCs w:val="21"/>
        </w:rPr>
        <w:t xml:space="preserve">40% </w:t>
      </w:r>
      <w:r>
        <w:rPr>
          <w:rFonts w:hint="eastAsia" w:ascii="仿宋" w:hAnsi="仿宋" w:eastAsia="仿宋" w:cs="仿宋"/>
          <w:szCs w:val="21"/>
        </w:rPr>
        <w:t>作为质保金，即人民币（大写）</w:t>
      </w:r>
      <w:r>
        <w:rPr>
          <w:rFonts w:ascii="仿宋" w:hAnsi="仿宋" w:eastAsia="仿宋" w:cs="仿宋"/>
          <w:szCs w:val="21"/>
          <w:u w:val="single"/>
        </w:rPr>
        <w:t xml:space="preserve"> </w:t>
      </w:r>
      <w:r>
        <w:rPr>
          <w:rFonts w:hint="eastAsia" w:ascii="仿宋" w:hAnsi="仿宋" w:eastAsia="仿宋" w:cs="仿宋"/>
          <w:szCs w:val="21"/>
          <w:u w:val="single"/>
        </w:rPr>
        <w:t xml:space="preserve">       元整</w:t>
      </w:r>
      <w:r>
        <w:rPr>
          <w:rFonts w:hint="eastAsia" w:ascii="仿宋" w:hAnsi="仿宋" w:eastAsia="仿宋" w:cs="仿宋"/>
          <w:szCs w:val="21"/>
        </w:rPr>
        <w:t>（￥</w:t>
      </w:r>
      <w:r>
        <w:rPr>
          <w:rFonts w:hint="eastAsia" w:ascii="仿宋" w:hAnsi="仿宋" w:eastAsia="仿宋" w:cs="仿宋"/>
          <w:szCs w:val="21"/>
          <w:u w:val="single"/>
        </w:rPr>
        <w:t xml:space="preserve">      </w:t>
      </w:r>
      <w:r>
        <w:rPr>
          <w:rFonts w:hint="eastAsia" w:ascii="仿宋" w:hAnsi="仿宋" w:eastAsia="仿宋" w:cs="仿宋"/>
          <w:szCs w:val="21"/>
        </w:rPr>
        <w:t>元），活动完成并经甲方书面验收后，确认已完成所有合同内容且乙方不存在任何违约行为后，甲方于</w:t>
      </w:r>
      <w:r>
        <w:rPr>
          <w:rFonts w:ascii="仿宋" w:hAnsi="仿宋" w:eastAsia="仿宋" w:cs="仿宋"/>
          <w:szCs w:val="21"/>
        </w:rPr>
        <w:t>15个工作日内向乙方支付。</w:t>
      </w:r>
    </w:p>
    <w:p>
      <w:pPr>
        <w:spacing w:line="400" w:lineRule="exact"/>
        <w:ind w:firstLine="420" w:firstLineChars="200"/>
        <w:jc w:val="left"/>
        <w:rPr>
          <w:rFonts w:hint="eastAsia" w:ascii="仿宋" w:hAnsi="仿宋" w:eastAsia="仿宋" w:cs="仿宋"/>
          <w:szCs w:val="21"/>
        </w:rPr>
      </w:pPr>
      <w:r>
        <w:rPr>
          <w:rFonts w:ascii="仿宋" w:hAnsi="仿宋" w:eastAsia="仿宋" w:cs="仿宋"/>
          <w:szCs w:val="21"/>
        </w:rPr>
        <w:t>2.乙方应于甲方每次付款前提供相对额度的增值税发票，因乙方逾期提供发票导致甲方延期付款的，甲方不承担违约责任。</w:t>
      </w:r>
    </w:p>
    <w:p>
      <w:pPr>
        <w:spacing w:line="400" w:lineRule="exact"/>
        <w:ind w:firstLine="420" w:firstLineChars="200"/>
        <w:jc w:val="left"/>
        <w:rPr>
          <w:rFonts w:ascii="仿宋" w:hAnsi="仿宋" w:eastAsia="仿宋" w:cs="仿宋"/>
          <w:szCs w:val="21"/>
        </w:rPr>
      </w:pPr>
      <w:r>
        <w:rPr>
          <w:rFonts w:hint="eastAsia" w:ascii="仿宋" w:hAnsi="仿宋" w:eastAsia="仿宋" w:cs="仿宋"/>
          <w:szCs w:val="21"/>
        </w:rPr>
        <w:t>3.费用支付需在世纪汇商场支付我方费用后，采用背靠背条款，支付进度与世纪汇同步。</w:t>
      </w:r>
    </w:p>
    <w:p>
      <w:pPr>
        <w:spacing w:line="360" w:lineRule="auto"/>
        <w:ind w:firstLine="420" w:firstLineChars="200"/>
        <w:jc w:val="left"/>
        <w:rPr>
          <w:rFonts w:ascii="仿宋" w:hAnsi="仿宋" w:eastAsia="仿宋" w:cs="仿宋"/>
          <w:color w:val="333333"/>
          <w:szCs w:val="21"/>
          <w:shd w:val="clear" w:color="auto" w:fill="FFFFFF"/>
        </w:rPr>
      </w:pPr>
      <w:r>
        <w:rPr>
          <w:rFonts w:hint="eastAsia" w:ascii="仿宋" w:hAnsi="仿宋" w:eastAsia="仿宋" w:cs="仿宋"/>
          <w:szCs w:val="21"/>
        </w:rPr>
        <w:t>（三）付款信息</w:t>
      </w:r>
    </w:p>
    <w:p>
      <w:pPr>
        <w:spacing w:line="400" w:lineRule="exact"/>
        <w:ind w:firstLine="420" w:firstLineChars="200"/>
        <w:jc w:val="left"/>
        <w:rPr>
          <w:rFonts w:ascii="仿宋" w:hAnsi="仿宋" w:eastAsia="仿宋" w:cs="仿宋"/>
          <w:szCs w:val="21"/>
        </w:rPr>
      </w:pPr>
      <w:r>
        <w:rPr>
          <w:rFonts w:hint="eastAsia" w:ascii="仿宋" w:hAnsi="仿宋" w:eastAsia="仿宋" w:cs="仿宋"/>
          <w:szCs w:val="21"/>
        </w:rPr>
        <w:t>乙方银行信息：</w:t>
      </w:r>
    </w:p>
    <w:p>
      <w:pPr>
        <w:spacing w:line="400" w:lineRule="exact"/>
        <w:ind w:firstLine="420" w:firstLineChars="200"/>
        <w:jc w:val="left"/>
        <w:rPr>
          <w:rFonts w:ascii="仿宋" w:hAnsi="仿宋" w:eastAsia="仿宋" w:cs="仿宋"/>
          <w:szCs w:val="21"/>
        </w:rPr>
      </w:pPr>
      <w:r>
        <w:rPr>
          <w:rFonts w:hint="eastAsia" w:ascii="仿宋" w:hAnsi="仿宋" w:eastAsia="仿宋" w:cs="仿宋"/>
          <w:szCs w:val="21"/>
        </w:rPr>
        <w:t>开户名称：xxx</w:t>
      </w:r>
    </w:p>
    <w:p>
      <w:pPr>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银行账号： </w:t>
      </w:r>
    </w:p>
    <w:p>
      <w:pPr>
        <w:spacing w:line="400" w:lineRule="exact"/>
        <w:ind w:firstLine="420" w:firstLineChars="200"/>
        <w:jc w:val="left"/>
        <w:rPr>
          <w:rFonts w:ascii="仿宋" w:hAnsi="仿宋" w:eastAsia="仿宋" w:cs="仿宋"/>
          <w:szCs w:val="21"/>
        </w:rPr>
      </w:pPr>
      <w:r>
        <w:rPr>
          <w:rFonts w:hint="eastAsia" w:ascii="仿宋" w:hAnsi="仿宋" w:eastAsia="仿宋" w:cs="仿宋"/>
          <w:szCs w:val="21"/>
        </w:rPr>
        <w:t xml:space="preserve">开 户 行： </w:t>
      </w:r>
    </w:p>
    <w:p>
      <w:pPr>
        <w:numPr>
          <w:ilvl w:val="255"/>
          <w:numId w:val="0"/>
        </w:numPr>
        <w:spacing w:line="360" w:lineRule="auto"/>
        <w:ind w:firstLine="420" w:firstLineChars="200"/>
        <w:jc w:val="left"/>
        <w:rPr>
          <w:rFonts w:ascii="仿宋" w:hAnsi="仿宋" w:eastAsia="仿宋" w:cs="仿宋"/>
          <w:szCs w:val="21"/>
        </w:rPr>
      </w:pPr>
      <w:r>
        <w:rPr>
          <w:rFonts w:hint="eastAsia" w:ascii="仿宋" w:hAnsi="仿宋" w:eastAsia="仿宋" w:cs="仿宋"/>
          <w:szCs w:val="21"/>
        </w:rPr>
        <w:t>（四）甲方开票信息：</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账户名称：深圳市设计之都运营发展有限公司</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统一社会信用代码：91440300746633779J</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地址及电话：深圳市龙华新区龙华街道办清湖工业区清庆路一号 0755-23709912</w:t>
      </w:r>
    </w:p>
    <w:p>
      <w:pPr>
        <w:spacing w:line="360" w:lineRule="auto"/>
        <w:ind w:firstLine="420" w:firstLineChars="200"/>
        <w:jc w:val="left"/>
        <w:rPr>
          <w:rFonts w:ascii="仿宋" w:hAnsi="仿宋" w:eastAsia="仿宋" w:cs="仿宋"/>
          <w:szCs w:val="21"/>
        </w:rPr>
      </w:pPr>
      <w:r>
        <w:rPr>
          <w:rFonts w:hint="eastAsia" w:ascii="仿宋" w:hAnsi="仿宋" w:eastAsia="仿宋" w:cs="仿宋"/>
          <w:szCs w:val="21"/>
        </w:rPr>
        <w:t>开户行及账号：兴业银行深圳民治支行  338200100100051632</w:t>
      </w:r>
    </w:p>
    <w:p>
      <w:pPr>
        <w:pStyle w:val="2"/>
        <w:rPr>
          <w:sz w:val="21"/>
          <w:szCs w:val="21"/>
        </w:rPr>
      </w:pPr>
    </w:p>
    <w:p>
      <w:pPr>
        <w:tabs>
          <w:tab w:val="left" w:pos="945"/>
        </w:tabs>
        <w:autoSpaceDE w:val="0"/>
        <w:autoSpaceDN w:val="0"/>
        <w:adjustRightInd w:val="0"/>
        <w:spacing w:line="360" w:lineRule="auto"/>
        <w:jc w:val="left"/>
        <w:textAlignment w:val="baseline"/>
        <w:rPr>
          <w:rFonts w:ascii="仿宋" w:hAnsi="仿宋" w:eastAsia="仿宋" w:cs="仿宋"/>
          <w:b/>
          <w:color w:val="FF0000"/>
          <w:szCs w:val="21"/>
          <w:u w:val="single"/>
        </w:rPr>
      </w:pPr>
    </w:p>
    <w:p>
      <w:pPr>
        <w:spacing w:line="360" w:lineRule="auto"/>
        <w:outlineLvl w:val="1"/>
        <w:rPr>
          <w:rFonts w:ascii="仿宋" w:hAnsi="仿宋" w:eastAsia="仿宋" w:cs="仿宋"/>
          <w:b/>
          <w:szCs w:val="21"/>
        </w:rPr>
      </w:pPr>
      <w:r>
        <w:rPr>
          <w:rFonts w:hint="eastAsia" w:ascii="仿宋" w:hAnsi="仿宋" w:eastAsia="仿宋" w:cs="仿宋"/>
          <w:b/>
          <w:szCs w:val="21"/>
        </w:rPr>
        <w:t>五、违约责任</w:t>
      </w:r>
    </w:p>
    <w:p>
      <w:pPr>
        <w:spacing w:line="360" w:lineRule="auto"/>
        <w:ind w:firstLine="420" w:firstLineChars="200"/>
        <w:rPr>
          <w:rFonts w:ascii="仿宋" w:hAnsi="仿宋" w:eastAsia="仿宋" w:cs="仿宋"/>
          <w:szCs w:val="21"/>
        </w:rPr>
      </w:pPr>
      <w:r>
        <w:rPr>
          <w:rFonts w:hint="eastAsia" w:ascii="仿宋" w:hAnsi="仿宋" w:eastAsia="仿宋" w:cs="仿宋"/>
          <w:szCs w:val="21"/>
        </w:rPr>
        <w:t>（一）乙方策划、组织、承办本次活动过程中所有行为均不得侵害甲方及任何第三人之合法权益（包括但不限于著作权、名称权、商标权等），否则应由乙方承担相关的赔偿责任；</w:t>
      </w:r>
    </w:p>
    <w:p>
      <w:pPr>
        <w:spacing w:line="360" w:lineRule="auto"/>
        <w:ind w:firstLine="420" w:firstLineChars="200"/>
        <w:rPr>
          <w:rFonts w:ascii="仿宋" w:hAnsi="仿宋" w:eastAsia="仿宋" w:cs="仿宋"/>
          <w:szCs w:val="21"/>
        </w:rPr>
      </w:pPr>
      <w:r>
        <w:rPr>
          <w:rFonts w:hint="eastAsia" w:ascii="仿宋" w:hAnsi="仿宋" w:eastAsia="仿宋" w:cs="仿宋"/>
          <w:szCs w:val="21"/>
        </w:rPr>
        <w:t>（二）甲乙双方均应认真履行本合同所有条款，如一方违约造成对方不能履行合同或给对方造成损失，守约方有权解除合同并要求违约方承担守约方遭受的经济损失（包括处理违约纠纷所支付的诉讼费、律师费、公证费、调查费、差旅费等）；</w:t>
      </w:r>
    </w:p>
    <w:p>
      <w:pPr>
        <w:spacing w:line="360" w:lineRule="auto"/>
        <w:ind w:firstLine="420" w:firstLineChars="200"/>
        <w:rPr>
          <w:rFonts w:ascii="仿宋" w:hAnsi="仿宋" w:eastAsia="仿宋" w:cs="仿宋"/>
          <w:szCs w:val="21"/>
        </w:rPr>
      </w:pPr>
      <w:r>
        <w:rPr>
          <w:rFonts w:hint="eastAsia" w:ascii="仿宋" w:hAnsi="仿宋" w:eastAsia="仿宋" w:cs="仿宋"/>
          <w:szCs w:val="21"/>
        </w:rPr>
        <w:t>（三）乙方及乙方嘉宾应严格服从甲方对本次活动的安排及管理，乙方的工作内容需及时向甲方汇报,经甲方批准方可进行，在未经甲方批准的情况下造成的一切损失由乙方承担。乙方具有重大过错的情况下，甲方可提前解除合同，并要求乙方赔偿甲方所遭受的经济损失。</w:t>
      </w:r>
    </w:p>
    <w:p>
      <w:pPr>
        <w:spacing w:line="360" w:lineRule="auto"/>
        <w:ind w:firstLine="420" w:firstLineChars="200"/>
        <w:rPr>
          <w:rFonts w:ascii="仿宋" w:hAnsi="仿宋" w:eastAsia="仿宋" w:cs="仿宋"/>
          <w:szCs w:val="21"/>
        </w:rPr>
      </w:pPr>
      <w:r>
        <w:rPr>
          <w:rFonts w:hint="eastAsia" w:ascii="仿宋" w:hAnsi="仿宋" w:eastAsia="仿宋" w:cs="仿宋"/>
          <w:szCs w:val="21"/>
        </w:rPr>
        <w:t>（四）甲方发现乙方在工作中存在的问题时，应及时与乙方沟通并责令其改正,如果乙方不听劝阻拒不改正的，甲方有权根据实际情况扣减活动经费，所造成的后果由乙方承担一切法律责任和赔偿责任；</w:t>
      </w:r>
    </w:p>
    <w:p>
      <w:pPr>
        <w:spacing w:line="360" w:lineRule="auto"/>
        <w:ind w:firstLine="420" w:firstLineChars="200"/>
        <w:rPr>
          <w:rFonts w:ascii="仿宋" w:hAnsi="仿宋" w:eastAsia="仿宋" w:cs="仿宋"/>
          <w:szCs w:val="21"/>
        </w:rPr>
      </w:pPr>
      <w:r>
        <w:rPr>
          <w:rFonts w:hint="eastAsia" w:ascii="仿宋" w:hAnsi="仿宋" w:eastAsia="仿宋" w:cs="仿宋"/>
          <w:szCs w:val="21"/>
        </w:rPr>
        <w:t>（五）如果在本合同履行期间发生不可抗力事件，致使一方不能履行或延误履行其在本合同下部分或全部义务，则该遭受不可抗力的一方不承担责任，但遭受不可抗力的一方应及时通知另一方。双方经协商可解除本协议，甲方已支付的费用由乙方除去执行活动过程中的实际且必要性支出后，其余应退还给甲方。甲方未支付的费用不再支付。</w:t>
      </w:r>
    </w:p>
    <w:p>
      <w:pPr>
        <w:spacing w:line="360" w:lineRule="auto"/>
        <w:ind w:firstLine="420" w:firstLineChars="200"/>
        <w:rPr>
          <w:rFonts w:ascii="仿宋" w:hAnsi="仿宋" w:eastAsia="仿宋" w:cs="仿宋"/>
          <w:szCs w:val="21"/>
        </w:rPr>
      </w:pPr>
      <w:r>
        <w:rPr>
          <w:rFonts w:hint="eastAsia" w:ascii="仿宋" w:hAnsi="仿宋" w:eastAsia="仿宋" w:cs="仿宋"/>
          <w:szCs w:val="21"/>
        </w:rPr>
        <w:t>（六）如因乙方原因，导致本次活动不能如期举行的，除需返还甲方所有已支付款项外，还应向甲方支付合同总金额20%的违约金，如仍不足以弥补甲方损失的，还应赔偿甲方经济损失。</w:t>
      </w:r>
    </w:p>
    <w:p>
      <w:pPr>
        <w:spacing w:line="360" w:lineRule="auto"/>
        <w:ind w:firstLine="420" w:firstLineChars="200"/>
        <w:rPr>
          <w:rFonts w:ascii="仿宋" w:hAnsi="仿宋" w:eastAsia="仿宋" w:cs="仿宋"/>
          <w:szCs w:val="21"/>
        </w:rPr>
      </w:pPr>
      <w:r>
        <w:rPr>
          <w:rFonts w:hint="eastAsia" w:ascii="仿宋" w:hAnsi="仿宋" w:eastAsia="仿宋" w:cs="仿宋"/>
          <w:szCs w:val="21"/>
        </w:rPr>
        <w:t>（七）甲乙双方一致确认，若因政府管控或政策（如疫情等）导致本次活动不能如期举行（包括但不限于取消、延期举行等），或限制举行（包括但不限于限制参观人数、参展单位数量等），甲乙双方互不负违约责任，并应就本合同解除或变更进行友好协商。如甲乙双方经协商一致解除本合同的，甲方已支付的费用由乙方除去执行活动过程中的实际且必要性支出后，其余应退还给甲方。甲方未支付的费用不再支付。</w:t>
      </w:r>
    </w:p>
    <w:p>
      <w:pPr>
        <w:spacing w:line="360" w:lineRule="auto"/>
        <w:ind w:firstLine="420" w:firstLineChars="200"/>
        <w:rPr>
          <w:rFonts w:ascii="仿宋" w:hAnsi="仿宋" w:eastAsia="仿宋" w:cs="仿宋"/>
          <w:szCs w:val="21"/>
        </w:rPr>
      </w:pPr>
      <w:r>
        <w:rPr>
          <w:rFonts w:hint="eastAsia" w:ascii="仿宋" w:hAnsi="仿宋" w:eastAsia="仿宋" w:cs="仿宋"/>
          <w:szCs w:val="21"/>
        </w:rPr>
        <w:t>六、争议解决</w:t>
      </w:r>
    </w:p>
    <w:p>
      <w:pPr>
        <w:spacing w:line="400" w:lineRule="exact"/>
        <w:ind w:firstLine="630" w:firstLineChars="300"/>
        <w:rPr>
          <w:rFonts w:ascii="仿宋" w:hAnsi="仿宋" w:eastAsia="仿宋" w:cs="仿宋"/>
          <w:szCs w:val="21"/>
        </w:rPr>
      </w:pPr>
      <w:r>
        <w:rPr>
          <w:rFonts w:hint="eastAsia" w:ascii="仿宋" w:hAnsi="仿宋" w:eastAsia="仿宋" w:cs="仿宋"/>
          <w:szCs w:val="21"/>
        </w:rPr>
        <w:t>甲乙双方因履行本协议发生争执应友好协商解决，协商不成的交由活动举办地深圳市福田区人民法院管辖。</w:t>
      </w:r>
    </w:p>
    <w:p>
      <w:pPr>
        <w:spacing w:line="400" w:lineRule="exact"/>
        <w:rPr>
          <w:rFonts w:ascii="仿宋" w:hAnsi="仿宋" w:eastAsia="仿宋" w:cs="仿宋"/>
          <w:b/>
          <w:bCs/>
          <w:szCs w:val="21"/>
        </w:rPr>
      </w:pPr>
      <w:r>
        <w:rPr>
          <w:rFonts w:hint="eastAsia" w:ascii="仿宋" w:hAnsi="仿宋" w:eastAsia="仿宋" w:cs="仿宋"/>
          <w:b/>
          <w:bCs/>
          <w:szCs w:val="21"/>
        </w:rPr>
        <w:t>七、其他</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（一）本协议一式肆份，甲方执叁份，乙方执壹份，具有同等法律效力。本协议经甲乙双方盖章后生效。</w:t>
      </w:r>
    </w:p>
    <w:p>
      <w:pPr>
        <w:spacing w:line="400" w:lineRule="exact"/>
        <w:ind w:firstLine="420" w:firstLineChars="200"/>
        <w:rPr>
          <w:rFonts w:ascii="仿宋" w:hAnsi="仿宋" w:eastAsia="仿宋" w:cs="仿宋"/>
          <w:szCs w:val="21"/>
        </w:rPr>
      </w:pPr>
      <w:r>
        <w:rPr>
          <w:rFonts w:hint="eastAsia" w:ascii="仿宋" w:hAnsi="仿宋" w:eastAsia="仿宋" w:cs="仿宋"/>
          <w:szCs w:val="21"/>
        </w:rPr>
        <w:t>（二）本协议未尽事宜，甲乙双方可签署补充协议，补充协议与本协议具同等法律效力。</w:t>
      </w:r>
    </w:p>
    <w:p>
      <w:pPr>
        <w:spacing w:line="400" w:lineRule="exact"/>
        <w:ind w:firstLine="420" w:firstLineChars="200"/>
        <w:rPr>
          <w:rFonts w:ascii="仿宋" w:hAnsi="仿宋" w:eastAsia="仿宋" w:cs="仿宋"/>
          <w:szCs w:val="21"/>
        </w:rPr>
      </w:pPr>
      <w:r>
        <w:rPr>
          <w:rFonts w:hint="eastAsia" w:ascii="仿宋" w:hAnsi="仿宋" w:eastAsia="仿宋" w:cs="仿宋"/>
          <w:szCs w:val="21"/>
        </w:rPr>
        <w:t>（三）本协议附件为本协议组成部分，与本协议具同等法律效力。</w:t>
      </w:r>
    </w:p>
    <w:p>
      <w:pPr>
        <w:spacing w:line="400" w:lineRule="exact"/>
        <w:jc w:val="center"/>
        <w:rPr>
          <w:rFonts w:ascii="仿宋" w:hAnsi="仿宋" w:eastAsia="仿宋" w:cs="仿宋"/>
          <w:szCs w:val="21"/>
        </w:rPr>
      </w:pPr>
      <w:r>
        <w:rPr>
          <w:rFonts w:hint="eastAsia" w:ascii="仿宋" w:hAnsi="仿宋" w:eastAsia="仿宋" w:cs="仿宋"/>
          <w:szCs w:val="21"/>
        </w:rPr>
        <w:t>（以下无正文，为本合同双方签署项。）</w:t>
      </w:r>
    </w:p>
    <w:p>
      <w:pPr>
        <w:spacing w:line="400" w:lineRule="exact"/>
        <w:jc w:val="center"/>
        <w:rPr>
          <w:rFonts w:ascii="仿宋" w:hAnsi="仿宋" w:eastAsia="仿宋" w:cs="仿宋"/>
          <w:szCs w:val="21"/>
        </w:rPr>
      </w:pPr>
    </w:p>
    <w:p>
      <w:pPr>
        <w:spacing w:line="360" w:lineRule="auto"/>
        <w:ind w:right="-624" w:rightChars="-297"/>
        <w:rPr>
          <w:rFonts w:ascii="仿宋" w:hAnsi="仿宋" w:eastAsia="仿宋" w:cs="仿宋"/>
          <w:szCs w:val="21"/>
        </w:rPr>
      </w:pPr>
    </w:p>
    <w:p>
      <w:pPr>
        <w:spacing w:line="360" w:lineRule="auto"/>
        <w:ind w:left="-78" w:leftChars="-37" w:right="-624" w:rightChars="-297"/>
        <w:rPr>
          <w:rFonts w:ascii="仿宋" w:hAnsi="仿宋" w:eastAsia="仿宋" w:cs="仿宋"/>
          <w:szCs w:val="21"/>
        </w:rPr>
      </w:pPr>
      <w:r>
        <w:rPr>
          <w:rFonts w:hint="eastAsia" w:ascii="仿宋" w:hAnsi="仿宋" w:eastAsia="仿宋" w:cs="仿宋"/>
          <w:szCs w:val="21"/>
        </w:rPr>
        <w:t xml:space="preserve">甲方：深圳市文化产业（国际）会展有公司      乙方：xxx </w:t>
      </w:r>
    </w:p>
    <w:p>
      <w:pPr>
        <w:spacing w:line="360" w:lineRule="auto"/>
        <w:ind w:right="-624" w:rightChars="-297"/>
        <w:rPr>
          <w:rFonts w:ascii="仿宋" w:hAnsi="仿宋" w:eastAsia="仿宋" w:cs="仿宋"/>
          <w:szCs w:val="21"/>
        </w:rPr>
      </w:pPr>
      <w:r>
        <w:rPr>
          <w:rFonts w:hint="eastAsia" w:ascii="仿宋" w:hAnsi="仿宋" w:eastAsia="仿宋" w:cs="仿宋"/>
          <w:szCs w:val="21"/>
        </w:rPr>
        <w:t>签章：                                     签章：</w:t>
      </w:r>
    </w:p>
    <w:p>
      <w:pPr>
        <w:pStyle w:val="18"/>
        <w:spacing w:after="240"/>
        <w:outlineLvl w:val="2"/>
        <w:rPr>
          <w:rFonts w:ascii="仿宋" w:hAnsi="仿宋" w:eastAsia="仿宋" w:cs="仿宋"/>
          <w:sz w:val="21"/>
          <w:szCs w:val="21"/>
        </w:rPr>
      </w:pPr>
      <w:r>
        <w:rPr>
          <w:rFonts w:hint="eastAsia" w:ascii="仿宋" w:hAnsi="仿宋" w:eastAsia="仿宋" w:cs="仿宋"/>
          <w:sz w:val="21"/>
          <w:szCs w:val="21"/>
        </w:rPr>
        <w:t>负责人：                                   负责人：</w:t>
      </w:r>
    </w:p>
    <w:p>
      <w:pPr>
        <w:pStyle w:val="2"/>
        <w:rPr>
          <w:lang w:val="en-US"/>
        </w:rPr>
      </w:pPr>
    </w:p>
    <w:p>
      <w:pPr>
        <w:pStyle w:val="18"/>
        <w:spacing w:after="240"/>
        <w:ind w:firstLine="537" w:firstLineChars="224"/>
        <w:jc w:val="center"/>
        <w:rPr>
          <w:rFonts w:ascii="仿宋_GB2312" w:hAnsi="宋体" w:eastAsia="仿宋_GB2312"/>
          <w:color w:val="FF0000"/>
          <w:highlight w:val="yellow"/>
        </w:rPr>
      </w:pPr>
    </w:p>
    <w:p>
      <w:pPr>
        <w:pStyle w:val="18"/>
        <w:spacing w:after="240"/>
        <w:ind w:firstLine="537" w:firstLineChars="224"/>
        <w:jc w:val="center"/>
        <w:rPr>
          <w:rFonts w:ascii="仿宋_GB2312" w:hAnsi="宋体" w:eastAsia="仿宋_GB2312"/>
          <w:color w:val="FF0000"/>
          <w:highlight w:val="yellow"/>
        </w:rPr>
      </w:pPr>
    </w:p>
    <w:p>
      <w:pPr>
        <w:widowControl/>
        <w:jc w:val="left"/>
        <w:rPr>
          <w:rFonts w:ascii="黑体" w:eastAsia="黑体"/>
          <w:sz w:val="44"/>
          <w:szCs w:val="44"/>
        </w:rPr>
      </w:pPr>
    </w:p>
    <w:p>
      <w:pPr>
        <w:widowControl/>
        <w:numPr>
          <w:ilvl w:val="0"/>
          <w:numId w:val="1"/>
        </w:numPr>
        <w:spacing w:before="312" w:beforeLines="100" w:after="312" w:afterLines="100"/>
        <w:ind w:firstLine="402"/>
        <w:jc w:val="center"/>
        <w:outlineLvl w:val="0"/>
        <w:rPr>
          <w:rFonts w:ascii="黑体" w:eastAsia="黑体"/>
          <w:sz w:val="44"/>
          <w:szCs w:val="44"/>
        </w:rPr>
      </w:pPr>
      <w:bookmarkStart w:id="86" w:name="_Toc28843"/>
      <w:r>
        <w:rPr>
          <w:rFonts w:hint="eastAsia" w:ascii="黑体" w:eastAsia="黑体"/>
          <w:sz w:val="44"/>
          <w:szCs w:val="44"/>
        </w:rPr>
        <w:t>附件－投标文件格式</w:t>
      </w:r>
      <w:bookmarkEnd w:id="86"/>
    </w:p>
    <w:p>
      <w:pPr>
        <w:rPr>
          <w:rFonts w:ascii="楷体_GB2312" w:eastAsia="楷体_GB2312"/>
          <w:sz w:val="24"/>
        </w:rPr>
      </w:pPr>
      <w:r>
        <w:rPr>
          <w:rFonts w:hint="eastAsia" w:ascii="楷体_GB2312" w:eastAsia="楷体_GB2312"/>
          <w:sz w:val="24"/>
        </w:rPr>
        <w:t>附件1. 投标书格式</w:t>
      </w:r>
    </w:p>
    <w:p>
      <w:pPr>
        <w:rPr>
          <w:rFonts w:ascii="楷体_GB2312" w:eastAsia="楷体_GB2312"/>
          <w:sz w:val="24"/>
        </w:rPr>
      </w:pPr>
    </w:p>
    <w:p>
      <w:pPr>
        <w:widowControl/>
        <w:jc w:val="center"/>
      </w:pPr>
      <w:r>
        <w:rPr>
          <w:rFonts w:hint="eastAsia" w:ascii="黑体" w:eastAsia="黑体"/>
          <w:b/>
          <w:sz w:val="32"/>
          <w:szCs w:val="32"/>
        </w:rPr>
        <w:t>投标书</w:t>
      </w:r>
    </w:p>
    <w:p>
      <w:pPr>
        <w:adjustRightInd w:val="0"/>
        <w:snapToGrid w:val="0"/>
        <w:spacing w:line="360" w:lineRule="auto"/>
        <w:rPr>
          <w:rFonts w:ascii="宋体" w:hAnsi="宋体" w:cs="Arial"/>
          <w:color w:val="000000"/>
        </w:rPr>
      </w:pPr>
      <w:r>
        <w:rPr>
          <w:rFonts w:ascii="宋体" w:hAnsi="宋体" w:cs="Arial"/>
          <w:color w:val="000000"/>
        </w:rPr>
        <w:t>致：</w:t>
      </w:r>
      <w:r>
        <w:rPr>
          <w:rFonts w:hint="eastAsia" w:ascii="宋体" w:hAnsi="宋体" w:cs="Arial"/>
          <w:color w:val="000000"/>
        </w:rPr>
        <w:t xml:space="preserve"> </w:t>
      </w:r>
    </w:p>
    <w:p>
      <w:pPr>
        <w:adjustRightInd w:val="0"/>
        <w:snapToGrid w:val="0"/>
        <w:spacing w:line="360" w:lineRule="auto"/>
        <w:ind w:firstLine="600"/>
        <w:rPr>
          <w:rFonts w:ascii="宋体" w:hAnsi="宋体" w:cs="Arial"/>
          <w:color w:val="000000"/>
        </w:rPr>
      </w:pPr>
      <w:r>
        <w:rPr>
          <w:rFonts w:ascii="宋体" w:hAnsi="宋体" w:cs="Arial"/>
          <w:color w:val="000000"/>
        </w:rPr>
        <w:t>根据贵方为</w:t>
      </w:r>
      <w:r>
        <w:rPr>
          <w:rFonts w:ascii="宋体" w:hAnsi="宋体" w:cs="Arial"/>
          <w:color w:val="000000"/>
          <w:u w:val="single"/>
        </w:rPr>
        <w:t xml:space="preserve">            </w:t>
      </w:r>
      <w:r>
        <w:rPr>
          <w:rFonts w:ascii="宋体" w:hAnsi="宋体" w:cs="Arial"/>
          <w:color w:val="000000"/>
        </w:rPr>
        <w:t>项目的招标公告（招标编号：</w:t>
      </w:r>
      <w:r>
        <w:rPr>
          <w:rFonts w:ascii="宋体" w:hAnsi="宋体" w:cs="Arial"/>
          <w:color w:val="000000"/>
          <w:u w:val="single"/>
        </w:rPr>
        <w:t>　　　　</w:t>
      </w:r>
      <w:r>
        <w:rPr>
          <w:rFonts w:ascii="宋体" w:hAnsi="宋体" w:cs="Arial"/>
          <w:color w:val="000000"/>
        </w:rPr>
        <w:t>），本人代表投标人</w:t>
      </w:r>
      <w:r>
        <w:rPr>
          <w:rFonts w:ascii="宋体" w:hAnsi="宋体" w:cs="Arial"/>
          <w:color w:val="000000"/>
          <w:u w:val="single"/>
        </w:rPr>
        <w:t xml:space="preserve">       </w:t>
      </w:r>
      <w:r>
        <w:rPr>
          <w:rFonts w:ascii="宋体" w:hAnsi="宋体" w:cs="Arial"/>
          <w:color w:val="000000"/>
        </w:rPr>
        <w:t>（投标人名称），提交投标文件。</w:t>
      </w:r>
    </w:p>
    <w:p>
      <w:pPr>
        <w:tabs>
          <w:tab w:val="center" w:pos="4396"/>
        </w:tabs>
        <w:adjustRightInd w:val="0"/>
        <w:snapToGrid w:val="0"/>
        <w:spacing w:line="360" w:lineRule="auto"/>
        <w:ind w:firstLine="420" w:firstLineChars="200"/>
        <w:rPr>
          <w:rFonts w:ascii="宋体" w:hAnsi="宋体" w:cs="Arial"/>
          <w:color w:val="000000"/>
        </w:rPr>
      </w:pPr>
      <w:r>
        <w:rPr>
          <w:rFonts w:ascii="宋体" w:hAnsi="宋体" w:cs="Arial"/>
          <w:color w:val="000000"/>
        </w:rPr>
        <w:t>据此函，本人宣布如下承诺：</w:t>
      </w:r>
      <w:r>
        <w:rPr>
          <w:rFonts w:ascii="宋体" w:hAnsi="宋体" w:cs="Arial"/>
          <w:color w:val="000000"/>
        </w:rPr>
        <w:tab/>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1．所附“开标一览表”规定的应提供和交付的项目投标总价为：人民币</w:t>
      </w:r>
      <w:r>
        <w:rPr>
          <w:rFonts w:ascii="宋体" w:hAnsi="宋体" w:cs="Arial"/>
          <w:color w:val="000000"/>
          <w:u w:val="single"/>
        </w:rPr>
        <w:t xml:space="preserve">         </w:t>
      </w:r>
      <w:r>
        <w:rPr>
          <w:rFonts w:ascii="宋体" w:hAnsi="宋体" w:cs="Arial"/>
          <w:color w:val="000000"/>
        </w:rPr>
        <w:t>（大写）</w:t>
      </w:r>
      <w:r>
        <w:rPr>
          <w:rFonts w:ascii="宋体" w:hAnsi="宋体" w:cs="Arial"/>
          <w:color w:val="000000"/>
          <w:u w:val="single"/>
        </w:rPr>
        <w:t xml:space="preserve">　　　　   </w:t>
      </w:r>
      <w:r>
        <w:rPr>
          <w:rFonts w:ascii="宋体" w:hAnsi="宋体" w:cs="Arial"/>
          <w:color w:val="000000"/>
        </w:rPr>
        <w:t>。</w:t>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2．我方将按招标文件的规定履行合同责任和义务。</w:t>
      </w:r>
    </w:p>
    <w:p>
      <w:pPr>
        <w:adjustRightInd w:val="0"/>
        <w:snapToGrid w:val="0"/>
        <w:spacing w:line="360" w:lineRule="auto"/>
        <w:ind w:left="420" w:hanging="420" w:hangingChars="200"/>
        <w:rPr>
          <w:rFonts w:ascii="宋体" w:hAnsi="宋体" w:cs="Arial"/>
          <w:color w:val="000000"/>
        </w:rPr>
      </w:pPr>
      <w:r>
        <w:rPr>
          <w:rFonts w:ascii="宋体" w:hAnsi="宋体" w:cs="Arial"/>
          <w:color w:val="000000"/>
        </w:rPr>
        <w:t>3．我方已详细审查全部招标文件，包括修改文件（如有的话）以及全部参考资料和有关附件。</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4</w:t>
      </w:r>
      <w:r>
        <w:rPr>
          <w:rFonts w:ascii="宋体" w:hAnsi="宋体" w:cs="Arial"/>
          <w:color w:val="000000"/>
        </w:rPr>
        <w:t>．我方同意提供按照贵方要求的与我方投标有关的一切数据或资料，理解贵方不一定要接受最低报价的投标。</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5. 我方提供的服务参数优于或等于为招标人基本技术要求，无负偏离。否则，可能导致的严重影响投标人投标优势的后果，我方自行负责。</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6. 我方理解招标人关于数量、单价及报价要求的具体规定，我方将严格按照招标文件的有关要求进行投标，如中标，同标准签订合同。</w:t>
      </w:r>
    </w:p>
    <w:p>
      <w:pPr>
        <w:adjustRightInd w:val="0"/>
        <w:snapToGrid w:val="0"/>
        <w:spacing w:line="360" w:lineRule="auto"/>
        <w:ind w:left="210" w:hanging="210" w:hangingChars="100"/>
        <w:rPr>
          <w:rFonts w:ascii="宋体" w:hAnsi="宋体" w:cs="Arial"/>
          <w:color w:val="000000"/>
        </w:rPr>
      </w:pPr>
      <w:r>
        <w:rPr>
          <w:rFonts w:hint="eastAsia" w:ascii="宋体" w:hAnsi="宋体" w:cs="Arial"/>
          <w:color w:val="000000"/>
        </w:rPr>
        <w:t>7. 为了保证项目的顺利进行，我方理解在本次项目合同执行期间因临时紧急采购、或者取消中标人部分或全部服务资格等原因，招标人可能与本次评标结果中排名第二的备选中标人签订相应服务合同。</w:t>
      </w:r>
    </w:p>
    <w:p>
      <w:pPr>
        <w:adjustRightInd w:val="0"/>
        <w:snapToGrid w:val="0"/>
        <w:spacing w:line="360" w:lineRule="auto"/>
        <w:ind w:left="420" w:hanging="420" w:hangingChars="200"/>
        <w:rPr>
          <w:rFonts w:ascii="宋体" w:hAnsi="宋体" w:cs="Arial"/>
          <w:color w:val="000000"/>
        </w:rPr>
      </w:pPr>
      <w:r>
        <w:rPr>
          <w:rFonts w:hint="eastAsia" w:ascii="宋体" w:hAnsi="宋体" w:cs="Arial"/>
          <w:color w:val="000000"/>
        </w:rPr>
        <w:t>8</w:t>
      </w:r>
      <w:r>
        <w:rPr>
          <w:rFonts w:ascii="宋体" w:hAnsi="宋体" w:cs="Arial"/>
          <w:color w:val="000000"/>
        </w:rPr>
        <w:t>．与本投标有关的一切正式往来通讯请寄：</w:t>
      </w:r>
    </w:p>
    <w:p>
      <w:pPr>
        <w:adjustRightInd w:val="0"/>
        <w:snapToGrid w:val="0"/>
        <w:spacing w:line="360" w:lineRule="auto"/>
        <w:ind w:left="601" w:leftChars="286"/>
        <w:rPr>
          <w:rFonts w:ascii="宋体" w:hAnsi="宋体" w:cs="Arial"/>
          <w:color w:val="000000"/>
        </w:rPr>
      </w:pPr>
      <w:r>
        <w:rPr>
          <w:rFonts w:ascii="宋体" w:hAnsi="宋体" w:cs="Arial"/>
          <w:color w:val="000000"/>
        </w:rPr>
        <w:t>地址：</w:t>
      </w:r>
      <w:r>
        <w:rPr>
          <w:rFonts w:ascii="宋体" w:hAnsi="宋体" w:cs="Arial"/>
          <w:color w:val="000000"/>
          <w:u w:val="single"/>
        </w:rPr>
        <w:t xml:space="preserve">                        </w:t>
      </w:r>
      <w:r>
        <w:rPr>
          <w:rFonts w:ascii="宋体" w:hAnsi="宋体" w:cs="Arial"/>
          <w:color w:val="000000"/>
        </w:rPr>
        <w:t xml:space="preserve"> 邮编：</w:t>
      </w:r>
      <w:r>
        <w:rPr>
          <w:rFonts w:ascii="宋体" w:hAnsi="宋体" w:cs="Arial"/>
          <w:color w:val="000000"/>
          <w:u w:val="single"/>
        </w:rPr>
        <w:t xml:space="preserve">                       </w:t>
      </w:r>
    </w:p>
    <w:p>
      <w:pPr>
        <w:adjustRightInd w:val="0"/>
        <w:snapToGrid w:val="0"/>
        <w:spacing w:line="360" w:lineRule="auto"/>
        <w:ind w:left="601" w:leftChars="286"/>
        <w:rPr>
          <w:rFonts w:ascii="宋体" w:hAnsi="宋体" w:cs="Arial"/>
          <w:color w:val="000000"/>
        </w:rPr>
      </w:pPr>
    </w:p>
    <w:p>
      <w:pPr>
        <w:adjustRightInd w:val="0"/>
        <w:snapToGrid w:val="0"/>
        <w:spacing w:line="360" w:lineRule="auto"/>
        <w:ind w:left="601" w:leftChars="286"/>
        <w:rPr>
          <w:rFonts w:ascii="宋体" w:hAnsi="宋体" w:cs="Arial"/>
          <w:bCs/>
          <w:color w:val="000000"/>
        </w:rPr>
      </w:pPr>
      <w:r>
        <w:rPr>
          <w:rFonts w:ascii="宋体" w:hAnsi="宋体" w:cs="Arial"/>
          <w:bCs/>
          <w:color w:val="000000"/>
        </w:rPr>
        <w:t>投标人法定代表人姓名、职务（印刷体）：</w:t>
      </w:r>
    </w:p>
    <w:p>
      <w:pPr>
        <w:adjustRightInd w:val="0"/>
        <w:snapToGrid w:val="0"/>
        <w:spacing w:line="360" w:lineRule="auto"/>
        <w:ind w:left="601" w:leftChars="286"/>
        <w:rPr>
          <w:rFonts w:ascii="宋体" w:hAnsi="宋体" w:cs="Arial"/>
          <w:bCs/>
          <w:color w:val="000000"/>
        </w:rPr>
      </w:pPr>
      <w:r>
        <w:rPr>
          <w:rFonts w:ascii="宋体" w:hAnsi="宋体" w:cs="Arial"/>
          <w:bCs/>
          <w:color w:val="000000"/>
        </w:rPr>
        <w:t>投标人名称：</w:t>
      </w:r>
      <w:r>
        <w:rPr>
          <w:rFonts w:ascii="宋体" w:hAnsi="宋体" w:cs="Arial"/>
          <w:color w:val="000000"/>
          <w:u w:val="single"/>
        </w:rPr>
        <w:t xml:space="preserve">                   </w:t>
      </w:r>
      <w:r>
        <w:rPr>
          <w:rFonts w:ascii="宋体" w:hAnsi="宋体" w:cs="Arial"/>
          <w:color w:val="000000"/>
        </w:rPr>
        <w:t>（加盖公章）</w:t>
      </w:r>
    </w:p>
    <w:p>
      <w:pPr>
        <w:adjustRightInd w:val="0"/>
        <w:snapToGrid w:val="0"/>
        <w:spacing w:line="360" w:lineRule="auto"/>
        <w:ind w:left="601" w:leftChars="286"/>
        <w:rPr>
          <w:rFonts w:ascii="宋体" w:hAnsi="宋体" w:cs="Arial"/>
          <w:bCs/>
          <w:color w:val="000000"/>
        </w:rPr>
      </w:pPr>
      <w:r>
        <w:rPr>
          <w:rFonts w:ascii="宋体" w:hAnsi="宋体" w:cs="Arial"/>
          <w:bCs/>
          <w:color w:val="000000"/>
        </w:rPr>
        <w:t>法定代表人签字（或其委托的全权代表人）：</w:t>
      </w:r>
    </w:p>
    <w:p>
      <w:pPr>
        <w:adjustRightInd w:val="0"/>
        <w:snapToGrid w:val="0"/>
        <w:spacing w:line="360" w:lineRule="auto"/>
        <w:ind w:left="601" w:leftChars="286" w:firstLine="5550"/>
        <w:rPr>
          <w:rFonts w:ascii="宋体" w:hAnsi="宋体" w:cs="Arial"/>
          <w:color w:val="000000"/>
        </w:rPr>
      </w:pPr>
      <w:r>
        <w:rPr>
          <w:rFonts w:ascii="宋体" w:hAnsi="宋体" w:cs="Arial"/>
          <w:color w:val="000000"/>
        </w:rPr>
        <w:t>日期：    年   月   日</w:t>
      </w:r>
    </w:p>
    <w:p>
      <w:pPr>
        <w:adjustRightInd w:val="0"/>
        <w:snapToGrid w:val="0"/>
        <w:spacing w:line="360" w:lineRule="auto"/>
        <w:ind w:left="601" w:leftChars="286"/>
        <w:rPr>
          <w:rFonts w:ascii="宋体" w:hAnsi="宋体" w:cs="Arial"/>
          <w:color w:val="000000"/>
        </w:rPr>
      </w:pPr>
      <w:r>
        <w:rPr>
          <w:rFonts w:ascii="宋体" w:hAnsi="宋体" w:cs="Arial"/>
          <w:color w:val="000000"/>
        </w:rPr>
        <w:t>日期：    年   月   日</w:t>
      </w:r>
    </w:p>
    <w:p>
      <w:pPr>
        <w:adjustRightInd w:val="0"/>
        <w:snapToGrid w:val="0"/>
        <w:spacing w:line="360" w:lineRule="auto"/>
        <w:ind w:firstLine="422" w:firstLineChars="200"/>
        <w:rPr>
          <w:rFonts w:ascii="宋体" w:hAnsi="宋体" w:cs="Arial"/>
          <w:b/>
          <w:bCs/>
          <w:color w:val="000000"/>
        </w:rPr>
      </w:pPr>
      <w:r>
        <w:rPr>
          <w:rFonts w:ascii="宋体" w:hAnsi="宋体" w:cs="Arial"/>
          <w:b/>
          <w:bCs/>
          <w:color w:val="000000"/>
        </w:rPr>
        <w:t>注：全权代表须有法定代表人签署的授权委托书。</w:t>
      </w:r>
    </w:p>
    <w:p>
      <w:pPr>
        <w:rPr>
          <w:rFonts w:ascii="楷体_GB2312" w:eastAsia="楷体_GB2312"/>
          <w:sz w:val="24"/>
        </w:rPr>
      </w:pPr>
      <w:r>
        <w:br w:type="page"/>
      </w:r>
      <w:r>
        <w:rPr>
          <w:rFonts w:hint="eastAsia" w:ascii="楷体_GB2312" w:eastAsia="楷体_GB2312"/>
          <w:sz w:val="24"/>
        </w:rPr>
        <w:t>附件2. 开标一览表格式</w:t>
      </w:r>
    </w:p>
    <w:p/>
    <w:p>
      <w:pPr>
        <w:jc w:val="center"/>
        <w:rPr>
          <w:rFonts w:ascii="黑体" w:eastAsia="黑体"/>
          <w:sz w:val="32"/>
          <w:szCs w:val="32"/>
        </w:rPr>
      </w:pPr>
      <w:r>
        <w:rPr>
          <w:rFonts w:hint="eastAsia" w:ascii="黑体" w:eastAsia="黑体"/>
          <w:sz w:val="32"/>
          <w:szCs w:val="32"/>
        </w:rPr>
        <w:t>开标一览表</w:t>
      </w:r>
    </w:p>
    <w:p>
      <w:pPr>
        <w:spacing w:line="360" w:lineRule="auto"/>
      </w:pPr>
    </w:p>
    <w:p>
      <w:pPr>
        <w:spacing w:line="360" w:lineRule="auto"/>
      </w:pPr>
      <w:r>
        <w:rPr>
          <w:rFonts w:hint="eastAsia"/>
        </w:rPr>
        <w:t>投标人名称：</w:t>
      </w:r>
      <w:r>
        <w:rPr>
          <w:rFonts w:hint="eastAsia"/>
          <w:u w:val="single"/>
        </w:rPr>
        <w:t xml:space="preserve">                          </w:t>
      </w:r>
      <w:r>
        <w:rPr>
          <w:rFonts w:hint="eastAsia"/>
        </w:rPr>
        <w:t xml:space="preserve"> 招标编号：</w:t>
      </w:r>
      <w:r>
        <w:rPr>
          <w:rFonts w:hint="eastAsia"/>
          <w:u w:val="single"/>
        </w:rPr>
        <w:t xml:space="preserve">                   </w:t>
      </w:r>
      <w:r>
        <w:rPr>
          <w:rFonts w:hint="eastAsia"/>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3086"/>
        <w:gridCol w:w="14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229"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项目名称/包号</w:t>
            </w:r>
          </w:p>
        </w:tc>
        <w:tc>
          <w:tcPr>
            <w:tcW w:w="3086"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服务期</w:t>
            </w:r>
          </w:p>
        </w:tc>
        <w:tc>
          <w:tcPr>
            <w:tcW w:w="1417"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投标总价</w:t>
            </w:r>
          </w:p>
        </w:tc>
        <w:tc>
          <w:tcPr>
            <w:tcW w:w="1843"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1229"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p>
        </w:tc>
        <w:tc>
          <w:tcPr>
            <w:tcW w:w="3086"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总服务价格（含增值税价（服务类专用））</w:t>
            </w:r>
          </w:p>
        </w:tc>
        <w:tc>
          <w:tcPr>
            <w:tcW w:w="1417"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p>
        </w:tc>
        <w:tc>
          <w:tcPr>
            <w:tcW w:w="1843" w:type="dxa"/>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000000" w:themeColor="text1"/>
                <w14:textFill>
                  <w14:solidFill>
                    <w14:schemeClr w14:val="tx1"/>
                  </w14:solidFill>
                </w14:textFill>
              </w:rPr>
            </w:pPr>
          </w:p>
        </w:tc>
      </w:tr>
    </w:tbl>
    <w:p/>
    <w:p>
      <w:r>
        <w:rPr>
          <w:rFonts w:hint="eastAsia"/>
        </w:rPr>
        <w:t>投标人代表签字：</w:t>
      </w:r>
    </w:p>
    <w:p>
      <w:r>
        <w:rPr>
          <w:rFonts w:hint="eastAsia"/>
        </w:rPr>
        <w:t>投标人盖章：</w:t>
      </w:r>
    </w:p>
    <w:p/>
    <w:p>
      <w:pPr>
        <w:ind w:left="718" w:hanging="718" w:hangingChars="342"/>
      </w:pPr>
      <w:r>
        <w:rPr>
          <w:rFonts w:hint="eastAsia"/>
        </w:rPr>
        <w:t>注：1、此表应按投标人须知的规定密封标记并与授权委托书一同密封装入开标文件，开标文件单独提交。</w:t>
      </w:r>
    </w:p>
    <w:p>
      <w:pPr>
        <w:ind w:left="718" w:leftChars="200" w:hanging="298" w:hangingChars="142"/>
      </w:pPr>
      <w:r>
        <w:rPr>
          <w:rFonts w:hint="eastAsia"/>
        </w:rPr>
        <w:t>2、温馨提示：未按招标文件要求报价、填写开标一览表是导致投标人废标的常见问题，请投标人仔细填写，认真核对。</w:t>
      </w:r>
    </w:p>
    <w:p>
      <w:pPr>
        <w:rPr>
          <w:rFonts w:ascii="楷体_GB2312" w:eastAsia="楷体_GB2312"/>
          <w:sz w:val="24"/>
        </w:rPr>
      </w:pPr>
      <w:r>
        <w:br w:type="page"/>
      </w:r>
      <w:r>
        <w:rPr>
          <w:rFonts w:hint="eastAsia" w:ascii="楷体_GB2312" w:eastAsia="楷体_GB2312"/>
          <w:sz w:val="24"/>
        </w:rPr>
        <w:t>附件3. 投标分项报价表格式</w:t>
      </w:r>
    </w:p>
    <w:p/>
    <w:p>
      <w:pPr>
        <w:jc w:val="center"/>
        <w:rPr>
          <w:rFonts w:ascii="黑体" w:eastAsia="黑体"/>
          <w:sz w:val="32"/>
          <w:szCs w:val="32"/>
        </w:rPr>
      </w:pPr>
      <w:r>
        <w:rPr>
          <w:rFonts w:hint="eastAsia" w:ascii="黑体" w:eastAsia="黑体"/>
          <w:sz w:val="32"/>
          <w:szCs w:val="32"/>
        </w:rPr>
        <w:t>投标分项报价表</w:t>
      </w:r>
    </w:p>
    <w:p/>
    <w:p>
      <w:r>
        <w:rPr>
          <w:rFonts w:hint="eastAsia"/>
        </w:rPr>
        <w:t>投标人名称：</w:t>
      </w:r>
      <w:r>
        <w:rPr>
          <w:rFonts w:hint="eastAsia"/>
          <w:u w:val="single"/>
        </w:rPr>
        <w:t>　　　　　　　　　　</w:t>
      </w:r>
      <w:r>
        <w:rPr>
          <w:rFonts w:hint="eastAsia"/>
        </w:rPr>
        <w:t>　　招标编号：</w:t>
      </w:r>
      <w:r>
        <w:rPr>
          <w:rFonts w:hint="eastAsia"/>
          <w:u w:val="single"/>
        </w:rPr>
        <w:t>　　　　　　　　　　　</w:t>
      </w:r>
      <w:r>
        <w:rPr>
          <w:rFonts w:hint="eastAsia"/>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440"/>
        <w:gridCol w:w="900"/>
        <w:gridCol w:w="1440"/>
        <w:gridCol w:w="720"/>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before="100" w:beforeAutospacing="1" w:after="100" w:afterAutospacing="1"/>
              <w:jc w:val="center"/>
              <w:rPr>
                <w:rFonts w:ascii="宋体" w:hAnsi="宋体"/>
                <w:sz w:val="24"/>
              </w:rPr>
            </w:pPr>
            <w:r>
              <w:rPr>
                <w:rFonts w:hint="eastAsia" w:ascii="宋体" w:hAnsi="宋体"/>
                <w:sz w:val="24"/>
              </w:rPr>
              <w:t>序号</w:t>
            </w:r>
          </w:p>
        </w:tc>
        <w:tc>
          <w:tcPr>
            <w:tcW w:w="2160" w:type="dxa"/>
            <w:vAlign w:val="center"/>
          </w:tcPr>
          <w:p>
            <w:pPr>
              <w:spacing w:before="100" w:beforeAutospacing="1" w:after="100" w:afterAutospacing="1"/>
              <w:jc w:val="center"/>
              <w:rPr>
                <w:rFonts w:ascii="宋体" w:hAnsi="宋体"/>
                <w:sz w:val="24"/>
              </w:rPr>
            </w:pPr>
            <w:r>
              <w:rPr>
                <w:rFonts w:hint="eastAsia" w:ascii="宋体" w:hAnsi="宋体" w:cs="宋体"/>
                <w:color w:val="000000"/>
                <w:kern w:val="0"/>
                <w:sz w:val="22"/>
              </w:rPr>
              <w:t>资源名称</w:t>
            </w:r>
          </w:p>
        </w:tc>
        <w:tc>
          <w:tcPr>
            <w:tcW w:w="1440" w:type="dxa"/>
            <w:vAlign w:val="center"/>
          </w:tcPr>
          <w:p>
            <w:pPr>
              <w:spacing w:before="100" w:beforeAutospacing="1" w:after="100" w:afterAutospacing="1"/>
              <w:jc w:val="center"/>
              <w:rPr>
                <w:rFonts w:ascii="宋体" w:hAnsi="宋体"/>
                <w:sz w:val="24"/>
              </w:rPr>
            </w:pPr>
            <w:r>
              <w:rPr>
                <w:rFonts w:hint="eastAsia" w:ascii="宋体" w:hAnsi="宋体" w:cs="宋体"/>
                <w:color w:val="000000"/>
                <w:kern w:val="0"/>
                <w:sz w:val="22"/>
              </w:rPr>
              <w:t>配置</w:t>
            </w:r>
          </w:p>
        </w:tc>
        <w:tc>
          <w:tcPr>
            <w:tcW w:w="900" w:type="dxa"/>
            <w:vAlign w:val="center"/>
          </w:tcPr>
          <w:p>
            <w:pPr>
              <w:spacing w:before="100" w:beforeAutospacing="1" w:after="100" w:afterAutospacing="1"/>
              <w:jc w:val="center"/>
              <w:rPr>
                <w:rFonts w:ascii="宋体" w:hAnsi="宋体"/>
                <w:sz w:val="24"/>
              </w:rPr>
            </w:pPr>
            <w:r>
              <w:rPr>
                <w:rFonts w:hint="eastAsia" w:ascii="宋体" w:hAnsi="宋体"/>
                <w:sz w:val="24"/>
              </w:rPr>
              <w:t>数量</w:t>
            </w:r>
          </w:p>
        </w:tc>
        <w:tc>
          <w:tcPr>
            <w:tcW w:w="1440" w:type="dxa"/>
            <w:vAlign w:val="center"/>
          </w:tcPr>
          <w:p>
            <w:pPr>
              <w:spacing w:before="100" w:beforeAutospacing="1" w:after="100" w:afterAutospacing="1"/>
              <w:jc w:val="center"/>
              <w:rPr>
                <w:rFonts w:ascii="宋体" w:hAnsi="宋体"/>
                <w:sz w:val="24"/>
              </w:rPr>
            </w:pPr>
            <w:r>
              <w:rPr>
                <w:rFonts w:hint="eastAsia" w:ascii="宋体" w:hAnsi="宋体"/>
                <w:sz w:val="24"/>
              </w:rPr>
              <w:t>原产地和</w:t>
            </w:r>
          </w:p>
          <w:p>
            <w:pPr>
              <w:spacing w:before="100" w:beforeAutospacing="1" w:after="100" w:afterAutospacing="1"/>
              <w:jc w:val="center"/>
              <w:rPr>
                <w:rFonts w:ascii="宋体" w:hAnsi="宋体"/>
                <w:sz w:val="24"/>
              </w:rPr>
            </w:pPr>
            <w:r>
              <w:rPr>
                <w:rFonts w:hint="eastAsia" w:ascii="宋体" w:hAnsi="宋体"/>
                <w:sz w:val="24"/>
              </w:rPr>
              <w:t>制造商名称</w:t>
            </w:r>
          </w:p>
        </w:tc>
        <w:tc>
          <w:tcPr>
            <w:tcW w:w="720" w:type="dxa"/>
            <w:vAlign w:val="center"/>
          </w:tcPr>
          <w:p>
            <w:pPr>
              <w:spacing w:before="100" w:beforeAutospacing="1" w:after="100" w:afterAutospacing="1"/>
              <w:jc w:val="center"/>
              <w:rPr>
                <w:rFonts w:ascii="宋体" w:hAnsi="宋体"/>
                <w:sz w:val="24"/>
              </w:rPr>
            </w:pPr>
            <w:r>
              <w:rPr>
                <w:rFonts w:hint="eastAsia" w:ascii="宋体" w:hAnsi="宋体"/>
                <w:sz w:val="24"/>
              </w:rPr>
              <w:t>单价</w:t>
            </w:r>
          </w:p>
        </w:tc>
        <w:tc>
          <w:tcPr>
            <w:tcW w:w="900" w:type="dxa"/>
            <w:vAlign w:val="center"/>
          </w:tcPr>
          <w:p>
            <w:pPr>
              <w:spacing w:before="100" w:beforeAutospacing="1" w:after="100" w:afterAutospacing="1"/>
              <w:jc w:val="center"/>
              <w:rPr>
                <w:rFonts w:ascii="宋体" w:hAnsi="宋体"/>
                <w:sz w:val="24"/>
              </w:rPr>
            </w:pPr>
            <w:r>
              <w:rPr>
                <w:rFonts w:hint="eastAsia" w:ascii="宋体" w:hAnsi="宋体"/>
                <w:sz w:val="24"/>
              </w:rPr>
              <w:t>总价</w:t>
            </w:r>
          </w:p>
        </w:tc>
        <w:tc>
          <w:tcPr>
            <w:tcW w:w="720" w:type="dxa"/>
            <w:vAlign w:val="center"/>
          </w:tcPr>
          <w:p>
            <w:pPr>
              <w:spacing w:before="100" w:beforeAutospacing="1" w:after="100" w:afterAutospacing="1"/>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numPr>
                <w:ilvl w:val="0"/>
                <w:numId w:val="15"/>
              </w:numPr>
              <w:spacing w:before="100" w:beforeAutospacing="1" w:after="100" w:afterAutospacing="1"/>
              <w:jc w:val="center"/>
              <w:rPr>
                <w:rFonts w:ascii="宋体" w:hAnsi="宋体"/>
                <w:sz w:val="24"/>
              </w:rPr>
            </w:pPr>
          </w:p>
        </w:tc>
        <w:tc>
          <w:tcPr>
            <w:tcW w:w="2160" w:type="dxa"/>
            <w:vAlign w:val="center"/>
          </w:tcPr>
          <w:p>
            <w:pPr>
              <w:spacing w:before="100" w:beforeAutospacing="1" w:after="100" w:afterAutospacing="1"/>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144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c>
          <w:tcPr>
            <w:tcW w:w="900" w:type="dxa"/>
            <w:vAlign w:val="center"/>
          </w:tcPr>
          <w:p>
            <w:pPr>
              <w:spacing w:before="100" w:beforeAutospacing="1" w:after="100" w:afterAutospacing="1"/>
              <w:jc w:val="center"/>
              <w:rPr>
                <w:rFonts w:ascii="宋体" w:hAnsi="宋体"/>
                <w:sz w:val="24"/>
              </w:rPr>
            </w:pPr>
          </w:p>
        </w:tc>
        <w:tc>
          <w:tcPr>
            <w:tcW w:w="720" w:type="dxa"/>
            <w:vAlign w:val="center"/>
          </w:tcPr>
          <w:p>
            <w:pPr>
              <w:spacing w:before="100" w:beforeAutospacing="1" w:after="100" w:afterAutospacing="1"/>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8" w:type="dxa"/>
            <w:gridSpan w:val="6"/>
            <w:vAlign w:val="center"/>
          </w:tcPr>
          <w:p>
            <w:pPr>
              <w:spacing w:before="100" w:beforeAutospacing="1" w:after="100" w:afterAutospacing="1"/>
              <w:jc w:val="center"/>
              <w:rPr>
                <w:rFonts w:ascii="宋体" w:hAnsi="宋体"/>
                <w:sz w:val="24"/>
              </w:rPr>
            </w:pPr>
            <w:r>
              <w:rPr>
                <w:rFonts w:hint="eastAsia" w:ascii="宋体" w:hAnsi="宋体"/>
                <w:sz w:val="24"/>
              </w:rPr>
              <w:t>总价</w:t>
            </w:r>
          </w:p>
        </w:tc>
        <w:tc>
          <w:tcPr>
            <w:tcW w:w="1620" w:type="dxa"/>
            <w:gridSpan w:val="2"/>
            <w:vAlign w:val="center"/>
          </w:tcPr>
          <w:p>
            <w:pPr>
              <w:spacing w:before="100" w:beforeAutospacing="1" w:after="100" w:afterAutospacing="1"/>
              <w:jc w:val="center"/>
              <w:rPr>
                <w:rFonts w:ascii="宋体" w:hAnsi="宋体"/>
                <w:sz w:val="24"/>
              </w:rPr>
            </w:pPr>
          </w:p>
        </w:tc>
      </w:tr>
    </w:tbl>
    <w:p/>
    <w:p/>
    <w:p>
      <w:r>
        <w:rPr>
          <w:rFonts w:hint="eastAsia"/>
        </w:rPr>
        <w:t>投标人代表签字：</w:t>
      </w:r>
    </w:p>
    <w:p>
      <w:r>
        <w:rPr>
          <w:rFonts w:hint="eastAsia"/>
        </w:rPr>
        <w:t>投标人盖章：</w:t>
      </w:r>
    </w:p>
    <w:p/>
    <w:p>
      <w:r>
        <w:rPr>
          <w:rFonts w:hint="eastAsia"/>
        </w:rPr>
        <w:t>注：1、上述各项的详细分项报价，应另页描述。</w:t>
      </w:r>
    </w:p>
    <w:p>
      <w:pPr>
        <w:ind w:left="718" w:leftChars="200" w:hanging="298" w:hangingChars="142"/>
      </w:pPr>
      <w:r>
        <w:rPr>
          <w:rFonts w:hint="eastAsia"/>
        </w:rPr>
        <w:t>2、详细分项报价必须提供相应的品牌、规格型号、产地、单价、数量、小计、合计等详细信息。</w:t>
      </w:r>
    </w:p>
    <w:p/>
    <w:p>
      <w:pPr>
        <w:rPr>
          <w:rFonts w:ascii="楷体_GB2312" w:eastAsia="楷体_GB2312"/>
          <w:sz w:val="24"/>
        </w:rPr>
      </w:pPr>
      <w:r>
        <w:br w:type="page"/>
      </w:r>
      <w:r>
        <w:rPr>
          <w:rFonts w:hint="eastAsia" w:ascii="楷体_GB2312" w:eastAsia="楷体_GB2312"/>
          <w:sz w:val="24"/>
        </w:rPr>
        <w:t>附件4. 技术方案格式</w:t>
      </w:r>
    </w:p>
    <w:p/>
    <w:p>
      <w:pPr>
        <w:jc w:val="center"/>
        <w:rPr>
          <w:rFonts w:ascii="黑体" w:eastAsia="黑体"/>
          <w:sz w:val="32"/>
          <w:szCs w:val="32"/>
        </w:rPr>
      </w:pPr>
      <w:r>
        <w:rPr>
          <w:rFonts w:hint="eastAsia" w:ascii="黑体" w:eastAsia="黑体"/>
          <w:sz w:val="32"/>
          <w:szCs w:val="32"/>
        </w:rPr>
        <w:t>技术方案</w:t>
      </w:r>
    </w:p>
    <w:p/>
    <w:p>
      <w:pPr>
        <w:ind w:firstLine="420" w:firstLineChars="200"/>
      </w:pPr>
      <w:r>
        <w:rPr>
          <w:rFonts w:hint="eastAsia"/>
        </w:rPr>
        <w:t>一、需求分析。</w:t>
      </w:r>
    </w:p>
    <w:p>
      <w:pPr>
        <w:ind w:firstLine="420" w:firstLineChars="200"/>
      </w:pPr>
      <w:r>
        <w:rPr>
          <w:rFonts w:hint="eastAsia"/>
        </w:rPr>
        <w:t>二、技术说明资料。</w:t>
      </w:r>
    </w:p>
    <w:p>
      <w:pPr>
        <w:ind w:firstLine="420" w:firstLineChars="200"/>
      </w:pPr>
      <w:r>
        <w:rPr>
          <w:rFonts w:hint="eastAsia"/>
        </w:rPr>
        <w:t>本部分内容是投标人根据招标技术需求对其投标技术方案的详细描述，主要包括资源技术说明一览表（附件4－1)及各项资源详细技术性能文件、检验报告（如有需要）等。</w:t>
      </w:r>
    </w:p>
    <w:p>
      <w:pPr>
        <w:ind w:firstLine="420" w:firstLineChars="200"/>
      </w:pPr>
      <w:r>
        <w:rPr>
          <w:rFonts w:hint="eastAsia"/>
        </w:rPr>
        <w:t>三、方案及进度安排。</w:t>
      </w:r>
    </w:p>
    <w:p>
      <w:pPr>
        <w:ind w:firstLine="420" w:firstLineChars="200"/>
      </w:pPr>
      <w:r>
        <w:rPr>
          <w:rFonts w:hint="eastAsia"/>
        </w:rPr>
        <w:t>四、实施本项目的有关人员资料表（附件4－2)。</w:t>
      </w:r>
    </w:p>
    <w:p>
      <w:pPr>
        <w:ind w:firstLine="420" w:firstLineChars="200"/>
        <w:rPr>
          <w:bCs/>
        </w:rPr>
      </w:pPr>
      <w:r>
        <w:rPr>
          <w:rFonts w:hint="eastAsia"/>
        </w:rPr>
        <w:t>五</w:t>
      </w:r>
      <w:r>
        <w:rPr>
          <w:rFonts w:hint="eastAsia"/>
          <w:bCs/>
        </w:rPr>
        <w:t>、提供</w:t>
      </w:r>
      <w:r>
        <w:rPr>
          <w:rFonts w:hint="eastAsia"/>
        </w:rPr>
        <w:t>资源</w:t>
      </w:r>
      <w:r>
        <w:rPr>
          <w:rFonts w:hint="eastAsia"/>
          <w:bCs/>
        </w:rPr>
        <w:t>清单。</w:t>
      </w:r>
    </w:p>
    <w:p>
      <w:pPr>
        <w:ind w:firstLine="420" w:firstLineChars="200"/>
        <w:rPr>
          <w:bCs/>
        </w:rPr>
      </w:pPr>
      <w:r>
        <w:rPr>
          <w:rFonts w:hint="eastAsia"/>
        </w:rPr>
        <w:t>六、招标文件“用户需求书”中要求的其他资料。</w:t>
      </w:r>
    </w:p>
    <w:p>
      <w:pPr>
        <w:ind w:firstLine="420" w:firstLineChars="200"/>
      </w:pPr>
      <w:r>
        <w:rPr>
          <w:rFonts w:hint="eastAsia"/>
          <w:bCs/>
        </w:rPr>
        <w:t>七、其他与技术方案有关的资料。</w:t>
      </w:r>
    </w:p>
    <w:p/>
    <w:p>
      <w:r>
        <w:rPr>
          <w:rFonts w:ascii="楷体_GB2312" w:eastAsia="楷体_GB2312"/>
          <w:sz w:val="24"/>
        </w:rPr>
        <w:br w:type="page"/>
      </w:r>
    </w:p>
    <w:p/>
    <w:p>
      <w:pPr>
        <w:rPr>
          <w:rFonts w:ascii="楷体_GB2312" w:eastAsia="楷体_GB2312"/>
          <w:sz w:val="24"/>
        </w:rPr>
      </w:pPr>
      <w:r>
        <w:rPr>
          <w:rFonts w:hint="eastAsia" w:ascii="楷体_GB2312" w:eastAsia="楷体_GB2312"/>
          <w:sz w:val="24"/>
        </w:rPr>
        <w:t>附件4－1.</w:t>
      </w:r>
      <w:r>
        <w:rPr>
          <w:rFonts w:hint="eastAsia"/>
        </w:rPr>
        <w:t xml:space="preserve"> </w:t>
      </w:r>
      <w:r>
        <w:rPr>
          <w:rFonts w:hint="eastAsia" w:ascii="楷体_GB2312" w:eastAsia="楷体_GB2312"/>
          <w:sz w:val="24"/>
        </w:rPr>
        <w:t>实施本项目的有关人员资料表格式</w:t>
      </w:r>
    </w:p>
    <w:p/>
    <w:p>
      <w:pPr>
        <w:jc w:val="center"/>
        <w:rPr>
          <w:rFonts w:ascii="黑体" w:eastAsia="黑体"/>
          <w:sz w:val="28"/>
          <w:szCs w:val="28"/>
        </w:rPr>
      </w:pPr>
      <w:r>
        <w:rPr>
          <w:rFonts w:hint="eastAsia" w:ascii="黑体" w:eastAsia="黑体"/>
          <w:sz w:val="28"/>
          <w:szCs w:val="28"/>
        </w:rPr>
        <w:t>实施本项目的有关人员资料表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084"/>
        <w:gridCol w:w="886"/>
        <w:gridCol w:w="134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vAlign w:val="center"/>
          </w:tcPr>
          <w:p>
            <w:pPr>
              <w:jc w:val="center"/>
            </w:pPr>
            <w:r>
              <w:rPr>
                <w:rFonts w:hint="eastAsia"/>
              </w:rPr>
              <w:t>序号</w:t>
            </w:r>
          </w:p>
        </w:tc>
        <w:tc>
          <w:tcPr>
            <w:tcW w:w="834" w:type="dxa"/>
            <w:vMerge w:val="restart"/>
            <w:vAlign w:val="center"/>
          </w:tcPr>
          <w:p>
            <w:pPr>
              <w:jc w:val="center"/>
            </w:pPr>
            <w:r>
              <w:rPr>
                <w:rFonts w:hint="eastAsia"/>
              </w:rPr>
              <w:t>姓名</w:t>
            </w:r>
          </w:p>
        </w:tc>
        <w:tc>
          <w:tcPr>
            <w:tcW w:w="835" w:type="dxa"/>
            <w:vMerge w:val="restart"/>
            <w:vAlign w:val="center"/>
          </w:tcPr>
          <w:p>
            <w:pPr>
              <w:jc w:val="center"/>
            </w:pPr>
            <w:r>
              <w:rPr>
                <w:rFonts w:hint="eastAsia"/>
              </w:rPr>
              <w:t>职务</w:t>
            </w:r>
          </w:p>
        </w:tc>
        <w:tc>
          <w:tcPr>
            <w:tcW w:w="818" w:type="dxa"/>
            <w:vMerge w:val="restart"/>
            <w:vAlign w:val="center"/>
          </w:tcPr>
          <w:p>
            <w:pPr>
              <w:jc w:val="center"/>
            </w:pPr>
            <w:r>
              <w:rPr>
                <w:rFonts w:hint="eastAsia"/>
              </w:rPr>
              <w:t>学历</w:t>
            </w:r>
          </w:p>
        </w:tc>
        <w:tc>
          <w:tcPr>
            <w:tcW w:w="835" w:type="dxa"/>
            <w:vMerge w:val="restart"/>
            <w:vAlign w:val="center"/>
          </w:tcPr>
          <w:p>
            <w:pPr>
              <w:jc w:val="center"/>
            </w:pPr>
            <w:r>
              <w:rPr>
                <w:rFonts w:hint="eastAsia"/>
              </w:rPr>
              <w:t>职称</w:t>
            </w:r>
          </w:p>
        </w:tc>
        <w:tc>
          <w:tcPr>
            <w:tcW w:w="4708" w:type="dxa"/>
            <w:gridSpan w:val="4"/>
            <w:vAlign w:val="center"/>
          </w:tcPr>
          <w:p>
            <w:pPr>
              <w:jc w:val="center"/>
            </w:pPr>
            <w:r>
              <w:rPr>
                <w:rFonts w:hint="eastAsia"/>
              </w:rPr>
              <w:t>上岗资格证明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vAlign w:val="center"/>
          </w:tcPr>
          <w:p>
            <w:pPr>
              <w:jc w:val="center"/>
            </w:pPr>
          </w:p>
        </w:tc>
        <w:tc>
          <w:tcPr>
            <w:tcW w:w="834" w:type="dxa"/>
            <w:vMerge w:val="continue"/>
            <w:vAlign w:val="center"/>
          </w:tcPr>
          <w:p>
            <w:pPr>
              <w:jc w:val="center"/>
            </w:pPr>
          </w:p>
        </w:tc>
        <w:tc>
          <w:tcPr>
            <w:tcW w:w="835" w:type="dxa"/>
            <w:vMerge w:val="continue"/>
            <w:vAlign w:val="center"/>
          </w:tcPr>
          <w:p>
            <w:pPr>
              <w:jc w:val="center"/>
            </w:pPr>
          </w:p>
        </w:tc>
        <w:tc>
          <w:tcPr>
            <w:tcW w:w="818" w:type="dxa"/>
            <w:vMerge w:val="continue"/>
            <w:vAlign w:val="center"/>
          </w:tcPr>
          <w:p>
            <w:pPr>
              <w:jc w:val="center"/>
            </w:pPr>
          </w:p>
        </w:tc>
        <w:tc>
          <w:tcPr>
            <w:tcW w:w="835" w:type="dxa"/>
            <w:vMerge w:val="continue"/>
            <w:vAlign w:val="center"/>
          </w:tcPr>
          <w:p>
            <w:pPr>
              <w:jc w:val="center"/>
            </w:pPr>
          </w:p>
        </w:tc>
        <w:tc>
          <w:tcPr>
            <w:tcW w:w="1084" w:type="dxa"/>
            <w:vAlign w:val="center"/>
          </w:tcPr>
          <w:p>
            <w:pPr>
              <w:jc w:val="center"/>
            </w:pPr>
            <w:r>
              <w:rPr>
                <w:rFonts w:hint="eastAsia"/>
              </w:rPr>
              <w:t>证书名称</w:t>
            </w:r>
          </w:p>
        </w:tc>
        <w:tc>
          <w:tcPr>
            <w:tcW w:w="886" w:type="dxa"/>
            <w:vAlign w:val="center"/>
          </w:tcPr>
          <w:p>
            <w:pPr>
              <w:jc w:val="center"/>
            </w:pPr>
            <w:r>
              <w:rPr>
                <w:rFonts w:hint="eastAsia"/>
              </w:rPr>
              <w:t>级别</w:t>
            </w:r>
          </w:p>
        </w:tc>
        <w:tc>
          <w:tcPr>
            <w:tcW w:w="1346" w:type="dxa"/>
            <w:vAlign w:val="center"/>
          </w:tcPr>
          <w:p>
            <w:pPr>
              <w:jc w:val="center"/>
            </w:pPr>
            <w:r>
              <w:rPr>
                <w:rFonts w:hint="eastAsia"/>
              </w:rPr>
              <w:t>证号</w:t>
            </w:r>
          </w:p>
        </w:tc>
        <w:tc>
          <w:tcPr>
            <w:tcW w:w="1392" w:type="dxa"/>
            <w:vAlign w:val="center"/>
          </w:tcPr>
          <w:p>
            <w:pPr>
              <w:jc w:val="center"/>
            </w:pP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jc w:val="center"/>
            </w:pPr>
          </w:p>
        </w:tc>
        <w:tc>
          <w:tcPr>
            <w:tcW w:w="834" w:type="dxa"/>
            <w:vAlign w:val="center"/>
          </w:tcPr>
          <w:p>
            <w:pPr>
              <w:jc w:val="center"/>
            </w:pPr>
          </w:p>
        </w:tc>
        <w:tc>
          <w:tcPr>
            <w:tcW w:w="835" w:type="dxa"/>
            <w:vAlign w:val="center"/>
          </w:tcPr>
          <w:p>
            <w:pPr>
              <w:jc w:val="center"/>
            </w:pPr>
          </w:p>
        </w:tc>
        <w:tc>
          <w:tcPr>
            <w:tcW w:w="818" w:type="dxa"/>
            <w:vAlign w:val="center"/>
          </w:tcPr>
          <w:p>
            <w:pPr>
              <w:jc w:val="center"/>
            </w:pPr>
          </w:p>
        </w:tc>
        <w:tc>
          <w:tcPr>
            <w:tcW w:w="835" w:type="dxa"/>
            <w:vAlign w:val="center"/>
          </w:tcPr>
          <w:p>
            <w:pPr>
              <w:jc w:val="center"/>
            </w:pPr>
          </w:p>
        </w:tc>
        <w:tc>
          <w:tcPr>
            <w:tcW w:w="1084" w:type="dxa"/>
            <w:vAlign w:val="center"/>
          </w:tcPr>
          <w:p>
            <w:pPr>
              <w:jc w:val="center"/>
            </w:pPr>
          </w:p>
        </w:tc>
        <w:tc>
          <w:tcPr>
            <w:tcW w:w="886" w:type="dxa"/>
            <w:vAlign w:val="center"/>
          </w:tcPr>
          <w:p>
            <w:pPr>
              <w:jc w:val="center"/>
            </w:pPr>
          </w:p>
        </w:tc>
        <w:tc>
          <w:tcPr>
            <w:tcW w:w="1346" w:type="dxa"/>
            <w:vAlign w:val="center"/>
          </w:tcPr>
          <w:p>
            <w:pPr>
              <w:jc w:val="center"/>
            </w:pPr>
          </w:p>
        </w:tc>
        <w:tc>
          <w:tcPr>
            <w:tcW w:w="1392" w:type="dxa"/>
            <w:vAlign w:val="center"/>
          </w:tcPr>
          <w:p>
            <w:pPr>
              <w:jc w:val="center"/>
            </w:pPr>
          </w:p>
        </w:tc>
      </w:tr>
    </w:tbl>
    <w:p>
      <w:r>
        <w:rPr>
          <w:rFonts w:hint="eastAsia"/>
        </w:rPr>
        <w:t>附有关个人资格证书、上岗证书等证明文件（复印件加盖公章）</w:t>
      </w:r>
    </w:p>
    <w:p/>
    <w:p>
      <w:r>
        <w:rPr>
          <w:rFonts w:hint="eastAsia"/>
        </w:rPr>
        <w:t>投标人代表签字：</w:t>
      </w:r>
    </w:p>
    <w:p>
      <w:r>
        <w:rPr>
          <w:rFonts w:hint="eastAsia"/>
        </w:rPr>
        <w:t>投标人盖章：</w:t>
      </w:r>
    </w:p>
    <w:p/>
    <w:p/>
    <w:p>
      <w:pPr>
        <w:rPr>
          <w:rStyle w:val="36"/>
        </w:rPr>
      </w:pPr>
      <w:r>
        <w:br w:type="page"/>
      </w:r>
      <w:r>
        <w:rPr>
          <w:rFonts w:hint="eastAsia" w:ascii="楷体_GB2312" w:eastAsia="楷体_GB2312"/>
          <w:sz w:val="24"/>
        </w:rPr>
        <w:t>附件5.售后服务方案格式</w:t>
      </w:r>
    </w:p>
    <w:p>
      <w:pPr>
        <w:pStyle w:val="12"/>
        <w:adjustRightInd w:val="0"/>
        <w:snapToGrid w:val="0"/>
        <w:spacing w:line="312" w:lineRule="auto"/>
        <w:rPr>
          <w:rFonts w:ascii="Times New Roman" w:hAnsi="Times New Roman"/>
          <w:sz w:val="21"/>
        </w:rPr>
      </w:pPr>
    </w:p>
    <w:p>
      <w:pPr>
        <w:jc w:val="center"/>
        <w:rPr>
          <w:rFonts w:ascii="黑体" w:eastAsia="黑体"/>
          <w:sz w:val="32"/>
          <w:szCs w:val="32"/>
        </w:rPr>
      </w:pPr>
      <w:r>
        <w:rPr>
          <w:rFonts w:hint="eastAsia" w:ascii="黑体" w:eastAsia="黑体"/>
          <w:sz w:val="32"/>
          <w:szCs w:val="32"/>
        </w:rPr>
        <w:t>售后服务方案</w:t>
      </w:r>
    </w:p>
    <w:p>
      <w:pPr>
        <w:jc w:val="center"/>
      </w:pPr>
    </w:p>
    <w:p>
      <w:r>
        <w:rPr>
          <w:rFonts w:hint="eastAsia"/>
        </w:rPr>
        <w:t>一、售后服务部门的人员配备、技术力量</w:t>
      </w:r>
    </w:p>
    <w:p>
      <w:r>
        <w:rPr>
          <w:rFonts w:hint="eastAsia"/>
        </w:rPr>
        <w:t>二、技术培训方案</w:t>
      </w:r>
    </w:p>
    <w:p>
      <w:r>
        <w:rPr>
          <w:rFonts w:hint="eastAsia"/>
        </w:rPr>
        <w:t>三、技术支持计划</w:t>
      </w:r>
    </w:p>
    <w:p>
      <w:r>
        <w:rPr>
          <w:rFonts w:hint="eastAsia"/>
        </w:rPr>
        <w:t>四、故障响应时间</w:t>
      </w:r>
    </w:p>
    <w:p>
      <w:pPr>
        <w:rPr>
          <w:snapToGrid w:val="0"/>
          <w:kern w:val="0"/>
        </w:rPr>
      </w:pPr>
      <w:r>
        <w:rPr>
          <w:rFonts w:hint="eastAsia"/>
        </w:rPr>
        <w:t>五、其他</w:t>
      </w:r>
    </w:p>
    <w:p>
      <w:pPr>
        <w:adjustRightInd w:val="0"/>
        <w:snapToGrid w:val="0"/>
        <w:spacing w:line="360" w:lineRule="auto"/>
        <w:rPr>
          <w:snapToGrid w:val="0"/>
          <w:kern w:val="0"/>
        </w:rPr>
      </w:pPr>
    </w:p>
    <w:p>
      <w:pPr>
        <w:adjustRightInd w:val="0"/>
        <w:snapToGrid w:val="0"/>
        <w:spacing w:line="360" w:lineRule="auto"/>
        <w:rPr>
          <w:snapToGrid w:val="0"/>
          <w:kern w:val="0"/>
        </w:rPr>
      </w:pPr>
    </w:p>
    <w:p>
      <w:r>
        <w:rPr>
          <w:rFonts w:hint="eastAsia"/>
        </w:rPr>
        <w:t>投标人代表签字：</w:t>
      </w:r>
    </w:p>
    <w:p>
      <w:r>
        <w:rPr>
          <w:rFonts w:hint="eastAsia"/>
        </w:rPr>
        <w:t>投标人盖章：</w:t>
      </w:r>
    </w:p>
    <w:p/>
    <w:p>
      <w:r>
        <w:br w:type="page"/>
      </w:r>
      <w:r>
        <w:rPr>
          <w:rFonts w:hint="eastAsia" w:ascii="楷体_GB2312" w:eastAsia="楷体_GB2312"/>
          <w:sz w:val="24"/>
        </w:rPr>
        <w:t>附件6. 技术规格偏离表格式</w:t>
      </w:r>
    </w:p>
    <w:p/>
    <w:p>
      <w:pPr>
        <w:jc w:val="center"/>
        <w:rPr>
          <w:rFonts w:ascii="黑体" w:eastAsia="黑体"/>
          <w:sz w:val="32"/>
          <w:szCs w:val="32"/>
        </w:rPr>
      </w:pPr>
      <w:r>
        <w:rPr>
          <w:rFonts w:hint="eastAsia" w:ascii="黑体" w:eastAsia="黑体"/>
          <w:sz w:val="32"/>
          <w:szCs w:val="32"/>
        </w:rPr>
        <w:t>技术规格偏离表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84"/>
        <w:gridCol w:w="1484"/>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r>
              <w:rPr>
                <w:rFonts w:hint="eastAsia"/>
              </w:rPr>
              <w:t>序号</w:t>
            </w:r>
          </w:p>
        </w:tc>
        <w:tc>
          <w:tcPr>
            <w:tcW w:w="1884" w:type="dxa"/>
            <w:vAlign w:val="center"/>
          </w:tcPr>
          <w:p>
            <w:pPr>
              <w:jc w:val="center"/>
            </w:pPr>
            <w:r>
              <w:rPr>
                <w:rFonts w:hint="eastAsia"/>
              </w:rPr>
              <w:t>技术要求</w:t>
            </w:r>
          </w:p>
        </w:tc>
        <w:tc>
          <w:tcPr>
            <w:tcW w:w="1484" w:type="dxa"/>
            <w:vAlign w:val="center"/>
          </w:tcPr>
          <w:p>
            <w:pPr>
              <w:jc w:val="center"/>
            </w:pPr>
            <w:r>
              <w:rPr>
                <w:rFonts w:hint="eastAsia"/>
              </w:rPr>
              <w:t>偏离</w:t>
            </w:r>
          </w:p>
        </w:tc>
        <w:tc>
          <w:tcPr>
            <w:tcW w:w="1530"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jc w:val="center"/>
            </w:pPr>
          </w:p>
        </w:tc>
        <w:tc>
          <w:tcPr>
            <w:tcW w:w="1884" w:type="dxa"/>
            <w:vAlign w:val="center"/>
          </w:tcPr>
          <w:p>
            <w:pPr>
              <w:jc w:val="center"/>
            </w:pPr>
          </w:p>
        </w:tc>
        <w:tc>
          <w:tcPr>
            <w:tcW w:w="1484" w:type="dxa"/>
            <w:vAlign w:val="center"/>
          </w:tcPr>
          <w:p>
            <w:pPr>
              <w:jc w:val="center"/>
            </w:pPr>
          </w:p>
        </w:tc>
        <w:tc>
          <w:tcPr>
            <w:tcW w:w="1530" w:type="dxa"/>
            <w:vAlign w:val="center"/>
          </w:tcPr>
          <w:p>
            <w:pPr>
              <w:jc w:val="center"/>
            </w:pPr>
          </w:p>
        </w:tc>
      </w:tr>
    </w:tbl>
    <w:p/>
    <w:p>
      <w:r>
        <w:rPr>
          <w:rFonts w:hint="eastAsia"/>
        </w:rPr>
        <w:t>投标人代表签字：</w:t>
      </w:r>
    </w:p>
    <w:p>
      <w:r>
        <w:rPr>
          <w:rFonts w:hint="eastAsia"/>
        </w:rPr>
        <w:t>投标人盖章：</w:t>
      </w:r>
    </w:p>
    <w:p/>
    <w:p>
      <w:r>
        <w:rPr>
          <w:rFonts w:hint="eastAsia"/>
        </w:rPr>
        <w:t>注：1、偏离项中填写“正”、“负”或“无”，说明项中填写原因。</w:t>
      </w:r>
    </w:p>
    <w:p>
      <w:pPr>
        <w:ind w:left="718" w:leftChars="200" w:hanging="298" w:hangingChars="142"/>
      </w:pPr>
      <w:r>
        <w:rPr>
          <w:rFonts w:hint="eastAsia"/>
        </w:rPr>
        <w:t>2、投标人应对照招标文件技术规格，说明所提供货物和服务已对招标文件的技术规格做出了实质性的响应，并申明与技术规格条文的偏差和例外。特别对有具体参数要求的指标，投标人必须提供所投设备的具体参数值。</w:t>
      </w:r>
    </w:p>
    <w:p>
      <w:r>
        <w:br w:type="page"/>
      </w:r>
      <w:r>
        <w:rPr>
          <w:rFonts w:hint="eastAsia" w:ascii="楷体_GB2312" w:eastAsia="楷体_GB2312"/>
          <w:sz w:val="24"/>
        </w:rPr>
        <w:t>附件7. 商务条款偏离表格式</w:t>
      </w:r>
    </w:p>
    <w:p/>
    <w:p>
      <w:pPr>
        <w:jc w:val="center"/>
        <w:rPr>
          <w:rFonts w:ascii="黑体" w:eastAsia="黑体"/>
          <w:sz w:val="32"/>
          <w:szCs w:val="32"/>
        </w:rPr>
      </w:pPr>
      <w:r>
        <w:rPr>
          <w:rFonts w:hint="eastAsia" w:ascii="黑体" w:eastAsia="黑体"/>
          <w:sz w:val="32"/>
          <w:szCs w:val="32"/>
        </w:rPr>
        <w:t>商务条款偏离表</w:t>
      </w:r>
    </w:p>
    <w:p/>
    <w:p>
      <w:r>
        <w:rPr>
          <w:rFonts w:hint="eastAsia"/>
        </w:rPr>
        <w:t>投标人名称：</w:t>
      </w:r>
      <w:r>
        <w:rPr>
          <w:rFonts w:hint="eastAsia"/>
          <w:u w:val="single"/>
        </w:rPr>
        <w:t>　　　　　　　　　　</w:t>
      </w:r>
      <w:r>
        <w:rPr>
          <w:rFonts w:hint="eastAsia"/>
        </w:rPr>
        <w:t>　　招标编号：</w:t>
      </w:r>
      <w:r>
        <w:rPr>
          <w:rFonts w:hint="eastAsia"/>
          <w:u w:val="single"/>
        </w:rPr>
        <w:t>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837"/>
        <w:gridCol w:w="1942"/>
        <w:gridCol w:w="145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r>
              <w:rPr>
                <w:rFonts w:hint="eastAsia"/>
              </w:rPr>
              <w:t>序号</w:t>
            </w:r>
          </w:p>
        </w:tc>
        <w:tc>
          <w:tcPr>
            <w:tcW w:w="2837" w:type="dxa"/>
            <w:vAlign w:val="center"/>
          </w:tcPr>
          <w:p>
            <w:pPr>
              <w:jc w:val="center"/>
            </w:pPr>
            <w:r>
              <w:rPr>
                <w:rFonts w:hint="eastAsia"/>
              </w:rPr>
              <w:t>招标文件商务条款</w:t>
            </w:r>
          </w:p>
        </w:tc>
        <w:tc>
          <w:tcPr>
            <w:tcW w:w="1942" w:type="dxa"/>
            <w:vAlign w:val="center"/>
          </w:tcPr>
          <w:p>
            <w:pPr>
              <w:jc w:val="center"/>
            </w:pPr>
            <w:r>
              <w:rPr>
                <w:rFonts w:hint="eastAsia"/>
              </w:rPr>
              <w:t>投标文件商务条款</w:t>
            </w:r>
          </w:p>
        </w:tc>
        <w:tc>
          <w:tcPr>
            <w:tcW w:w="1451" w:type="dxa"/>
          </w:tcPr>
          <w:p>
            <w:pPr>
              <w:jc w:val="center"/>
            </w:pPr>
            <w:r>
              <w:rPr>
                <w:rFonts w:hint="eastAsia"/>
              </w:rPr>
              <w:t>偏离</w:t>
            </w:r>
          </w:p>
        </w:tc>
        <w:tc>
          <w:tcPr>
            <w:tcW w:w="1449" w:type="dxa"/>
            <w:vAlign w:val="center"/>
          </w:tcPr>
          <w:p>
            <w:pPr>
              <w:jc w:val="center"/>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pPr>
          </w:p>
        </w:tc>
        <w:tc>
          <w:tcPr>
            <w:tcW w:w="2837" w:type="dxa"/>
            <w:vAlign w:val="center"/>
          </w:tcPr>
          <w:p>
            <w:pPr>
              <w:jc w:val="center"/>
            </w:pPr>
          </w:p>
        </w:tc>
        <w:tc>
          <w:tcPr>
            <w:tcW w:w="1942" w:type="dxa"/>
            <w:vAlign w:val="center"/>
          </w:tcPr>
          <w:p>
            <w:pPr>
              <w:jc w:val="center"/>
            </w:pPr>
          </w:p>
        </w:tc>
        <w:tc>
          <w:tcPr>
            <w:tcW w:w="1451" w:type="dxa"/>
          </w:tcPr>
          <w:p>
            <w:pPr>
              <w:jc w:val="center"/>
            </w:pPr>
          </w:p>
        </w:tc>
        <w:tc>
          <w:tcPr>
            <w:tcW w:w="1449" w:type="dxa"/>
            <w:vAlign w:val="center"/>
          </w:tcPr>
          <w:p>
            <w:pPr>
              <w:jc w:val="center"/>
            </w:pPr>
          </w:p>
        </w:tc>
      </w:tr>
    </w:tbl>
    <w:p/>
    <w:p/>
    <w:p>
      <w:r>
        <w:rPr>
          <w:rFonts w:hint="eastAsia"/>
        </w:rPr>
        <w:t>投标人代表签字：</w:t>
      </w:r>
    </w:p>
    <w:p>
      <w:r>
        <w:rPr>
          <w:rFonts w:hint="eastAsia"/>
        </w:rPr>
        <w:t>投标人盖章：</w:t>
      </w:r>
    </w:p>
    <w:p/>
    <w:p/>
    <w:p>
      <w:pPr>
        <w:ind w:left="718" w:hanging="718" w:hangingChars="342"/>
      </w:pPr>
      <w:r>
        <w:rPr>
          <w:rFonts w:hint="eastAsia"/>
        </w:rPr>
        <w:t>注：1、投标人应对照招标文件商务要求，说明已对招标文件的商务内容做出了实质性的响应，并申明与招标文件的偏差和例外。</w:t>
      </w:r>
    </w:p>
    <w:p>
      <w:pPr>
        <w:ind w:left="719" w:leftChars="170" w:hanging="362"/>
      </w:pPr>
      <w:r>
        <w:rPr>
          <w:rFonts w:hint="eastAsia"/>
        </w:rPr>
        <w:t>2、商务条款包括但不限于合格投标人条件、交货期（完工期)、付款方式、履约保证金、货物安装调试、售后服务、检验及验收、产品配送地点、质保期、保险、争端的解决等要求。</w:t>
      </w:r>
    </w:p>
    <w:p/>
    <w:p>
      <w:r>
        <w:br w:type="page"/>
      </w:r>
      <w:r>
        <w:rPr>
          <w:rFonts w:hint="eastAsia" w:ascii="楷体_GB2312" w:eastAsia="楷体_GB2312"/>
          <w:sz w:val="24"/>
        </w:rPr>
        <w:t>附件8. 资格证明文件格式</w:t>
      </w:r>
    </w:p>
    <w:p/>
    <w:p>
      <w:pPr>
        <w:jc w:val="center"/>
        <w:rPr>
          <w:rFonts w:ascii="黑体" w:eastAsia="黑体"/>
          <w:sz w:val="24"/>
        </w:rPr>
      </w:pPr>
      <w:r>
        <w:rPr>
          <w:rFonts w:hint="eastAsia" w:ascii="黑体" w:eastAsia="黑体"/>
          <w:sz w:val="24"/>
        </w:rPr>
        <w:t>目　录</w:t>
      </w:r>
    </w:p>
    <w:p/>
    <w:p>
      <w:r>
        <w:rPr>
          <w:rFonts w:hint="eastAsia"/>
        </w:rPr>
        <w:t>一、关于资格的声明函（附件8-1）</w:t>
      </w:r>
    </w:p>
    <w:p>
      <w:r>
        <w:rPr>
          <w:rFonts w:hint="eastAsia"/>
        </w:rPr>
        <w:t>二、法定代表人证明书（附件8-2）</w:t>
      </w:r>
    </w:p>
    <w:p>
      <w:r>
        <w:rPr>
          <w:rFonts w:hint="eastAsia"/>
        </w:rPr>
        <w:t>三、法定代表人授权书（附件8-3）</w:t>
      </w:r>
    </w:p>
    <w:p>
      <w:r>
        <w:rPr>
          <w:rFonts w:hint="eastAsia"/>
        </w:rPr>
        <w:t>四、</w:t>
      </w:r>
      <w:r>
        <w:t>营业执照副本</w:t>
      </w:r>
      <w:r>
        <w:rPr>
          <w:rFonts w:hint="eastAsia"/>
        </w:rPr>
        <w:t>、税务登记证及投标资料表要求的有关资质证书</w:t>
      </w:r>
    </w:p>
    <w:p>
      <w:r>
        <w:rPr>
          <w:rFonts w:hint="eastAsia"/>
        </w:rPr>
        <w:t>五、经营业绩证明材料（附件8-4）</w:t>
      </w:r>
    </w:p>
    <w:p>
      <w:r>
        <w:rPr>
          <w:rFonts w:hint="eastAsia"/>
        </w:rPr>
        <w:t>六、招标文件要求的其他资格证明材料</w:t>
      </w:r>
    </w:p>
    <w:p/>
    <w:p/>
    <w:p>
      <w:r>
        <w:rPr>
          <w:rFonts w:hint="eastAsia"/>
        </w:rPr>
        <w:t>注：1、资格证明文件中属复印件的须加盖投标单位公章。</w:t>
      </w:r>
    </w:p>
    <w:p>
      <w:pPr>
        <w:ind w:firstLine="422" w:firstLineChars="200"/>
        <w:rPr>
          <w:b/>
        </w:rPr>
      </w:pPr>
      <w:r>
        <w:rPr>
          <w:rFonts w:hint="eastAsia"/>
          <w:b/>
        </w:rPr>
        <w:t>2、温馨提示：请投标人仔细核对投标文件，确认已按招标文件要求递交了全部证明材料。</w:t>
      </w:r>
    </w:p>
    <w:p>
      <w:r>
        <w:br w:type="page"/>
      </w:r>
      <w:r>
        <w:rPr>
          <w:rFonts w:hint="eastAsia" w:ascii="楷体_GB2312" w:eastAsia="楷体_GB2312"/>
          <w:sz w:val="24"/>
        </w:rPr>
        <w:t>附件8-1 资格声明格式　</w:t>
      </w:r>
    </w:p>
    <w:p/>
    <w:p>
      <w:pPr>
        <w:jc w:val="center"/>
        <w:rPr>
          <w:rFonts w:ascii="黑体" w:eastAsia="黑体"/>
          <w:sz w:val="28"/>
          <w:szCs w:val="28"/>
        </w:rPr>
      </w:pPr>
      <w:r>
        <w:rPr>
          <w:rFonts w:hint="eastAsia" w:ascii="黑体" w:eastAsia="黑体"/>
          <w:sz w:val="28"/>
          <w:szCs w:val="28"/>
        </w:rPr>
        <w:t>关于资格的声明函</w:t>
      </w:r>
    </w:p>
    <w:p/>
    <w:p>
      <w:pPr>
        <w:jc w:val="left"/>
        <w:rPr>
          <w:rFonts w:hint="eastAsia" w:eastAsia="宋体"/>
          <w:b/>
          <w:sz w:val="28"/>
          <w:szCs w:val="28"/>
          <w:lang w:eastAsia="zh-CN"/>
        </w:rPr>
      </w:pPr>
      <w:r>
        <w:rPr>
          <w:rFonts w:hint="eastAsia"/>
        </w:rPr>
        <w:t>致：</w:t>
      </w:r>
      <w:r>
        <w:rPr>
          <w:rFonts w:hint="eastAsia"/>
          <w:lang w:eastAsia="zh-CN"/>
        </w:rPr>
        <w:t>深圳市设计之都运营发展有限公司</w:t>
      </w:r>
    </w:p>
    <w:p/>
    <w:p/>
    <w:p>
      <w:pPr>
        <w:ind w:firstLine="420" w:firstLineChars="200"/>
      </w:pPr>
      <w:r>
        <w:rPr>
          <w:rFonts w:hint="eastAsia"/>
        </w:rPr>
        <w:t>为响应你方</w:t>
      </w:r>
      <w:r>
        <w:rPr>
          <w:rFonts w:hint="eastAsia"/>
          <w:i/>
          <w:u w:val="single"/>
        </w:rPr>
        <w:t>（项目名称）（招标编号）</w:t>
      </w:r>
      <w:r>
        <w:rPr>
          <w:rFonts w:hint="eastAsia"/>
        </w:rPr>
        <w:t>投标邀请，下述签字人愿参与投标，提供招标文件规定的货物及服务，提交下述文件并声明全部说明是真实的和正确的。</w:t>
      </w:r>
    </w:p>
    <w:p>
      <w:pPr>
        <w:ind w:firstLine="420" w:firstLineChars="200"/>
      </w:pPr>
      <w:r>
        <w:rPr>
          <w:rFonts w:hint="eastAsia"/>
        </w:rPr>
        <w:t>1、我方投标代表的授权文件一份。</w:t>
      </w:r>
    </w:p>
    <w:p>
      <w:pPr>
        <w:ind w:firstLine="420" w:firstLineChars="200"/>
      </w:pPr>
      <w:r>
        <w:rPr>
          <w:rFonts w:hint="eastAsia"/>
        </w:rPr>
        <w:t>2、</w:t>
      </w:r>
      <w:r>
        <w:t>我</w:t>
      </w:r>
      <w:r>
        <w:rPr>
          <w:rFonts w:hint="eastAsia"/>
        </w:rPr>
        <w:t>方</w:t>
      </w:r>
      <w:r>
        <w:t>营业执照副本</w:t>
      </w:r>
      <w:r>
        <w:rPr>
          <w:rFonts w:hint="eastAsia"/>
        </w:rPr>
        <w:t>及资质证书</w:t>
      </w:r>
      <w:r>
        <w:t>复印件（加盖公章)</w:t>
      </w:r>
      <w:r>
        <w:rPr>
          <w:rFonts w:hint="eastAsia"/>
          <w:u w:val="single"/>
        </w:rPr>
        <w:t xml:space="preserve">    </w:t>
      </w:r>
      <w:r>
        <w:rPr>
          <w:rFonts w:hint="eastAsia"/>
        </w:rPr>
        <w:t>份，共</w:t>
      </w:r>
      <w:r>
        <w:rPr>
          <w:rFonts w:hint="eastAsia"/>
          <w:u w:val="single"/>
        </w:rPr>
        <w:t xml:space="preserve">    </w:t>
      </w:r>
      <w:r>
        <w:rPr>
          <w:rFonts w:hint="eastAsia"/>
        </w:rPr>
        <w:t>页。</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r>
              <w:rPr>
                <w:rFonts w:hint="eastAsia"/>
              </w:rPr>
              <w:t>序号</w:t>
            </w:r>
          </w:p>
        </w:tc>
        <w:tc>
          <w:tcPr>
            <w:tcW w:w="1800" w:type="dxa"/>
            <w:tcBorders>
              <w:top w:val="single" w:color="auto" w:sz="6" w:space="0"/>
              <w:left w:val="single" w:color="auto" w:sz="6" w:space="0"/>
              <w:bottom w:val="single" w:color="auto" w:sz="6" w:space="0"/>
              <w:right w:val="single" w:color="auto" w:sz="6" w:space="0"/>
            </w:tcBorders>
          </w:tcPr>
          <w:p>
            <w:pPr>
              <w:jc w:val="center"/>
            </w:pPr>
            <w:r>
              <w:rPr>
                <w:rFonts w:hint="eastAsia"/>
              </w:rPr>
              <w:t>证书名称</w:t>
            </w:r>
          </w:p>
        </w:tc>
        <w:tc>
          <w:tcPr>
            <w:tcW w:w="1440" w:type="dxa"/>
            <w:tcBorders>
              <w:top w:val="single" w:color="auto" w:sz="6" w:space="0"/>
              <w:left w:val="single" w:color="auto" w:sz="6" w:space="0"/>
              <w:bottom w:val="single" w:color="auto" w:sz="6" w:space="0"/>
              <w:right w:val="single" w:color="auto" w:sz="6" w:space="0"/>
            </w:tcBorders>
          </w:tcPr>
          <w:p>
            <w:pPr>
              <w:jc w:val="center"/>
            </w:pPr>
            <w:r>
              <w:rPr>
                <w:rFonts w:hint="eastAsia"/>
              </w:rPr>
              <w:t>发证机构</w:t>
            </w:r>
          </w:p>
        </w:tc>
        <w:tc>
          <w:tcPr>
            <w:tcW w:w="1260" w:type="dxa"/>
            <w:tcBorders>
              <w:top w:val="single" w:color="auto" w:sz="6" w:space="0"/>
              <w:left w:val="single" w:color="auto" w:sz="6" w:space="0"/>
              <w:bottom w:val="single" w:color="auto" w:sz="6" w:space="0"/>
              <w:right w:val="single" w:color="auto" w:sz="6" w:space="0"/>
            </w:tcBorders>
          </w:tcPr>
          <w:p>
            <w:pPr>
              <w:jc w:val="center"/>
            </w:pPr>
            <w:r>
              <w:rPr>
                <w:rFonts w:hint="eastAsia"/>
              </w:rPr>
              <w:t>证书等级</w:t>
            </w:r>
          </w:p>
        </w:tc>
        <w:tc>
          <w:tcPr>
            <w:tcW w:w="1401" w:type="dxa"/>
            <w:tcBorders>
              <w:top w:val="single" w:color="auto" w:sz="6" w:space="0"/>
              <w:left w:val="single" w:color="auto" w:sz="6" w:space="0"/>
              <w:bottom w:val="single" w:color="auto" w:sz="6" w:space="0"/>
              <w:right w:val="single" w:color="auto" w:sz="6" w:space="0"/>
            </w:tcBorders>
          </w:tcPr>
          <w:p>
            <w:pPr>
              <w:jc w:val="center"/>
            </w:pPr>
            <w:r>
              <w:rPr>
                <w:rFonts w:hint="eastAsia"/>
              </w:rPr>
              <w:t>证书有限期</w:t>
            </w:r>
          </w:p>
        </w:tc>
        <w:tc>
          <w:tcPr>
            <w:tcW w:w="2073" w:type="dxa"/>
            <w:tcBorders>
              <w:top w:val="single" w:color="auto" w:sz="6" w:space="0"/>
              <w:left w:val="single" w:color="auto" w:sz="6" w:space="0"/>
              <w:bottom w:val="single" w:color="auto" w:sz="6" w:space="0"/>
              <w:right w:val="single" w:color="auto" w:sz="6" w:space="0"/>
            </w:tcBorders>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jc w:val="center"/>
            </w:pPr>
          </w:p>
        </w:tc>
        <w:tc>
          <w:tcPr>
            <w:tcW w:w="1800" w:type="dxa"/>
            <w:tcBorders>
              <w:top w:val="single" w:color="auto" w:sz="6" w:space="0"/>
              <w:left w:val="single" w:color="auto" w:sz="6" w:space="0"/>
              <w:bottom w:val="single" w:color="auto" w:sz="6" w:space="0"/>
              <w:right w:val="single" w:color="auto" w:sz="6" w:space="0"/>
            </w:tcBorders>
          </w:tcPr>
          <w:p>
            <w:pPr>
              <w:jc w:val="center"/>
            </w:pPr>
          </w:p>
        </w:tc>
        <w:tc>
          <w:tcPr>
            <w:tcW w:w="1440" w:type="dxa"/>
            <w:tcBorders>
              <w:top w:val="single" w:color="auto" w:sz="6" w:space="0"/>
              <w:left w:val="single" w:color="auto" w:sz="6" w:space="0"/>
              <w:bottom w:val="single" w:color="auto" w:sz="6" w:space="0"/>
              <w:right w:val="single" w:color="auto" w:sz="6" w:space="0"/>
            </w:tcBorders>
          </w:tcPr>
          <w:p>
            <w:pPr>
              <w:jc w:val="center"/>
            </w:pPr>
          </w:p>
        </w:tc>
        <w:tc>
          <w:tcPr>
            <w:tcW w:w="1260" w:type="dxa"/>
            <w:tcBorders>
              <w:top w:val="single" w:color="auto" w:sz="6" w:space="0"/>
              <w:left w:val="single" w:color="auto" w:sz="6" w:space="0"/>
              <w:bottom w:val="single" w:color="auto" w:sz="6" w:space="0"/>
              <w:right w:val="single" w:color="auto" w:sz="6" w:space="0"/>
            </w:tcBorders>
          </w:tcPr>
          <w:p>
            <w:pPr>
              <w:jc w:val="center"/>
            </w:pPr>
          </w:p>
        </w:tc>
        <w:tc>
          <w:tcPr>
            <w:tcW w:w="1401" w:type="dxa"/>
            <w:tcBorders>
              <w:top w:val="single" w:color="auto" w:sz="6" w:space="0"/>
              <w:left w:val="single" w:color="auto" w:sz="6" w:space="0"/>
              <w:bottom w:val="single" w:color="auto" w:sz="6" w:space="0"/>
              <w:right w:val="single" w:color="auto" w:sz="6" w:space="0"/>
            </w:tcBorders>
          </w:tcPr>
          <w:p>
            <w:pPr>
              <w:jc w:val="center"/>
            </w:pPr>
          </w:p>
        </w:tc>
        <w:tc>
          <w:tcPr>
            <w:tcW w:w="2073" w:type="dxa"/>
            <w:tcBorders>
              <w:top w:val="single" w:color="auto" w:sz="6" w:space="0"/>
              <w:left w:val="single" w:color="auto" w:sz="6" w:space="0"/>
              <w:bottom w:val="single" w:color="auto" w:sz="6" w:space="0"/>
              <w:right w:val="single" w:color="auto" w:sz="6" w:space="0"/>
            </w:tcBorders>
          </w:tcPr>
          <w:p>
            <w:pPr>
              <w:jc w:val="center"/>
            </w:pPr>
          </w:p>
        </w:tc>
      </w:tr>
    </w:tbl>
    <w:p>
      <w:pPr>
        <w:ind w:firstLine="420" w:firstLineChars="200"/>
      </w:pPr>
      <w:r>
        <w:rPr>
          <w:rFonts w:hint="eastAsia"/>
        </w:rPr>
        <w:t>3、我方的资格声明一份。</w:t>
      </w:r>
    </w:p>
    <w:p>
      <w:pPr>
        <w:ind w:firstLine="420" w:firstLineChars="200"/>
      </w:pPr>
      <w:r>
        <w:rPr>
          <w:rFonts w:hint="eastAsia"/>
        </w:rPr>
        <w:t>4、</w:t>
      </w:r>
      <w:r>
        <w:t>招标文件要求的</w:t>
      </w:r>
      <w:r>
        <w:rPr>
          <w:rFonts w:hint="eastAsia"/>
        </w:rPr>
        <w:t>其他</w:t>
      </w:r>
      <w:r>
        <w:t>资格证明文件。</w:t>
      </w:r>
    </w:p>
    <w:p>
      <w:pPr>
        <w:ind w:firstLine="420" w:firstLineChars="200"/>
        <w:rPr>
          <w:rFonts w:cs="Arial"/>
        </w:rPr>
      </w:pPr>
      <w:r>
        <w:rPr>
          <w:rFonts w:cs="Arial"/>
        </w:rPr>
        <w:t>本签字人确认资格文件中的</w:t>
      </w:r>
      <w:r>
        <w:rPr>
          <w:rFonts w:hint="eastAsia" w:cs="Arial"/>
        </w:rPr>
        <w:t>内容</w:t>
      </w:r>
      <w:r>
        <w:rPr>
          <w:rFonts w:cs="Arial"/>
        </w:rPr>
        <w:t>是真实的、准确的</w:t>
      </w:r>
      <w:r>
        <w:rPr>
          <w:rFonts w:hint="eastAsia" w:cs="Arial"/>
        </w:rPr>
        <w:t>，您有权进行您认为必要的所有调查。</w:t>
      </w:r>
    </w:p>
    <w:p/>
    <w:p>
      <w:r>
        <w:rPr>
          <w:rFonts w:hint="eastAsia"/>
        </w:rPr>
        <w:t>投标人的名称：</w:t>
      </w:r>
      <w:r>
        <w:rPr>
          <w:rFonts w:hint="eastAsia"/>
        </w:rPr>
        <w:tab/>
      </w:r>
    </w:p>
    <w:p>
      <w:r>
        <w:rPr>
          <w:rFonts w:hint="eastAsia"/>
        </w:rPr>
        <w:t>授权签署本资格文件的签字人姓名、职务（印刷字体)：</w:t>
      </w:r>
    </w:p>
    <w:p>
      <w:r>
        <w:rPr>
          <w:rFonts w:hint="eastAsia"/>
        </w:rPr>
        <w:t xml:space="preserve">投标人盖章： </w:t>
      </w:r>
    </w:p>
    <w:p>
      <w:r>
        <w:rPr>
          <w:rFonts w:hint="eastAsia"/>
        </w:rPr>
        <w:t>投标人代表签字：</w:t>
      </w:r>
    </w:p>
    <w:p>
      <w:r>
        <w:rPr>
          <w:rFonts w:hint="eastAsia"/>
        </w:rPr>
        <w:t>地址：</w:t>
      </w:r>
    </w:p>
    <w:p>
      <w:r>
        <w:rPr>
          <w:rFonts w:hint="eastAsia"/>
        </w:rPr>
        <w:t>传真：</w:t>
      </w:r>
    </w:p>
    <w:p>
      <w:r>
        <w:rPr>
          <w:rFonts w:hint="eastAsia"/>
        </w:rPr>
        <w:t>签字：</w:t>
      </w:r>
    </w:p>
    <w:p>
      <w:r>
        <w:rPr>
          <w:rFonts w:hint="eastAsia"/>
        </w:rPr>
        <w:t>邮编：</w:t>
      </w:r>
    </w:p>
    <w:p>
      <w:r>
        <w:rPr>
          <w:rFonts w:hint="eastAsia"/>
        </w:rPr>
        <w:t>电话：</w:t>
      </w:r>
      <w:r>
        <w:br w:type="page"/>
      </w:r>
      <w:r>
        <w:rPr>
          <w:rFonts w:hint="eastAsia" w:ascii="楷体_GB2312" w:eastAsia="楷体_GB2312"/>
          <w:sz w:val="24"/>
        </w:rPr>
        <w:t>附件8－2. 法定代表人证明书格式</w:t>
      </w:r>
    </w:p>
    <w:p/>
    <w:p>
      <w:pPr>
        <w:jc w:val="center"/>
        <w:rPr>
          <w:rFonts w:ascii="黑体" w:eastAsia="黑体"/>
          <w:sz w:val="28"/>
          <w:szCs w:val="28"/>
        </w:rPr>
      </w:pPr>
      <w:r>
        <w:rPr>
          <w:rFonts w:hint="eastAsia" w:ascii="黑体" w:eastAsia="黑体"/>
          <w:sz w:val="28"/>
          <w:szCs w:val="28"/>
        </w:rPr>
        <w:t>法定代表人证明书</w:t>
      </w:r>
    </w:p>
    <w:p/>
    <w:p>
      <w:r>
        <w:rPr>
          <w:rFonts w:hint="eastAsia"/>
        </w:rPr>
        <w:t xml:space="preserve">   　</w:t>
      </w:r>
      <w:r>
        <w:rPr>
          <w:rFonts w:hint="eastAsia"/>
          <w:u w:val="single"/>
        </w:rPr>
        <w:t xml:space="preserve">       </w:t>
      </w:r>
      <w:r>
        <w:rPr>
          <w:rFonts w:hint="eastAsia"/>
        </w:rPr>
        <w:t>先生/小姐，现任我单位</w:t>
      </w:r>
      <w:r>
        <w:rPr>
          <w:rFonts w:hint="eastAsia"/>
          <w:u w:val="single"/>
        </w:rPr>
        <w:t xml:space="preserve">           </w:t>
      </w:r>
      <w:r>
        <w:rPr>
          <w:rFonts w:hint="eastAsia"/>
        </w:rPr>
        <w:t>职务，为法定代表人，特此证明。</w:t>
      </w:r>
    </w:p>
    <w:p>
      <w:pPr>
        <w:ind w:firstLine="420" w:firstLineChars="200"/>
      </w:pPr>
    </w:p>
    <w:p>
      <w:pPr>
        <w:ind w:firstLine="420" w:firstLineChars="200"/>
      </w:pPr>
      <w:r>
        <w:rPr>
          <w:rFonts w:hint="eastAsia"/>
        </w:rPr>
        <w:t>有效日期：               签发日期：        单位：                 （盖章）</w:t>
      </w:r>
    </w:p>
    <w:p>
      <w:pPr>
        <w:ind w:firstLine="420" w:firstLineChars="200"/>
      </w:pPr>
      <w:r>
        <w:rPr>
          <w:rFonts w:hint="eastAsia"/>
        </w:rPr>
        <w:t>附：代表人性别：        年龄：       身份证号码：</w:t>
      </w:r>
    </w:p>
    <w:p>
      <w:pPr>
        <w:ind w:firstLine="420" w:firstLineChars="200"/>
      </w:pPr>
      <w:r>
        <w:rPr>
          <w:rFonts w:hint="eastAsia"/>
        </w:rPr>
        <w:t>营业执照号码：                       经济性质：</w:t>
      </w:r>
    </w:p>
    <w:p>
      <w:pPr>
        <w:ind w:firstLine="420" w:firstLineChars="200"/>
      </w:pPr>
      <w:r>
        <w:rPr>
          <w:rFonts w:hint="eastAsia"/>
        </w:rPr>
        <w:t>主营（产）：</w:t>
      </w:r>
    </w:p>
    <w:p>
      <w:pPr>
        <w:ind w:firstLine="420" w:firstLineChars="200"/>
      </w:pPr>
      <w:r>
        <w:rPr>
          <w:rFonts w:hint="eastAsia"/>
        </w:rPr>
        <w:t>兼营（产）：</w:t>
      </w:r>
    </w:p>
    <w:p>
      <w:pPr>
        <w:ind w:firstLine="420" w:firstLineChars="200"/>
      </w:pPr>
      <w:r>
        <w:rPr>
          <w:rFonts w:hint="eastAsia"/>
        </w:rPr>
        <w:t>进口物品经营许可证号码：</w:t>
      </w:r>
    </w:p>
    <w:p>
      <w:pPr>
        <w:ind w:firstLine="420" w:firstLineChars="200"/>
      </w:pPr>
      <w:r>
        <w:rPr>
          <w:rFonts w:hint="eastAsia"/>
        </w:rPr>
        <w:t>主营（产）：</w:t>
      </w:r>
    </w:p>
    <w:p>
      <w:pPr>
        <w:ind w:firstLine="420" w:firstLineChars="200"/>
      </w:pPr>
      <w:r>
        <w:rPr>
          <w:rFonts w:hint="eastAsia"/>
        </w:rPr>
        <w:t>兼营（产）：</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2" w:firstLineChars="200"/>
      </w:pPr>
      <w:r>
        <w:rPr>
          <w:rFonts w:hint="eastAsia"/>
          <w:b/>
        </w:rPr>
        <w:t>注：法定代表人身份证明书需附法人代表身份证复印件（加盖公章）</w:t>
      </w:r>
      <w:r>
        <w:rPr>
          <w:rFonts w:hint="eastAsia" w:ascii="楷体_GB2312" w:eastAsia="楷体_GB2312"/>
          <w:b/>
          <w:sz w:val="24"/>
        </w:rPr>
        <w:t>。</w:t>
      </w:r>
    </w:p>
    <w:p/>
    <w:p>
      <w:r>
        <w:rPr>
          <w:rFonts w:ascii="楷体_GB2312" w:eastAsia="楷体_GB2312"/>
          <w:sz w:val="24"/>
        </w:rPr>
        <w:br w:type="page"/>
      </w:r>
      <w:r>
        <w:rPr>
          <w:rFonts w:hint="eastAsia" w:ascii="楷体_GB2312" w:eastAsia="楷体_GB2312"/>
          <w:sz w:val="24"/>
        </w:rPr>
        <w:t>附件8－3.法定代表人授权书格式</w:t>
      </w:r>
    </w:p>
    <w:p/>
    <w:p>
      <w:pPr>
        <w:jc w:val="center"/>
        <w:rPr>
          <w:rFonts w:ascii="黑体" w:eastAsia="黑体"/>
          <w:sz w:val="28"/>
          <w:szCs w:val="28"/>
        </w:rPr>
      </w:pPr>
      <w:r>
        <w:rPr>
          <w:rFonts w:hint="eastAsia" w:ascii="黑体" w:eastAsia="黑体"/>
          <w:sz w:val="28"/>
          <w:szCs w:val="28"/>
        </w:rPr>
        <w:t>法定代表人授权书</w:t>
      </w:r>
    </w:p>
    <w:p/>
    <w:p>
      <w:pPr>
        <w:ind w:firstLine="420" w:firstLineChars="200"/>
      </w:pPr>
      <w:r>
        <w:rPr>
          <w:rFonts w:hint="eastAsia"/>
        </w:rPr>
        <w:t>本授权书声明：注册于</w:t>
      </w:r>
      <w:r>
        <w:rPr>
          <w:rFonts w:hint="eastAsia"/>
          <w:i/>
          <w:u w:val="single"/>
        </w:rPr>
        <w:t>（国家或地区的名称）</w:t>
      </w:r>
      <w:r>
        <w:rPr>
          <w:rFonts w:hint="eastAsia"/>
        </w:rPr>
        <w:t>的</w:t>
      </w:r>
      <w:r>
        <w:rPr>
          <w:rFonts w:hint="eastAsia"/>
          <w:i/>
          <w:u w:val="single"/>
        </w:rPr>
        <w:t>（公司名称）</w:t>
      </w:r>
      <w:r>
        <w:rPr>
          <w:rFonts w:hint="eastAsia"/>
        </w:rPr>
        <w:t>的在下面签字的</w:t>
      </w:r>
      <w:r>
        <w:rPr>
          <w:rFonts w:hint="eastAsia"/>
          <w:i/>
          <w:u w:val="single"/>
        </w:rPr>
        <w:t>（法定代表人姓名、职务）</w:t>
      </w:r>
      <w:r>
        <w:rPr>
          <w:rFonts w:hint="eastAsia"/>
        </w:rPr>
        <w:t>代表本公司授权</w:t>
      </w:r>
      <w:r>
        <w:rPr>
          <w:rFonts w:hint="eastAsia"/>
          <w:i/>
          <w:u w:val="single"/>
        </w:rPr>
        <w:t>（单位名称）</w:t>
      </w:r>
      <w:r>
        <w:rPr>
          <w:rFonts w:hint="eastAsia"/>
        </w:rPr>
        <w:t>的在下面签字的</w:t>
      </w:r>
      <w:r>
        <w:rPr>
          <w:rFonts w:hint="eastAsia"/>
          <w:i/>
          <w:u w:val="single"/>
        </w:rPr>
        <w:t>（被授权人的姓名、职务）</w:t>
      </w:r>
      <w:r>
        <w:rPr>
          <w:rFonts w:hint="eastAsia"/>
        </w:rPr>
        <w:t>为本公司的合法代理人，就</w:t>
      </w:r>
      <w:r>
        <w:rPr>
          <w:rFonts w:hint="eastAsia"/>
          <w:i/>
          <w:u w:val="single"/>
        </w:rPr>
        <w:t>（项目名称）</w:t>
      </w:r>
      <w:r>
        <w:rPr>
          <w:rFonts w:hint="eastAsia"/>
        </w:rPr>
        <w:t>投标及参加项目谈判，以本公司名义处理一切与之有关的事务。</w:t>
      </w:r>
    </w:p>
    <w:p>
      <w:pPr>
        <w:ind w:firstLine="420" w:firstLineChars="200"/>
      </w:pPr>
    </w:p>
    <w:p>
      <w:pPr>
        <w:ind w:firstLine="420" w:firstLineChars="200"/>
      </w:pPr>
      <w:r>
        <w:rPr>
          <w:rFonts w:hint="eastAsia"/>
        </w:rPr>
        <w:t>本授权书于</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日签字生效，特此声明。</w:t>
      </w:r>
    </w:p>
    <w:p>
      <w:pPr>
        <w:ind w:firstLine="420" w:firstLineChars="200"/>
      </w:pPr>
    </w:p>
    <w:p>
      <w:pPr>
        <w:ind w:firstLine="420" w:firstLineChars="200"/>
      </w:pPr>
      <w:r>
        <w:rPr>
          <w:rFonts w:hint="eastAsia"/>
        </w:rPr>
        <w:t xml:space="preserve">法定代表人签字： </w:t>
      </w:r>
    </w:p>
    <w:p>
      <w:pPr>
        <w:ind w:firstLine="420" w:firstLineChars="200"/>
      </w:pPr>
      <w:r>
        <w:rPr>
          <w:rFonts w:hint="eastAsia"/>
        </w:rPr>
        <w:t>被授权人签字：　</w:t>
      </w:r>
    </w:p>
    <w:p>
      <w:pPr>
        <w:ind w:firstLine="420" w:firstLineChars="200"/>
      </w:pPr>
      <w:r>
        <w:rPr>
          <w:rFonts w:hint="eastAsia"/>
        </w:rPr>
        <w:t>单位盖章：　</w:t>
      </w:r>
    </w:p>
    <w:p>
      <w:pPr>
        <w:ind w:firstLine="420" w:firstLineChars="200"/>
      </w:pPr>
    </w:p>
    <w:p>
      <w:pPr>
        <w:ind w:firstLine="420" w:firstLineChars="200"/>
      </w:pPr>
      <w:r>
        <w:rPr>
          <w:rFonts w:hint="eastAsia"/>
        </w:rPr>
        <w:t>附：</w:t>
      </w:r>
    </w:p>
    <w:p>
      <w:pPr>
        <w:ind w:firstLine="420" w:firstLineChars="200"/>
      </w:pPr>
      <w:r>
        <w:rPr>
          <w:rFonts w:hint="eastAsia"/>
        </w:rPr>
        <w:t>被授权人姓名：</w:t>
      </w:r>
    </w:p>
    <w:p>
      <w:pPr>
        <w:ind w:firstLine="420" w:firstLineChars="200"/>
      </w:pPr>
      <w:r>
        <w:rPr>
          <w:rFonts w:hint="eastAsia"/>
        </w:rPr>
        <w:t>职务：</w:t>
      </w:r>
    </w:p>
    <w:p>
      <w:pPr>
        <w:ind w:firstLine="420" w:firstLineChars="200"/>
      </w:pPr>
      <w:r>
        <w:rPr>
          <w:rFonts w:hint="eastAsia"/>
        </w:rPr>
        <w:t>详细通讯地址：</w:t>
      </w:r>
    </w:p>
    <w:p>
      <w:pPr>
        <w:ind w:firstLine="420" w:firstLineChars="200"/>
      </w:pPr>
      <w:r>
        <w:rPr>
          <w:rFonts w:hint="eastAsia"/>
        </w:rPr>
        <w:t>邮政编码：</w:t>
      </w:r>
    </w:p>
    <w:p>
      <w:pPr>
        <w:ind w:firstLine="420" w:firstLineChars="200"/>
      </w:pPr>
      <w:r>
        <w:rPr>
          <w:rFonts w:hint="eastAsia"/>
        </w:rPr>
        <w:t>电话：</w:t>
      </w:r>
    </w:p>
    <w:p>
      <w:pPr>
        <w:ind w:firstLine="420" w:firstLineChars="200"/>
      </w:pPr>
      <w:r>
        <w:rPr>
          <w:rFonts w:hint="eastAsia"/>
        </w:rPr>
        <w:t>移动电话：</w:t>
      </w:r>
    </w:p>
    <w:p>
      <w:pPr>
        <w:ind w:firstLine="420" w:firstLineChars="200"/>
      </w:pPr>
      <w:r>
        <w:rPr>
          <w:rFonts w:hint="eastAsia"/>
        </w:rPr>
        <w:t>传真：</w:t>
      </w:r>
    </w:p>
    <w:p/>
    <w:p/>
    <w:p>
      <w:pPr>
        <w:rPr>
          <w:b/>
        </w:rPr>
      </w:pPr>
      <w:r>
        <w:rPr>
          <w:rFonts w:hint="eastAsia"/>
          <w:b/>
        </w:rPr>
        <w:t>注：1、法定代表人授权书除装订于投标文件中外，还须另置一份按“投标人须知”要求单独密封。</w:t>
      </w:r>
    </w:p>
    <w:p>
      <w:pPr>
        <w:ind w:firstLine="413" w:firstLineChars="196"/>
      </w:pPr>
      <w:r>
        <w:rPr>
          <w:rFonts w:hint="eastAsia"/>
          <w:b/>
        </w:rPr>
        <w:t>2、提供被授权人的身份证复印件盖公章。</w:t>
      </w:r>
    </w:p>
    <w:p>
      <w:pPr>
        <w:rPr>
          <w:rFonts w:ascii="黑体" w:eastAsia="黑体"/>
          <w:sz w:val="44"/>
          <w:szCs w:val="44"/>
        </w:rPr>
      </w:pPr>
    </w:p>
    <w:p>
      <w:pPr>
        <w:rPr>
          <w:rFonts w:ascii="黑体" w:eastAsia="黑体"/>
          <w:sz w:val="44"/>
          <w:szCs w:val="44"/>
        </w:rPr>
      </w:pPr>
    </w:p>
    <w:sectPr>
      <w:headerReference r:id="rId3" w:type="default"/>
      <w:footerReference r:id="rId4" w:type="default"/>
      <w:pgSz w:w="11906" w:h="16838"/>
      <w:pgMar w:top="1440" w:right="1800" w:bottom="1440" w:left="1800" w:header="142"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Impact">
    <w:panose1 w:val="020B0806030902050204"/>
    <w:charset w:val="00"/>
    <w:family w:val="swiss"/>
    <w:pitch w:val="default"/>
    <w:sig w:usb0="00000287"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965"/>
      <w:docPartObj>
        <w:docPartGallery w:val="autotext"/>
      </w:docPartObj>
    </w:sdtPr>
    <w:sdtContent>
      <w:sdt>
        <w:sdtPr>
          <w:id w:val="171357217"/>
          <w:docPartObj>
            <w:docPartGallery w:val="autotext"/>
          </w:docPartObj>
        </w:sdtPr>
        <w:sdtContent>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tabs>
        <w:tab w:val="right" w:pos="8364"/>
        <w:tab w:val="clear" w:pos="8306"/>
      </w:tabs>
      <w:ind w:right="-50" w:rightChars="-24"/>
      <w:jc w:val="both"/>
      <w:rPr>
        <w:rFonts w:hint="default" w:eastAsia="黑体"/>
        <w:lang w:val="en-US" w:eastAsia="zh-CN"/>
      </w:rPr>
    </w:pPr>
    <w:r>
      <w:rPr>
        <w:rFonts w:hint="eastAsia" w:ascii="黑体" w:eastAsia="黑体" w:hAnsiTheme="minorEastAsia"/>
        <w:color w:val="000000"/>
      </w:rPr>
      <w:drawing>
        <wp:inline distT="0" distB="0" distL="0" distR="0">
          <wp:extent cx="108077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82" cy="305105"/>
                  </a:xfrm>
                  <a:prstGeom prst="rect">
                    <a:avLst/>
                  </a:prstGeom>
                </pic:spPr>
              </pic:pic>
            </a:graphicData>
          </a:graphic>
        </wp:inline>
      </w:drawing>
    </w:r>
    <w:r>
      <w:rPr>
        <w:rFonts w:hint="eastAsia" w:ascii="黑体" w:eastAsia="黑体" w:hAnsiTheme="minorEastAsia"/>
        <w:color w:val="000000"/>
      </w:rPr>
      <w:t xml:space="preserve">                                                  招标编号：</w:t>
    </w:r>
    <w:r>
      <w:rPr>
        <w:rFonts w:hint="eastAsia" w:ascii="黑体" w:eastAsia="黑体" w:hAnsiTheme="minorEastAsia"/>
        <w:color w:val="000000"/>
        <w:lang w:val="en-US" w:eastAsia="zh-CN"/>
      </w:rPr>
      <w:t>SJZD</w:t>
    </w:r>
    <w:r>
      <w:rPr>
        <w:rFonts w:hint="eastAsia" w:ascii="黑体" w:eastAsia="黑体" w:hAnsiTheme="minorEastAsia"/>
        <w:color w:val="000000"/>
      </w:rPr>
      <w:t>-20</w:t>
    </w:r>
    <w:r>
      <w:rPr>
        <w:rFonts w:hint="eastAsia" w:ascii="黑体" w:eastAsia="黑体" w:hAnsiTheme="minorEastAsia"/>
        <w:color w:val="000000"/>
        <w:lang w:val="en-US" w:eastAsia="zh-CN"/>
      </w:rPr>
      <w:t>24</w:t>
    </w:r>
    <w:r>
      <w:rPr>
        <w:rFonts w:hint="eastAsia" w:ascii="黑体" w:eastAsia="黑体" w:hAnsiTheme="minorEastAsia"/>
        <w:color w:val="000000"/>
        <w:highlight w:val="none"/>
        <w:lang w:val="en-US" w:eastAsia="zh-CN"/>
      </w:rPr>
      <w:t>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2B03F"/>
    <w:multiLevelType w:val="singleLevel"/>
    <w:tmpl w:val="8602B03F"/>
    <w:lvl w:ilvl="0" w:tentative="0">
      <w:start w:val="1"/>
      <w:numFmt w:val="decimal"/>
      <w:lvlText w:val="%1."/>
      <w:lvlJc w:val="left"/>
      <w:pPr>
        <w:tabs>
          <w:tab w:val="left" w:pos="312"/>
        </w:tabs>
      </w:pPr>
    </w:lvl>
  </w:abstractNum>
  <w:abstractNum w:abstractNumId="1">
    <w:nsid w:val="8DE46B54"/>
    <w:multiLevelType w:val="singleLevel"/>
    <w:tmpl w:val="8DE46B54"/>
    <w:lvl w:ilvl="0" w:tentative="0">
      <w:start w:val="1"/>
      <w:numFmt w:val="decimal"/>
      <w:lvlText w:val="%1."/>
      <w:lvlJc w:val="left"/>
      <w:pPr>
        <w:ind w:left="425" w:hanging="425"/>
      </w:pPr>
      <w:rPr>
        <w:rFonts w:hint="default"/>
      </w:rPr>
    </w:lvl>
  </w:abstractNum>
  <w:abstractNum w:abstractNumId="2">
    <w:nsid w:val="8E394512"/>
    <w:multiLevelType w:val="singleLevel"/>
    <w:tmpl w:val="8E394512"/>
    <w:lvl w:ilvl="0" w:tentative="0">
      <w:start w:val="1"/>
      <w:numFmt w:val="chineseCounting"/>
      <w:suff w:val="nothing"/>
      <w:lvlText w:val="%1、"/>
      <w:lvlJc w:val="left"/>
      <w:pPr>
        <w:ind w:left="0" w:firstLine="420"/>
      </w:pPr>
      <w:rPr>
        <w:rFonts w:hint="eastAsia"/>
      </w:rPr>
    </w:lvl>
  </w:abstractNum>
  <w:abstractNum w:abstractNumId="3">
    <w:nsid w:val="8FFAAF86"/>
    <w:multiLevelType w:val="singleLevel"/>
    <w:tmpl w:val="8FFAAF86"/>
    <w:lvl w:ilvl="0" w:tentative="0">
      <w:start w:val="1"/>
      <w:numFmt w:val="decimal"/>
      <w:lvlText w:val="%1."/>
      <w:lvlJc w:val="left"/>
      <w:pPr>
        <w:ind w:left="425" w:hanging="425"/>
      </w:pPr>
      <w:rPr>
        <w:rFonts w:hint="default"/>
      </w:rPr>
    </w:lvl>
  </w:abstractNum>
  <w:abstractNum w:abstractNumId="4">
    <w:nsid w:val="AFB849D7"/>
    <w:multiLevelType w:val="singleLevel"/>
    <w:tmpl w:val="AFB849D7"/>
    <w:lvl w:ilvl="0" w:tentative="0">
      <w:start w:val="1"/>
      <w:numFmt w:val="decimal"/>
      <w:lvlText w:val="%1."/>
      <w:lvlJc w:val="left"/>
      <w:pPr>
        <w:ind w:left="425" w:hanging="425"/>
      </w:pPr>
      <w:rPr>
        <w:rFonts w:hint="default"/>
      </w:rPr>
    </w:lvl>
  </w:abstractNum>
  <w:abstractNum w:abstractNumId="5">
    <w:nsid w:val="C3E702CA"/>
    <w:multiLevelType w:val="multilevel"/>
    <w:tmpl w:val="C3E702C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b w:val="0"/>
        <w:bCs w:val="0"/>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D1D02884"/>
    <w:multiLevelType w:val="singleLevel"/>
    <w:tmpl w:val="D1D02884"/>
    <w:lvl w:ilvl="0" w:tentative="0">
      <w:start w:val="8"/>
      <w:numFmt w:val="decimal"/>
      <w:suff w:val="space"/>
      <w:lvlText w:val="%1."/>
      <w:lvlJc w:val="left"/>
    </w:lvl>
  </w:abstractNum>
  <w:abstractNum w:abstractNumId="7">
    <w:nsid w:val="E6F5804A"/>
    <w:multiLevelType w:val="singleLevel"/>
    <w:tmpl w:val="E6F5804A"/>
    <w:lvl w:ilvl="0" w:tentative="0">
      <w:start w:val="1"/>
      <w:numFmt w:val="chineseCounting"/>
      <w:suff w:val="nothing"/>
      <w:lvlText w:val="（%1）"/>
      <w:lvlJc w:val="left"/>
      <w:pPr>
        <w:ind w:left="0" w:firstLine="420"/>
      </w:pPr>
      <w:rPr>
        <w:rFonts w:hint="eastAsia"/>
      </w:rPr>
    </w:lvl>
  </w:abstractNum>
  <w:abstractNum w:abstractNumId="8">
    <w:nsid w:val="00000004"/>
    <w:multiLevelType w:val="multilevel"/>
    <w:tmpl w:val="00000004"/>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eastAsia"/>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000000D"/>
    <w:multiLevelType w:val="multilevel"/>
    <w:tmpl w:val="0000000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125D77E"/>
    <w:multiLevelType w:val="singleLevel"/>
    <w:tmpl w:val="1125D77E"/>
    <w:lvl w:ilvl="0" w:tentative="0">
      <w:start w:val="1"/>
      <w:numFmt w:val="chineseCounting"/>
      <w:suff w:val="nothing"/>
      <w:lvlText w:val="（%1）"/>
      <w:lvlJc w:val="left"/>
      <w:pPr>
        <w:ind w:left="0" w:firstLine="420"/>
      </w:pPr>
      <w:rPr>
        <w:rFonts w:hint="eastAsia"/>
        <w:sz w:val="21"/>
        <w:szCs w:val="21"/>
      </w:rPr>
    </w:lvl>
  </w:abstractNum>
  <w:abstractNum w:abstractNumId="11">
    <w:nsid w:val="140F1353"/>
    <w:multiLevelType w:val="multilevel"/>
    <w:tmpl w:val="140F135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2">
    <w:nsid w:val="15550A13"/>
    <w:multiLevelType w:val="multilevel"/>
    <w:tmpl w:val="15550A13"/>
    <w:lvl w:ilvl="0" w:tentative="0">
      <w:start w:val="1"/>
      <w:numFmt w:val="decimal"/>
      <w:lvlText w:val="%1."/>
      <w:lvlJc w:val="left"/>
      <w:pPr>
        <w:tabs>
          <w:tab w:val="left" w:pos="227"/>
        </w:tabs>
        <w:ind w:left="568" w:hanging="511"/>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1C443D3"/>
    <w:multiLevelType w:val="multilevel"/>
    <w:tmpl w:val="41C44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D3A2073"/>
    <w:multiLevelType w:val="multilevel"/>
    <w:tmpl w:val="6D3A2073"/>
    <w:lvl w:ilvl="0" w:tentative="0">
      <w:start w:val="1"/>
      <w:numFmt w:val="japaneseCount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2"/>
  </w:num>
  <w:num w:numId="3">
    <w:abstractNumId w:val="12"/>
  </w:num>
  <w:num w:numId="4">
    <w:abstractNumId w:val="10"/>
  </w:num>
  <w:num w:numId="5">
    <w:abstractNumId w:val="0"/>
  </w:num>
  <w:num w:numId="6">
    <w:abstractNumId w:val="6"/>
  </w:num>
  <w:num w:numId="7">
    <w:abstractNumId w:val="13"/>
  </w:num>
  <w:num w:numId="8">
    <w:abstractNumId w:val="14"/>
  </w:num>
  <w:num w:numId="9">
    <w:abstractNumId w:val="7"/>
  </w:num>
  <w:num w:numId="10">
    <w:abstractNumId w:val="1"/>
  </w:num>
  <w:num w:numId="11">
    <w:abstractNumId w:val="3"/>
  </w:num>
  <w:num w:numId="12">
    <w:abstractNumId w:val="4"/>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ZjQyMzkyMjI1YWUyZjc3NjRiZTE3NzJkMWJhMWIifQ=="/>
    <w:docVar w:name="KSO_WPS_MARK_KEY" w:val="a714c5eb-aa0f-44f5-bbc7-8d0fba9de59c"/>
  </w:docVars>
  <w:rsids>
    <w:rsidRoot w:val="009B0757"/>
    <w:rsid w:val="0000007E"/>
    <w:rsid w:val="000000BB"/>
    <w:rsid w:val="0000113B"/>
    <w:rsid w:val="00001671"/>
    <w:rsid w:val="0000227C"/>
    <w:rsid w:val="000162BA"/>
    <w:rsid w:val="0002313A"/>
    <w:rsid w:val="00023FCC"/>
    <w:rsid w:val="00041DC0"/>
    <w:rsid w:val="00046521"/>
    <w:rsid w:val="00052D11"/>
    <w:rsid w:val="0005440D"/>
    <w:rsid w:val="00061071"/>
    <w:rsid w:val="000629E3"/>
    <w:rsid w:val="00063099"/>
    <w:rsid w:val="00065801"/>
    <w:rsid w:val="00083BC4"/>
    <w:rsid w:val="000852A8"/>
    <w:rsid w:val="000A2982"/>
    <w:rsid w:val="000A52BA"/>
    <w:rsid w:val="000C218E"/>
    <w:rsid w:val="000D69EB"/>
    <w:rsid w:val="000E365B"/>
    <w:rsid w:val="000E4DFC"/>
    <w:rsid w:val="000F3BFA"/>
    <w:rsid w:val="00115DED"/>
    <w:rsid w:val="0012277D"/>
    <w:rsid w:val="00142474"/>
    <w:rsid w:val="0014583B"/>
    <w:rsid w:val="00147423"/>
    <w:rsid w:val="00152A48"/>
    <w:rsid w:val="00154062"/>
    <w:rsid w:val="00170F8D"/>
    <w:rsid w:val="00171B66"/>
    <w:rsid w:val="00172070"/>
    <w:rsid w:val="0017268A"/>
    <w:rsid w:val="00180B51"/>
    <w:rsid w:val="00184A05"/>
    <w:rsid w:val="00196063"/>
    <w:rsid w:val="001B0DC3"/>
    <w:rsid w:val="001B5E87"/>
    <w:rsid w:val="001B79D1"/>
    <w:rsid w:val="001C3B85"/>
    <w:rsid w:val="001C7C1E"/>
    <w:rsid w:val="001D0B3D"/>
    <w:rsid w:val="001E10AD"/>
    <w:rsid w:val="001E3BF9"/>
    <w:rsid w:val="001F0921"/>
    <w:rsid w:val="00205FC9"/>
    <w:rsid w:val="0020668D"/>
    <w:rsid w:val="002076F4"/>
    <w:rsid w:val="00217A08"/>
    <w:rsid w:val="00217FA0"/>
    <w:rsid w:val="00221384"/>
    <w:rsid w:val="00221D4F"/>
    <w:rsid w:val="00226770"/>
    <w:rsid w:val="00226BEE"/>
    <w:rsid w:val="002413D4"/>
    <w:rsid w:val="00242FD2"/>
    <w:rsid w:val="002502E8"/>
    <w:rsid w:val="00250D8C"/>
    <w:rsid w:val="00272E2C"/>
    <w:rsid w:val="002814BD"/>
    <w:rsid w:val="002870F2"/>
    <w:rsid w:val="002876F3"/>
    <w:rsid w:val="002934F5"/>
    <w:rsid w:val="00294315"/>
    <w:rsid w:val="002943C4"/>
    <w:rsid w:val="00295FB0"/>
    <w:rsid w:val="002A4EB0"/>
    <w:rsid w:val="002B2F2A"/>
    <w:rsid w:val="002C0729"/>
    <w:rsid w:val="002C6DB0"/>
    <w:rsid w:val="002D5759"/>
    <w:rsid w:val="002D576E"/>
    <w:rsid w:val="002E72CE"/>
    <w:rsid w:val="00305A51"/>
    <w:rsid w:val="00306836"/>
    <w:rsid w:val="00312FB8"/>
    <w:rsid w:val="003138B0"/>
    <w:rsid w:val="00335CD3"/>
    <w:rsid w:val="00353AF0"/>
    <w:rsid w:val="00366E6E"/>
    <w:rsid w:val="003834AF"/>
    <w:rsid w:val="00397393"/>
    <w:rsid w:val="003A01B4"/>
    <w:rsid w:val="003A1848"/>
    <w:rsid w:val="003A66A9"/>
    <w:rsid w:val="003B1467"/>
    <w:rsid w:val="003C74CE"/>
    <w:rsid w:val="003C75BE"/>
    <w:rsid w:val="003F7A28"/>
    <w:rsid w:val="004035BF"/>
    <w:rsid w:val="004045BC"/>
    <w:rsid w:val="004112D6"/>
    <w:rsid w:val="00424D40"/>
    <w:rsid w:val="0043267E"/>
    <w:rsid w:val="00435869"/>
    <w:rsid w:val="00441A78"/>
    <w:rsid w:val="00453202"/>
    <w:rsid w:val="00460E7F"/>
    <w:rsid w:val="004651B4"/>
    <w:rsid w:val="00480804"/>
    <w:rsid w:val="00485312"/>
    <w:rsid w:val="00495E88"/>
    <w:rsid w:val="004B366F"/>
    <w:rsid w:val="004B5549"/>
    <w:rsid w:val="004C68DE"/>
    <w:rsid w:val="004E550B"/>
    <w:rsid w:val="004F631E"/>
    <w:rsid w:val="0050636B"/>
    <w:rsid w:val="00511275"/>
    <w:rsid w:val="00512019"/>
    <w:rsid w:val="00512C2A"/>
    <w:rsid w:val="005321C2"/>
    <w:rsid w:val="00532F23"/>
    <w:rsid w:val="00543CE7"/>
    <w:rsid w:val="005572B0"/>
    <w:rsid w:val="00563719"/>
    <w:rsid w:val="00565978"/>
    <w:rsid w:val="00570AD6"/>
    <w:rsid w:val="00572503"/>
    <w:rsid w:val="0058185D"/>
    <w:rsid w:val="0058238B"/>
    <w:rsid w:val="005835D8"/>
    <w:rsid w:val="00583973"/>
    <w:rsid w:val="00584BA8"/>
    <w:rsid w:val="00592752"/>
    <w:rsid w:val="005963DB"/>
    <w:rsid w:val="005B33E7"/>
    <w:rsid w:val="005C1FA5"/>
    <w:rsid w:val="005C69DC"/>
    <w:rsid w:val="005D51C6"/>
    <w:rsid w:val="005D534A"/>
    <w:rsid w:val="005D735A"/>
    <w:rsid w:val="005E5893"/>
    <w:rsid w:val="005E778A"/>
    <w:rsid w:val="005F0A29"/>
    <w:rsid w:val="006111B4"/>
    <w:rsid w:val="00614B2A"/>
    <w:rsid w:val="00616269"/>
    <w:rsid w:val="0062331A"/>
    <w:rsid w:val="006417F2"/>
    <w:rsid w:val="00642169"/>
    <w:rsid w:val="00662349"/>
    <w:rsid w:val="006643EE"/>
    <w:rsid w:val="0067016D"/>
    <w:rsid w:val="006729F2"/>
    <w:rsid w:val="006828AD"/>
    <w:rsid w:val="006842DA"/>
    <w:rsid w:val="006922CD"/>
    <w:rsid w:val="00697A1B"/>
    <w:rsid w:val="006A6BE3"/>
    <w:rsid w:val="006B7AE3"/>
    <w:rsid w:val="006C5757"/>
    <w:rsid w:val="006C7DC9"/>
    <w:rsid w:val="006F31DD"/>
    <w:rsid w:val="00701786"/>
    <w:rsid w:val="00726D01"/>
    <w:rsid w:val="007369CA"/>
    <w:rsid w:val="007375D1"/>
    <w:rsid w:val="00741221"/>
    <w:rsid w:val="007432BD"/>
    <w:rsid w:val="007533A5"/>
    <w:rsid w:val="00756C7C"/>
    <w:rsid w:val="007632E4"/>
    <w:rsid w:val="007647A8"/>
    <w:rsid w:val="0079127F"/>
    <w:rsid w:val="007A4009"/>
    <w:rsid w:val="007A623D"/>
    <w:rsid w:val="007B3D8F"/>
    <w:rsid w:val="007B6B5B"/>
    <w:rsid w:val="007C37E6"/>
    <w:rsid w:val="007D02A7"/>
    <w:rsid w:val="007D7906"/>
    <w:rsid w:val="007E219B"/>
    <w:rsid w:val="007F2E7C"/>
    <w:rsid w:val="007F4253"/>
    <w:rsid w:val="00805412"/>
    <w:rsid w:val="00805B97"/>
    <w:rsid w:val="0083464D"/>
    <w:rsid w:val="00835C70"/>
    <w:rsid w:val="00836B64"/>
    <w:rsid w:val="00840D1B"/>
    <w:rsid w:val="00846E09"/>
    <w:rsid w:val="00853FB4"/>
    <w:rsid w:val="008661E4"/>
    <w:rsid w:val="00873775"/>
    <w:rsid w:val="0088206B"/>
    <w:rsid w:val="008820FC"/>
    <w:rsid w:val="00884080"/>
    <w:rsid w:val="008843B9"/>
    <w:rsid w:val="008A16AC"/>
    <w:rsid w:val="008A1FB1"/>
    <w:rsid w:val="008B338E"/>
    <w:rsid w:val="008E303D"/>
    <w:rsid w:val="008E759E"/>
    <w:rsid w:val="008F108A"/>
    <w:rsid w:val="008F5B63"/>
    <w:rsid w:val="008F5C5C"/>
    <w:rsid w:val="009008F3"/>
    <w:rsid w:val="00905029"/>
    <w:rsid w:val="009142C1"/>
    <w:rsid w:val="00942087"/>
    <w:rsid w:val="009433D7"/>
    <w:rsid w:val="009545D7"/>
    <w:rsid w:val="00954E7F"/>
    <w:rsid w:val="009633DB"/>
    <w:rsid w:val="00976D87"/>
    <w:rsid w:val="00983783"/>
    <w:rsid w:val="009A0F38"/>
    <w:rsid w:val="009A2385"/>
    <w:rsid w:val="009A2589"/>
    <w:rsid w:val="009A43E4"/>
    <w:rsid w:val="009B0757"/>
    <w:rsid w:val="009C6021"/>
    <w:rsid w:val="009D55D4"/>
    <w:rsid w:val="009E25EF"/>
    <w:rsid w:val="009F7530"/>
    <w:rsid w:val="00A01FD0"/>
    <w:rsid w:val="00A066B2"/>
    <w:rsid w:val="00A3359E"/>
    <w:rsid w:val="00A4324B"/>
    <w:rsid w:val="00A4434E"/>
    <w:rsid w:val="00A51831"/>
    <w:rsid w:val="00A55B18"/>
    <w:rsid w:val="00A8774F"/>
    <w:rsid w:val="00A90727"/>
    <w:rsid w:val="00A9427F"/>
    <w:rsid w:val="00AA56E5"/>
    <w:rsid w:val="00AA5A11"/>
    <w:rsid w:val="00AB0F81"/>
    <w:rsid w:val="00AB2599"/>
    <w:rsid w:val="00AB2F15"/>
    <w:rsid w:val="00AD362D"/>
    <w:rsid w:val="00AE0E10"/>
    <w:rsid w:val="00AE2AFA"/>
    <w:rsid w:val="00AF29F2"/>
    <w:rsid w:val="00B1446B"/>
    <w:rsid w:val="00B1638F"/>
    <w:rsid w:val="00B23852"/>
    <w:rsid w:val="00B25096"/>
    <w:rsid w:val="00B32990"/>
    <w:rsid w:val="00B4469C"/>
    <w:rsid w:val="00B46F7F"/>
    <w:rsid w:val="00B7252E"/>
    <w:rsid w:val="00B81EE5"/>
    <w:rsid w:val="00B96DD1"/>
    <w:rsid w:val="00BA1C8F"/>
    <w:rsid w:val="00BB1C08"/>
    <w:rsid w:val="00BB54A1"/>
    <w:rsid w:val="00BC576C"/>
    <w:rsid w:val="00BC583D"/>
    <w:rsid w:val="00BD5143"/>
    <w:rsid w:val="00BD62DB"/>
    <w:rsid w:val="00BF2A42"/>
    <w:rsid w:val="00BF2FF3"/>
    <w:rsid w:val="00BF536C"/>
    <w:rsid w:val="00BF7BC9"/>
    <w:rsid w:val="00C043B3"/>
    <w:rsid w:val="00C17C6D"/>
    <w:rsid w:val="00C2496C"/>
    <w:rsid w:val="00C305AF"/>
    <w:rsid w:val="00C318F9"/>
    <w:rsid w:val="00C37C92"/>
    <w:rsid w:val="00C413DB"/>
    <w:rsid w:val="00C419BD"/>
    <w:rsid w:val="00C526B6"/>
    <w:rsid w:val="00C52747"/>
    <w:rsid w:val="00C539EB"/>
    <w:rsid w:val="00C56ADC"/>
    <w:rsid w:val="00C63542"/>
    <w:rsid w:val="00C65B73"/>
    <w:rsid w:val="00C65FE9"/>
    <w:rsid w:val="00C77925"/>
    <w:rsid w:val="00C8057E"/>
    <w:rsid w:val="00C84F6E"/>
    <w:rsid w:val="00C877DA"/>
    <w:rsid w:val="00C934D6"/>
    <w:rsid w:val="00C93D02"/>
    <w:rsid w:val="00C97ABB"/>
    <w:rsid w:val="00CA7A01"/>
    <w:rsid w:val="00CD6E0B"/>
    <w:rsid w:val="00CF2225"/>
    <w:rsid w:val="00CF79F5"/>
    <w:rsid w:val="00D17712"/>
    <w:rsid w:val="00D232FA"/>
    <w:rsid w:val="00D370DB"/>
    <w:rsid w:val="00D5299A"/>
    <w:rsid w:val="00D56980"/>
    <w:rsid w:val="00D57137"/>
    <w:rsid w:val="00D609A5"/>
    <w:rsid w:val="00D63603"/>
    <w:rsid w:val="00D63776"/>
    <w:rsid w:val="00D7417A"/>
    <w:rsid w:val="00D764E1"/>
    <w:rsid w:val="00D814C6"/>
    <w:rsid w:val="00D96C72"/>
    <w:rsid w:val="00DA1BD5"/>
    <w:rsid w:val="00DA48A2"/>
    <w:rsid w:val="00DA4BA0"/>
    <w:rsid w:val="00DB3C80"/>
    <w:rsid w:val="00DB6CC0"/>
    <w:rsid w:val="00DC1448"/>
    <w:rsid w:val="00DC62A1"/>
    <w:rsid w:val="00DC78BF"/>
    <w:rsid w:val="00DD156A"/>
    <w:rsid w:val="00DD3248"/>
    <w:rsid w:val="00DE1D85"/>
    <w:rsid w:val="00DE7A7B"/>
    <w:rsid w:val="00DF261A"/>
    <w:rsid w:val="00DF6A48"/>
    <w:rsid w:val="00E31FEC"/>
    <w:rsid w:val="00E41D7D"/>
    <w:rsid w:val="00E440AA"/>
    <w:rsid w:val="00E541F7"/>
    <w:rsid w:val="00E5552A"/>
    <w:rsid w:val="00E5662F"/>
    <w:rsid w:val="00E74A5F"/>
    <w:rsid w:val="00E8022F"/>
    <w:rsid w:val="00E81F4B"/>
    <w:rsid w:val="00E83EED"/>
    <w:rsid w:val="00E8569B"/>
    <w:rsid w:val="00E909A8"/>
    <w:rsid w:val="00E9336D"/>
    <w:rsid w:val="00EA0D69"/>
    <w:rsid w:val="00EB13B5"/>
    <w:rsid w:val="00EB170F"/>
    <w:rsid w:val="00EC313A"/>
    <w:rsid w:val="00EC53B6"/>
    <w:rsid w:val="00ED3812"/>
    <w:rsid w:val="00ED3FD4"/>
    <w:rsid w:val="00ED5B1C"/>
    <w:rsid w:val="00F15931"/>
    <w:rsid w:val="00F37AE1"/>
    <w:rsid w:val="00F74AED"/>
    <w:rsid w:val="00F81471"/>
    <w:rsid w:val="00F867E1"/>
    <w:rsid w:val="00F93943"/>
    <w:rsid w:val="00F947C5"/>
    <w:rsid w:val="00FC143B"/>
    <w:rsid w:val="00FC3EC8"/>
    <w:rsid w:val="00FD647C"/>
    <w:rsid w:val="00FF07D9"/>
    <w:rsid w:val="01B15800"/>
    <w:rsid w:val="034554B0"/>
    <w:rsid w:val="035E4919"/>
    <w:rsid w:val="035F22B0"/>
    <w:rsid w:val="036B4FA0"/>
    <w:rsid w:val="05415106"/>
    <w:rsid w:val="05655910"/>
    <w:rsid w:val="05C2698A"/>
    <w:rsid w:val="06416BB8"/>
    <w:rsid w:val="06456265"/>
    <w:rsid w:val="09143080"/>
    <w:rsid w:val="0967035B"/>
    <w:rsid w:val="09FB44AF"/>
    <w:rsid w:val="0A1C13EE"/>
    <w:rsid w:val="0A2A7C4B"/>
    <w:rsid w:val="0A625E53"/>
    <w:rsid w:val="0AB40D89"/>
    <w:rsid w:val="0B902843"/>
    <w:rsid w:val="0DA35430"/>
    <w:rsid w:val="0E10224B"/>
    <w:rsid w:val="12D215D2"/>
    <w:rsid w:val="13D110A9"/>
    <w:rsid w:val="142B4539"/>
    <w:rsid w:val="14587A65"/>
    <w:rsid w:val="14764EE3"/>
    <w:rsid w:val="15F33581"/>
    <w:rsid w:val="163F6607"/>
    <w:rsid w:val="167E0ADD"/>
    <w:rsid w:val="16BD375A"/>
    <w:rsid w:val="17880594"/>
    <w:rsid w:val="17E51670"/>
    <w:rsid w:val="19BE3C2D"/>
    <w:rsid w:val="1B3426D8"/>
    <w:rsid w:val="1B4B1125"/>
    <w:rsid w:val="1BE91EA0"/>
    <w:rsid w:val="1E2215DB"/>
    <w:rsid w:val="1F5D47AD"/>
    <w:rsid w:val="1F8F12D1"/>
    <w:rsid w:val="20B7775D"/>
    <w:rsid w:val="233230A4"/>
    <w:rsid w:val="2362239A"/>
    <w:rsid w:val="23B405E2"/>
    <w:rsid w:val="23F4136D"/>
    <w:rsid w:val="240B1D54"/>
    <w:rsid w:val="24F0336E"/>
    <w:rsid w:val="25C600D9"/>
    <w:rsid w:val="25CE6D68"/>
    <w:rsid w:val="268F7592"/>
    <w:rsid w:val="26DC0AC8"/>
    <w:rsid w:val="27733972"/>
    <w:rsid w:val="292077AE"/>
    <w:rsid w:val="29DB27EF"/>
    <w:rsid w:val="29E81E45"/>
    <w:rsid w:val="29FF18AA"/>
    <w:rsid w:val="2A0A1EA7"/>
    <w:rsid w:val="2A6428AE"/>
    <w:rsid w:val="2C6465EA"/>
    <w:rsid w:val="2C995D5E"/>
    <w:rsid w:val="2D1E651F"/>
    <w:rsid w:val="2DEE1665"/>
    <w:rsid w:val="2E88509E"/>
    <w:rsid w:val="2EBC4D9C"/>
    <w:rsid w:val="2ED23509"/>
    <w:rsid w:val="305D5A4D"/>
    <w:rsid w:val="30E16A06"/>
    <w:rsid w:val="32DD31FD"/>
    <w:rsid w:val="338F6FFE"/>
    <w:rsid w:val="33E074F5"/>
    <w:rsid w:val="33EC0311"/>
    <w:rsid w:val="34E33AE2"/>
    <w:rsid w:val="367E7F8A"/>
    <w:rsid w:val="36B462E8"/>
    <w:rsid w:val="372F6758"/>
    <w:rsid w:val="37951BAB"/>
    <w:rsid w:val="38161252"/>
    <w:rsid w:val="38A954D7"/>
    <w:rsid w:val="39050016"/>
    <w:rsid w:val="39BE4626"/>
    <w:rsid w:val="3A3113DE"/>
    <w:rsid w:val="3B326A59"/>
    <w:rsid w:val="3BDB0BF4"/>
    <w:rsid w:val="3BF85101"/>
    <w:rsid w:val="3C093827"/>
    <w:rsid w:val="3FE273C5"/>
    <w:rsid w:val="40023AD1"/>
    <w:rsid w:val="409A183A"/>
    <w:rsid w:val="40B41A41"/>
    <w:rsid w:val="42492FCB"/>
    <w:rsid w:val="436207C1"/>
    <w:rsid w:val="43971652"/>
    <w:rsid w:val="43EE51A3"/>
    <w:rsid w:val="440A6EB9"/>
    <w:rsid w:val="44732B45"/>
    <w:rsid w:val="45AC3456"/>
    <w:rsid w:val="45F35CBB"/>
    <w:rsid w:val="465A0E4A"/>
    <w:rsid w:val="46C04AE1"/>
    <w:rsid w:val="47596A08"/>
    <w:rsid w:val="4791488A"/>
    <w:rsid w:val="47A311E6"/>
    <w:rsid w:val="488D57DF"/>
    <w:rsid w:val="48ED7EC0"/>
    <w:rsid w:val="49214B3A"/>
    <w:rsid w:val="49563A8A"/>
    <w:rsid w:val="49885B08"/>
    <w:rsid w:val="49C605CE"/>
    <w:rsid w:val="49F74642"/>
    <w:rsid w:val="4B5C44FB"/>
    <w:rsid w:val="4BAD3EE9"/>
    <w:rsid w:val="4DB80FAF"/>
    <w:rsid w:val="4F6939F7"/>
    <w:rsid w:val="4FFA0AF3"/>
    <w:rsid w:val="508056D6"/>
    <w:rsid w:val="50C90228"/>
    <w:rsid w:val="514E3AC9"/>
    <w:rsid w:val="519B00B4"/>
    <w:rsid w:val="56383F65"/>
    <w:rsid w:val="564B683B"/>
    <w:rsid w:val="564E1AD0"/>
    <w:rsid w:val="578D7E86"/>
    <w:rsid w:val="57C73AA7"/>
    <w:rsid w:val="580B0C51"/>
    <w:rsid w:val="581C29C4"/>
    <w:rsid w:val="58A3423E"/>
    <w:rsid w:val="58EA50BC"/>
    <w:rsid w:val="59BC1786"/>
    <w:rsid w:val="5A287932"/>
    <w:rsid w:val="5A6B4F3E"/>
    <w:rsid w:val="5A8B4325"/>
    <w:rsid w:val="5AE630CD"/>
    <w:rsid w:val="5B8722DE"/>
    <w:rsid w:val="5C6D3B25"/>
    <w:rsid w:val="614C1760"/>
    <w:rsid w:val="62AB7562"/>
    <w:rsid w:val="63F33AC0"/>
    <w:rsid w:val="63FD2A65"/>
    <w:rsid w:val="649809D2"/>
    <w:rsid w:val="65350E0A"/>
    <w:rsid w:val="658E7588"/>
    <w:rsid w:val="65EF42C6"/>
    <w:rsid w:val="65F77B70"/>
    <w:rsid w:val="668A7830"/>
    <w:rsid w:val="66F127F8"/>
    <w:rsid w:val="670B4361"/>
    <w:rsid w:val="6790529A"/>
    <w:rsid w:val="6883348B"/>
    <w:rsid w:val="68FA7CB0"/>
    <w:rsid w:val="69FD0A7C"/>
    <w:rsid w:val="69FD30FB"/>
    <w:rsid w:val="6AAA3498"/>
    <w:rsid w:val="6ADB3253"/>
    <w:rsid w:val="6B680BAF"/>
    <w:rsid w:val="6BCF091D"/>
    <w:rsid w:val="6C55564B"/>
    <w:rsid w:val="6D860730"/>
    <w:rsid w:val="6DCF18D6"/>
    <w:rsid w:val="6E444290"/>
    <w:rsid w:val="6E6117FD"/>
    <w:rsid w:val="6E97716B"/>
    <w:rsid w:val="70953977"/>
    <w:rsid w:val="71267542"/>
    <w:rsid w:val="72A74E68"/>
    <w:rsid w:val="72C07F89"/>
    <w:rsid w:val="74471CA9"/>
    <w:rsid w:val="747A5E6F"/>
    <w:rsid w:val="761D0EF2"/>
    <w:rsid w:val="76684781"/>
    <w:rsid w:val="76AD7DBE"/>
    <w:rsid w:val="76D565DC"/>
    <w:rsid w:val="76FB60F8"/>
    <w:rsid w:val="783808F1"/>
    <w:rsid w:val="79556C79"/>
    <w:rsid w:val="79831583"/>
    <w:rsid w:val="79913F22"/>
    <w:rsid w:val="7A110E0D"/>
    <w:rsid w:val="7A9C5147"/>
    <w:rsid w:val="7B51340A"/>
    <w:rsid w:val="7BD40C48"/>
    <w:rsid w:val="7CA74804"/>
    <w:rsid w:val="7CD95DB0"/>
    <w:rsid w:val="7E3F7D2E"/>
    <w:rsid w:val="7E87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7"/>
    <w:qFormat/>
    <w:uiPriority w:val="9"/>
    <w:pPr>
      <w:keepNext/>
      <w:keepLines/>
      <w:spacing w:before="260" w:after="260" w:line="416" w:lineRule="auto"/>
      <w:outlineLvl w:val="2"/>
    </w:pPr>
    <w:rPr>
      <w:b/>
      <w:bCs/>
      <w:sz w:val="32"/>
      <w:szCs w:val="32"/>
    </w:rPr>
  </w:style>
  <w:style w:type="paragraph" w:styleId="6">
    <w:name w:val="heading 6"/>
    <w:basedOn w:val="1"/>
    <w:next w:val="1"/>
    <w:link w:val="28"/>
    <w:unhideWhenUsed/>
    <w:qFormat/>
    <w:uiPriority w:val="9"/>
    <w:pPr>
      <w:keepNext/>
      <w:keepLines/>
      <w:spacing w:before="240" w:after="64" w:line="320" w:lineRule="auto"/>
      <w:outlineLvl w:val="5"/>
    </w:pPr>
    <w:rPr>
      <w:rFonts w:ascii="Cambria" w:hAnsi="Cambria"/>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lang w:val="zh-CN"/>
    </w:rPr>
  </w:style>
  <w:style w:type="paragraph" w:styleId="7">
    <w:name w:val="Document Map"/>
    <w:basedOn w:val="1"/>
    <w:link w:val="45"/>
    <w:semiHidden/>
    <w:unhideWhenUsed/>
    <w:qFormat/>
    <w:uiPriority w:val="99"/>
    <w:rPr>
      <w:rFonts w:ascii="宋体"/>
      <w:sz w:val="18"/>
      <w:szCs w:val="18"/>
    </w:rPr>
  </w:style>
  <w:style w:type="paragraph" w:styleId="8">
    <w:name w:val="annotation text"/>
    <w:basedOn w:val="1"/>
    <w:link w:val="46"/>
    <w:qFormat/>
    <w:uiPriority w:val="0"/>
    <w:pPr>
      <w:jc w:val="left"/>
    </w:pPr>
    <w:rPr>
      <w:rFonts w:asciiTheme="minorHAnsi" w:hAnsiTheme="minorHAnsi" w:eastAsiaTheme="minorEastAsia" w:cstheme="minorBidi"/>
    </w:rPr>
  </w:style>
  <w:style w:type="paragraph" w:styleId="9">
    <w:name w:val="Body Text Indent"/>
    <w:basedOn w:val="1"/>
    <w:link w:val="33"/>
    <w:qFormat/>
    <w:uiPriority w:val="0"/>
    <w:pPr>
      <w:ind w:left="2098"/>
    </w:pPr>
    <w:rPr>
      <w:color w:val="000000"/>
      <w:sz w:val="24"/>
    </w:rPr>
  </w:style>
  <w:style w:type="paragraph" w:styleId="10">
    <w:name w:val="toc 3"/>
    <w:basedOn w:val="1"/>
    <w:next w:val="1"/>
    <w:qFormat/>
    <w:uiPriority w:val="39"/>
    <w:pPr>
      <w:spacing w:line="360" w:lineRule="auto"/>
      <w:ind w:left="839" w:leftChars="250" w:right="720" w:hanging="314" w:hangingChars="131"/>
    </w:pPr>
    <w:rPr>
      <w:rFonts w:ascii="宋体" w:hAnsi="宋体"/>
      <w:color w:val="000000" w:themeColor="text1"/>
      <w:sz w:val="24"/>
      <w:szCs w:val="20"/>
      <w14:textFill>
        <w14:solidFill>
          <w14:schemeClr w14:val="tx1"/>
        </w14:solidFill>
      </w14:textFill>
    </w:rPr>
  </w:style>
  <w:style w:type="paragraph" w:styleId="11">
    <w:name w:val="Plain Text"/>
    <w:basedOn w:val="1"/>
    <w:link w:val="35"/>
    <w:qFormat/>
    <w:uiPriority w:val="0"/>
    <w:rPr>
      <w:rFonts w:ascii="宋体" w:hAnsi="Courier New" w:cs="Courier New"/>
      <w:szCs w:val="21"/>
    </w:rPr>
  </w:style>
  <w:style w:type="paragraph" w:styleId="12">
    <w:name w:val="Date"/>
    <w:basedOn w:val="1"/>
    <w:next w:val="1"/>
    <w:link w:val="37"/>
    <w:qFormat/>
    <w:uiPriority w:val="0"/>
    <w:rPr>
      <w:rFonts w:ascii="宋体" w:hAnsi="Courier New"/>
      <w:sz w:val="32"/>
      <w:szCs w:val="20"/>
    </w:rPr>
  </w:style>
  <w:style w:type="paragraph" w:styleId="13">
    <w:name w:val="Balloon Text"/>
    <w:basedOn w:val="1"/>
    <w:link w:val="31"/>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7">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8">
    <w:name w:val="Normal (Web)"/>
    <w:basedOn w:val="1"/>
    <w:qFormat/>
    <w:uiPriority w:val="99"/>
    <w:rPr>
      <w:sz w:val="24"/>
    </w:rPr>
  </w:style>
  <w:style w:type="table" w:styleId="20">
    <w:name w:val="Table Grid"/>
    <w:basedOn w:val="19"/>
    <w:qFormat/>
    <w:uiPriority w:val="39"/>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FollowedHyperlink"/>
    <w:qFormat/>
    <w:uiPriority w:val="99"/>
    <w:rPr>
      <w:color w:val="800080"/>
      <w:u w:val="single"/>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qFormat/>
    <w:uiPriority w:val="0"/>
    <w:rPr>
      <w:sz w:val="21"/>
      <w:szCs w:val="21"/>
    </w:rPr>
  </w:style>
  <w:style w:type="character" w:customStyle="1" w:styleId="25">
    <w:name w:val="标题 1 Char"/>
    <w:basedOn w:val="21"/>
    <w:link w:val="3"/>
    <w:qFormat/>
    <w:uiPriority w:val="9"/>
    <w:rPr>
      <w:rFonts w:ascii="Times New Roman" w:hAnsi="Times New Roman" w:eastAsia="宋体" w:cs="Times New Roman"/>
      <w:b/>
      <w:bCs/>
      <w:kern w:val="44"/>
      <w:sz w:val="44"/>
      <w:szCs w:val="44"/>
    </w:rPr>
  </w:style>
  <w:style w:type="character" w:customStyle="1" w:styleId="26">
    <w:name w:val="标题 2 Char"/>
    <w:basedOn w:val="21"/>
    <w:link w:val="4"/>
    <w:qFormat/>
    <w:uiPriority w:val="0"/>
    <w:rPr>
      <w:rFonts w:ascii="Arial" w:hAnsi="Arial" w:eastAsia="黑体" w:cs="Times New Roman"/>
      <w:b/>
      <w:bCs/>
      <w:sz w:val="32"/>
      <w:szCs w:val="32"/>
    </w:rPr>
  </w:style>
  <w:style w:type="character" w:customStyle="1" w:styleId="27">
    <w:name w:val="标题 3 Char"/>
    <w:basedOn w:val="21"/>
    <w:link w:val="5"/>
    <w:qFormat/>
    <w:uiPriority w:val="9"/>
    <w:rPr>
      <w:rFonts w:ascii="Times New Roman" w:hAnsi="Times New Roman" w:eastAsia="宋体" w:cs="Times New Roman"/>
      <w:b/>
      <w:bCs/>
      <w:sz w:val="32"/>
      <w:szCs w:val="32"/>
    </w:rPr>
  </w:style>
  <w:style w:type="character" w:customStyle="1" w:styleId="28">
    <w:name w:val="标题 6 Char"/>
    <w:basedOn w:val="21"/>
    <w:link w:val="6"/>
    <w:qFormat/>
    <w:uiPriority w:val="9"/>
    <w:rPr>
      <w:rFonts w:ascii="Cambria" w:hAnsi="Cambria" w:eastAsia="宋体" w:cs="Times New Roman"/>
      <w:b/>
      <w:bCs/>
      <w:sz w:val="24"/>
      <w:szCs w:val="24"/>
    </w:rPr>
  </w:style>
  <w:style w:type="character" w:customStyle="1" w:styleId="29">
    <w:name w:val="页眉 Char"/>
    <w:basedOn w:val="21"/>
    <w:link w:val="15"/>
    <w:qFormat/>
    <w:uiPriority w:val="0"/>
    <w:rPr>
      <w:sz w:val="18"/>
      <w:szCs w:val="18"/>
    </w:rPr>
  </w:style>
  <w:style w:type="character" w:customStyle="1" w:styleId="30">
    <w:name w:val="页脚 Char"/>
    <w:basedOn w:val="21"/>
    <w:link w:val="14"/>
    <w:qFormat/>
    <w:uiPriority w:val="99"/>
    <w:rPr>
      <w:sz w:val="18"/>
      <w:szCs w:val="18"/>
    </w:rPr>
  </w:style>
  <w:style w:type="character" w:customStyle="1" w:styleId="31">
    <w:name w:val="批注框文本 Char"/>
    <w:basedOn w:val="21"/>
    <w:link w:val="13"/>
    <w:semiHidden/>
    <w:qFormat/>
    <w:uiPriority w:val="99"/>
    <w:rPr>
      <w:rFonts w:ascii="Times New Roman" w:hAnsi="Times New Roman" w:eastAsia="宋体" w:cs="Times New Roman"/>
      <w:sz w:val="18"/>
      <w:szCs w:val="18"/>
    </w:rPr>
  </w:style>
  <w:style w:type="paragraph" w:styleId="32">
    <w:name w:val="List Paragraph"/>
    <w:basedOn w:val="1"/>
    <w:link w:val="43"/>
    <w:qFormat/>
    <w:uiPriority w:val="34"/>
    <w:pPr>
      <w:ind w:firstLine="420" w:firstLineChars="200"/>
    </w:pPr>
  </w:style>
  <w:style w:type="character" w:customStyle="1" w:styleId="33">
    <w:name w:val="正文文本缩进 Char"/>
    <w:basedOn w:val="21"/>
    <w:link w:val="9"/>
    <w:qFormat/>
    <w:uiPriority w:val="0"/>
    <w:rPr>
      <w:rFonts w:ascii="Times New Roman" w:hAnsi="Times New Roman" w:eastAsia="宋体" w:cs="Times New Roman"/>
      <w:color w:val="000000"/>
      <w:sz w:val="24"/>
      <w:szCs w:val="24"/>
    </w:rPr>
  </w:style>
  <w:style w:type="character" w:customStyle="1" w:styleId="34">
    <w:name w:val="纯文本 Char"/>
    <w:basedOn w:val="21"/>
    <w:qFormat/>
    <w:uiPriority w:val="0"/>
    <w:rPr>
      <w:rFonts w:ascii="宋体" w:hAnsi="Courier New" w:eastAsia="宋体" w:cs="Courier New"/>
      <w:kern w:val="2"/>
      <w:sz w:val="21"/>
      <w:szCs w:val="21"/>
      <w:lang w:val="en-US" w:eastAsia="zh-CN" w:bidi="ar-SA"/>
    </w:rPr>
  </w:style>
  <w:style w:type="character" w:customStyle="1" w:styleId="35">
    <w:name w:val="纯文本 Char1"/>
    <w:basedOn w:val="21"/>
    <w:link w:val="11"/>
    <w:qFormat/>
    <w:uiPriority w:val="0"/>
    <w:rPr>
      <w:rFonts w:ascii="宋体" w:hAnsi="Courier New" w:eastAsia="宋体" w:cs="Courier New"/>
      <w:szCs w:val="21"/>
    </w:rPr>
  </w:style>
  <w:style w:type="character" w:customStyle="1" w:styleId="36">
    <w:name w:val="标题 3 Char Char"/>
    <w:qFormat/>
    <w:uiPriority w:val="0"/>
    <w:rPr>
      <w:rFonts w:ascii="黑体" w:eastAsia="黑体"/>
      <w:bCs/>
      <w:sz w:val="30"/>
    </w:rPr>
  </w:style>
  <w:style w:type="character" w:customStyle="1" w:styleId="37">
    <w:name w:val="日期 Char1"/>
    <w:basedOn w:val="21"/>
    <w:link w:val="12"/>
    <w:qFormat/>
    <w:uiPriority w:val="0"/>
    <w:rPr>
      <w:rFonts w:ascii="宋体" w:hAnsi="Courier New" w:eastAsia="宋体" w:cs="Times New Roman"/>
      <w:sz w:val="32"/>
      <w:szCs w:val="20"/>
    </w:rPr>
  </w:style>
  <w:style w:type="character" w:customStyle="1" w:styleId="38">
    <w:name w:val="日期 Char"/>
    <w:basedOn w:val="21"/>
    <w:semiHidden/>
    <w:qFormat/>
    <w:uiPriority w:val="99"/>
    <w:rPr>
      <w:rFonts w:ascii="Times New Roman" w:hAnsi="Times New Roman" w:eastAsia="宋体" w:cs="Times New Roman"/>
      <w:szCs w:val="24"/>
    </w:rPr>
  </w:style>
  <w:style w:type="paragraph" w:customStyle="1" w:styleId="39">
    <w:name w:val="表格样式1"/>
    <w:basedOn w:val="1"/>
    <w:link w:val="40"/>
    <w:qFormat/>
    <w:uiPriority w:val="0"/>
    <w:pPr>
      <w:autoSpaceDE w:val="0"/>
      <w:autoSpaceDN w:val="0"/>
      <w:adjustRightInd w:val="0"/>
      <w:spacing w:line="360" w:lineRule="auto"/>
      <w:jc w:val="center"/>
    </w:pPr>
    <w:rPr>
      <w:color w:val="FF0000"/>
      <w:kern w:val="0"/>
      <w:sz w:val="24"/>
      <w:szCs w:val="20"/>
    </w:rPr>
  </w:style>
  <w:style w:type="character" w:customStyle="1" w:styleId="40">
    <w:name w:val="表格样式1 Char"/>
    <w:basedOn w:val="21"/>
    <w:link w:val="39"/>
    <w:qFormat/>
    <w:uiPriority w:val="0"/>
    <w:rPr>
      <w:rFonts w:ascii="Times New Roman" w:hAnsi="Times New Roman" w:eastAsia="宋体" w:cs="Times New Roman"/>
      <w:color w:val="FF0000"/>
      <w:kern w:val="0"/>
      <w:sz w:val="24"/>
      <w:szCs w:val="20"/>
    </w:rPr>
  </w:style>
  <w:style w:type="paragraph" w:customStyle="1" w:styleId="41">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42">
    <w:name w:val="6"/>
    <w:basedOn w:val="1"/>
    <w:qFormat/>
    <w:uiPriority w:val="0"/>
    <w:rPr>
      <w:rFonts w:ascii="Tahoma" w:hAnsi="Tahoma"/>
      <w:sz w:val="24"/>
      <w:szCs w:val="20"/>
    </w:rPr>
  </w:style>
  <w:style w:type="character" w:customStyle="1" w:styleId="43">
    <w:name w:val="列出段落 Char"/>
    <w:link w:val="32"/>
    <w:qFormat/>
    <w:locked/>
    <w:uiPriority w:val="0"/>
    <w:rPr>
      <w:rFonts w:ascii="Times New Roman" w:hAnsi="Times New Roman" w:eastAsia="宋体" w:cs="Times New Roman"/>
      <w:szCs w:val="24"/>
    </w:rPr>
  </w:style>
  <w:style w:type="character" w:customStyle="1" w:styleId="44">
    <w:name w:val="标题1"/>
    <w:basedOn w:val="21"/>
    <w:qFormat/>
    <w:uiPriority w:val="0"/>
  </w:style>
  <w:style w:type="character" w:customStyle="1" w:styleId="45">
    <w:name w:val="文档结构图 Char"/>
    <w:basedOn w:val="21"/>
    <w:link w:val="7"/>
    <w:semiHidden/>
    <w:qFormat/>
    <w:uiPriority w:val="99"/>
    <w:rPr>
      <w:rFonts w:ascii="宋体" w:hAnsi="Times New Roman" w:eastAsia="宋体" w:cs="Times New Roman"/>
      <w:sz w:val="18"/>
      <w:szCs w:val="18"/>
    </w:rPr>
  </w:style>
  <w:style w:type="character" w:customStyle="1" w:styleId="46">
    <w:name w:val="批注文字 Char"/>
    <w:link w:val="8"/>
    <w:qFormat/>
    <w:uiPriority w:val="0"/>
    <w:rPr>
      <w:szCs w:val="24"/>
    </w:rPr>
  </w:style>
  <w:style w:type="character" w:customStyle="1" w:styleId="47">
    <w:name w:val="批注文字 Char1"/>
    <w:basedOn w:val="21"/>
    <w:semiHidden/>
    <w:qFormat/>
    <w:uiPriority w:val="99"/>
    <w:rPr>
      <w:rFonts w:ascii="Times New Roman" w:hAnsi="Times New Roman" w:eastAsia="宋体" w:cs="Times New Roman"/>
      <w:szCs w:val="24"/>
    </w:rPr>
  </w:style>
  <w:style w:type="paragraph" w:customStyle="1" w:styleId="4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4DDF6-A9AB-41A0-841B-72C77EA52D6A}">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36</Pages>
  <Words>17367</Words>
  <Characters>17946</Characters>
  <Lines>123</Lines>
  <Paragraphs>34</Paragraphs>
  <TotalTime>6</TotalTime>
  <ScaleCrop>false</ScaleCrop>
  <LinksUpToDate>false</LinksUpToDate>
  <CharactersWithSpaces>18484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2016-01-07T02:11:00Z</dcterms:created>
  <dc:creator>chenjun</dc:creator>
  <cp:lastModifiedBy>hhh</cp:lastModifiedBy>
  <cp:lastPrinted>2016-01-05T02:56:00Z</cp:lastPrinted>
  <dcterms:modified xsi:type="dcterms:W3CDTF">2024-06-21T11:02:11Z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207699F022E24D20A4515F67B053E639</vt:lpwstr>
  </property>
</Properties>
</file>