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color w:val="000000"/>
          <w:kern w:val="0"/>
          <w:sz w:val="52"/>
          <w:szCs w:val="52"/>
        </w:rPr>
      </w:pPr>
    </w:p>
    <w:p>
      <w:pPr>
        <w:jc w:val="center"/>
        <w:rPr>
          <w:rFonts w:eastAsia="黑体"/>
          <w:b/>
          <w:color w:val="000000"/>
          <w:kern w:val="0"/>
          <w:sz w:val="52"/>
          <w:szCs w:val="52"/>
        </w:rPr>
      </w:pPr>
    </w:p>
    <w:p>
      <w:pPr>
        <w:rPr>
          <w:rFonts w:eastAsia="黑体"/>
          <w:b/>
          <w:color w:val="000000"/>
          <w:kern w:val="0"/>
          <w:sz w:val="52"/>
          <w:szCs w:val="52"/>
        </w:rPr>
      </w:pPr>
    </w:p>
    <w:p>
      <w:pPr>
        <w:jc w:val="center"/>
        <w:rPr>
          <w:rFonts w:eastAsia="黑体"/>
          <w:b/>
          <w:color w:val="000000"/>
          <w:kern w:val="0"/>
          <w:sz w:val="52"/>
          <w:szCs w:val="52"/>
        </w:rPr>
      </w:pPr>
    </w:p>
    <w:p>
      <w:pPr>
        <w:jc w:val="center"/>
        <w:rPr>
          <w:rFonts w:eastAsia="黑体"/>
          <w:b/>
          <w:color w:val="000000"/>
          <w:kern w:val="0"/>
          <w:sz w:val="52"/>
          <w:szCs w:val="52"/>
        </w:rPr>
      </w:pPr>
    </w:p>
    <w:p>
      <w:pPr>
        <w:jc w:val="center"/>
        <w:outlineLvl w:val="0"/>
        <w:rPr>
          <w:rFonts w:ascii="黑体" w:hAnsi="黑体" w:eastAsia="黑体" w:cs="黑体"/>
          <w:b/>
          <w:bCs/>
          <w:color w:val="000000" w:themeColor="text1"/>
          <w:kern w:val="0"/>
          <w:sz w:val="52"/>
          <w:szCs w:val="52"/>
        </w:rPr>
      </w:pPr>
      <w:bookmarkStart w:id="0" w:name="_Toc23094"/>
      <w:bookmarkStart w:id="1" w:name="_Toc29746"/>
      <w:bookmarkStart w:id="2" w:name="_Toc1381"/>
      <w:r>
        <w:rPr>
          <w:rFonts w:hint="eastAsia" w:ascii="黑体" w:hAnsi="黑体" w:eastAsia="黑体" w:cs="黑体"/>
          <w:b/>
          <w:bCs/>
          <w:color w:val="000000" w:themeColor="text1"/>
          <w:kern w:val="0"/>
          <w:sz w:val="52"/>
          <w:szCs w:val="52"/>
        </w:rPr>
        <w:t>第十三届深圳动漫节</w:t>
      </w:r>
    </w:p>
    <w:p>
      <w:pPr>
        <w:jc w:val="center"/>
        <w:outlineLvl w:val="0"/>
        <w:rPr>
          <w:rFonts w:eastAsia="黑体"/>
          <w:b/>
          <w:color w:val="000000" w:themeColor="text1"/>
          <w:kern w:val="0"/>
          <w:sz w:val="52"/>
          <w:szCs w:val="52"/>
        </w:rPr>
      </w:pPr>
      <w:r>
        <w:rPr>
          <w:rFonts w:hint="eastAsia" w:ascii="黑体" w:hAnsi="黑体" w:eastAsia="黑体" w:cs="黑体"/>
          <w:b/>
          <w:bCs/>
          <w:color w:val="000000" w:themeColor="text1"/>
          <w:kern w:val="0"/>
          <w:sz w:val="52"/>
          <w:szCs w:val="52"/>
        </w:rPr>
        <w:t>主场服务商</w:t>
      </w:r>
      <w:r>
        <w:rPr>
          <w:rFonts w:hint="eastAsia" w:eastAsia="黑体"/>
          <w:b/>
          <w:color w:val="000000" w:themeColor="text1"/>
          <w:kern w:val="0"/>
          <w:sz w:val="52"/>
          <w:szCs w:val="52"/>
        </w:rPr>
        <w:t>项目</w:t>
      </w:r>
      <w:bookmarkEnd w:id="0"/>
      <w:bookmarkEnd w:id="1"/>
      <w:bookmarkEnd w:id="2"/>
    </w:p>
    <w:p>
      <w:pPr>
        <w:jc w:val="center"/>
        <w:rPr>
          <w:rFonts w:eastAsia="黑体"/>
          <w:b/>
          <w:color w:val="000000" w:themeColor="text1"/>
          <w:kern w:val="0"/>
          <w:sz w:val="52"/>
          <w:szCs w:val="52"/>
        </w:rPr>
      </w:pPr>
    </w:p>
    <w:p>
      <w:pPr>
        <w:jc w:val="center"/>
        <w:rPr>
          <w:rFonts w:eastAsia="黑体"/>
          <w:b/>
          <w:color w:val="000000" w:themeColor="text1"/>
          <w:kern w:val="0"/>
          <w:sz w:val="52"/>
          <w:szCs w:val="52"/>
        </w:rPr>
      </w:pPr>
    </w:p>
    <w:p>
      <w:pPr>
        <w:tabs>
          <w:tab w:val="left" w:pos="3073"/>
        </w:tabs>
        <w:rPr>
          <w:rFonts w:eastAsia="黑体"/>
          <w:b/>
          <w:color w:val="000000" w:themeColor="text1"/>
          <w:kern w:val="0"/>
          <w:sz w:val="52"/>
          <w:szCs w:val="52"/>
        </w:rPr>
      </w:pPr>
      <w:r>
        <w:rPr>
          <w:rFonts w:eastAsia="黑体"/>
          <w:b/>
          <w:color w:val="000000" w:themeColor="text1"/>
          <w:kern w:val="0"/>
          <w:sz w:val="52"/>
          <w:szCs w:val="52"/>
        </w:rPr>
        <w:tab/>
      </w:r>
    </w:p>
    <w:p>
      <w:pPr>
        <w:jc w:val="center"/>
        <w:rPr>
          <w:rFonts w:eastAsia="黑体"/>
          <w:b/>
          <w:bCs/>
          <w:color w:val="000000" w:themeColor="text1"/>
          <w:sz w:val="84"/>
          <w:szCs w:val="21"/>
        </w:rPr>
      </w:pPr>
      <w:r>
        <w:rPr>
          <w:rFonts w:hint="eastAsia" w:eastAsia="黑体"/>
          <w:b/>
          <w:bCs/>
          <w:color w:val="000000" w:themeColor="text1"/>
          <w:sz w:val="84"/>
          <w:szCs w:val="21"/>
        </w:rPr>
        <w:t>邀请招标文件</w:t>
      </w:r>
    </w:p>
    <w:p>
      <w:pPr>
        <w:jc w:val="center"/>
        <w:rPr>
          <w:color w:val="000000" w:themeColor="text1"/>
        </w:rPr>
      </w:pPr>
      <w:bookmarkStart w:id="3" w:name="_Toc14798"/>
      <w:bookmarkStart w:id="4" w:name="_Toc21400"/>
      <w:bookmarkStart w:id="5" w:name="_Toc4793"/>
      <w:r>
        <w:rPr>
          <w:rFonts w:hint="eastAsia" w:ascii="黑体" w:eastAsia="黑体" w:hAnsiTheme="minorEastAsia"/>
          <w:b/>
          <w:color w:val="000000" w:themeColor="text1"/>
          <w:sz w:val="34"/>
          <w:szCs w:val="21"/>
        </w:rPr>
        <w:t>采购编号</w:t>
      </w:r>
      <w:r>
        <w:rPr>
          <w:rFonts w:hint="eastAsia" w:eastAsia="黑体"/>
          <w:color w:val="000000" w:themeColor="text1"/>
          <w:sz w:val="34"/>
          <w:szCs w:val="21"/>
        </w:rPr>
        <w:t>：</w:t>
      </w:r>
      <w:r>
        <w:rPr>
          <w:rFonts w:hint="eastAsia" w:ascii="Impact" w:hAnsi="Impact" w:eastAsia="黑体"/>
          <w:color w:val="000000" w:themeColor="text1"/>
          <w:sz w:val="34"/>
          <w:szCs w:val="21"/>
        </w:rPr>
        <w:t>SJZD</w:t>
      </w:r>
      <w:r>
        <w:rPr>
          <w:rFonts w:ascii="Impact" w:hAnsi="Impact" w:eastAsia="黑体"/>
          <w:color w:val="000000" w:themeColor="text1"/>
          <w:sz w:val="34"/>
          <w:szCs w:val="21"/>
        </w:rPr>
        <w:t>-</w:t>
      </w:r>
      <w:r>
        <w:rPr>
          <w:rFonts w:hint="eastAsia" w:ascii="Impact" w:hAnsi="Impact" w:eastAsia="黑体"/>
          <w:color w:val="000000" w:themeColor="text1"/>
          <w:sz w:val="34"/>
          <w:szCs w:val="21"/>
        </w:rPr>
        <w:t>2024018</w:t>
      </w:r>
      <w:bookmarkEnd w:id="3"/>
      <w:bookmarkEnd w:id="4"/>
      <w:bookmarkEnd w:id="5"/>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rPr>
          <w:color w:val="000000" w:themeColor="text1"/>
        </w:rPr>
      </w:pPr>
    </w:p>
    <w:p>
      <w:pPr>
        <w:jc w:val="center"/>
        <w:rPr>
          <w:color w:val="000000" w:themeColor="text1"/>
        </w:rPr>
      </w:pPr>
    </w:p>
    <w:p>
      <w:pPr>
        <w:jc w:val="center"/>
        <w:rPr>
          <w:color w:val="000000" w:themeColor="text1"/>
        </w:rPr>
      </w:pPr>
    </w:p>
    <w:p>
      <w:pPr>
        <w:jc w:val="center"/>
        <w:outlineLvl w:val="0"/>
        <w:rPr>
          <w:b/>
          <w:sz w:val="28"/>
          <w:szCs w:val="28"/>
        </w:rPr>
      </w:pPr>
      <w:bookmarkStart w:id="6" w:name="_Toc30647"/>
      <w:bookmarkStart w:id="7" w:name="_Toc5867"/>
      <w:bookmarkStart w:id="8" w:name="_Toc4212"/>
      <w:r>
        <w:rPr>
          <w:rFonts w:hint="eastAsia" w:ascii="黑体" w:hAnsi="黑体" w:eastAsia="黑体"/>
          <w:color w:val="000000"/>
          <w:sz w:val="48"/>
          <w:szCs w:val="48"/>
        </w:rPr>
        <w:t>深圳市设计之都运营发展有限公司</w:t>
      </w:r>
      <w:bookmarkEnd w:id="6"/>
      <w:bookmarkEnd w:id="7"/>
      <w:bookmarkEnd w:id="8"/>
    </w:p>
    <w:p>
      <w:pPr>
        <w:jc w:val="center"/>
        <w:rPr>
          <w:color w:val="000000"/>
        </w:rPr>
      </w:pPr>
    </w:p>
    <w:p>
      <w:pPr>
        <w:jc w:val="center"/>
      </w:pPr>
      <w:r>
        <w:br w:type="page"/>
      </w:r>
    </w:p>
    <w:sdt>
      <w:sdtPr>
        <w:rPr>
          <w:rFonts w:ascii="宋体" w:hAnsi="宋体"/>
        </w:rPr>
        <w:id w:val="147478290"/>
        <w:docPartObj>
          <w:docPartGallery w:val="Table of Contents"/>
          <w:docPartUnique/>
        </w:docPartObj>
      </w:sdtPr>
      <w:sdtEndPr>
        <w:rPr>
          <w:rFonts w:ascii="宋体" w:hAnsi="宋体"/>
        </w:rPr>
      </w:sdtEndPr>
      <w:sdtContent>
        <w:p>
          <w:pPr>
            <w:jc w:val="center"/>
          </w:pPr>
          <w:r>
            <w:rPr>
              <w:rFonts w:ascii="宋体" w:hAnsi="宋体"/>
            </w:rPr>
            <w:t>目录</w:t>
          </w:r>
        </w:p>
        <w:p>
          <w:pPr>
            <w:pStyle w:val="48"/>
            <w:tabs>
              <w:tab w:val="right" w:leader="dot" w:pos="8312"/>
            </w:tabs>
          </w:pPr>
          <w:r>
            <w:fldChar w:fldCharType="begin"/>
          </w:r>
          <w:r>
            <w:instrText xml:space="preserve">TOC \o "1-1" \h \u </w:instrText>
          </w:r>
          <w:r>
            <w:fldChar w:fldCharType="separate"/>
          </w:r>
        </w:p>
        <w:p>
          <w:pPr>
            <w:pStyle w:val="48"/>
            <w:tabs>
              <w:tab w:val="right" w:leader="dot" w:pos="8312"/>
            </w:tabs>
          </w:pPr>
          <w:r>
            <w:fldChar w:fldCharType="begin"/>
          </w:r>
          <w:r>
            <w:instrText xml:space="preserve"> HYPERLINK \l _Toc26576 </w:instrText>
          </w:r>
          <w:r>
            <w:fldChar w:fldCharType="separate"/>
          </w:r>
          <w:r>
            <w:rPr>
              <w:rFonts w:hint="eastAsia"/>
            </w:rPr>
            <w:t>招标文件第一册</w:t>
          </w:r>
          <w:r>
            <w:tab/>
          </w:r>
          <w:r>
            <w:fldChar w:fldCharType="begin"/>
          </w:r>
          <w:r>
            <w:instrText xml:space="preserve"> PAGEREF _Toc26576 \h </w:instrText>
          </w:r>
          <w:r>
            <w:fldChar w:fldCharType="separate"/>
          </w:r>
          <w:r>
            <w:t>3</w:t>
          </w:r>
          <w:r>
            <w:fldChar w:fldCharType="end"/>
          </w:r>
          <w:r>
            <w:fldChar w:fldCharType="end"/>
          </w:r>
        </w:p>
        <w:p>
          <w:pPr>
            <w:pStyle w:val="48"/>
            <w:tabs>
              <w:tab w:val="right" w:leader="dot" w:pos="8312"/>
            </w:tabs>
          </w:pPr>
          <w:r>
            <w:fldChar w:fldCharType="begin"/>
          </w:r>
          <w:r>
            <w:instrText xml:space="preserve"> HYPERLINK \l _Toc27395 </w:instrText>
          </w:r>
          <w:r>
            <w:fldChar w:fldCharType="separate"/>
          </w:r>
          <w:r>
            <w:rPr>
              <w:rFonts w:hint="eastAsia" w:ascii="黑体" w:eastAsia="黑体"/>
              <w:szCs w:val="44"/>
            </w:rPr>
            <w:t>第一章 投标邀请</w:t>
          </w:r>
          <w:r>
            <w:tab/>
          </w:r>
          <w:r>
            <w:fldChar w:fldCharType="begin"/>
          </w:r>
          <w:r>
            <w:instrText xml:space="preserve"> PAGEREF _Toc27395 \h </w:instrText>
          </w:r>
          <w:r>
            <w:fldChar w:fldCharType="separate"/>
          </w:r>
          <w:r>
            <w:t>4</w:t>
          </w:r>
          <w:r>
            <w:fldChar w:fldCharType="end"/>
          </w:r>
          <w:r>
            <w:fldChar w:fldCharType="end"/>
          </w:r>
        </w:p>
        <w:p>
          <w:pPr>
            <w:pStyle w:val="48"/>
            <w:tabs>
              <w:tab w:val="right" w:leader="dot" w:pos="8312"/>
            </w:tabs>
          </w:pPr>
          <w:r>
            <w:fldChar w:fldCharType="begin"/>
          </w:r>
          <w:r>
            <w:instrText xml:space="preserve"> HYPERLINK \l _Toc22010 </w:instrText>
          </w:r>
          <w:r>
            <w:fldChar w:fldCharType="separate"/>
          </w:r>
          <w:r>
            <w:rPr>
              <w:rFonts w:hint="eastAsia" w:ascii="黑体" w:eastAsia="黑体"/>
              <w:szCs w:val="44"/>
            </w:rPr>
            <w:t>第二章 投标资料表</w:t>
          </w:r>
          <w:r>
            <w:tab/>
          </w:r>
          <w:r>
            <w:fldChar w:fldCharType="begin"/>
          </w:r>
          <w:r>
            <w:instrText xml:space="preserve"> PAGEREF _Toc22010 \h </w:instrText>
          </w:r>
          <w:r>
            <w:fldChar w:fldCharType="separate"/>
          </w:r>
          <w:r>
            <w:t>5</w:t>
          </w:r>
          <w:r>
            <w:fldChar w:fldCharType="end"/>
          </w:r>
          <w:r>
            <w:fldChar w:fldCharType="end"/>
          </w:r>
        </w:p>
        <w:p>
          <w:pPr>
            <w:pStyle w:val="48"/>
            <w:tabs>
              <w:tab w:val="right" w:leader="dot" w:pos="8312"/>
            </w:tabs>
          </w:pPr>
          <w:r>
            <w:fldChar w:fldCharType="begin"/>
          </w:r>
          <w:r>
            <w:instrText xml:space="preserve"> HYPERLINK \l _Toc9313 </w:instrText>
          </w:r>
          <w:r>
            <w:fldChar w:fldCharType="separate"/>
          </w:r>
          <w:r>
            <w:rPr>
              <w:rFonts w:hint="eastAsia" w:ascii="黑体" w:eastAsia="黑体"/>
              <w:szCs w:val="44"/>
            </w:rPr>
            <w:t>第三章 用户需求书</w:t>
          </w:r>
          <w:r>
            <w:tab/>
          </w:r>
          <w:r>
            <w:fldChar w:fldCharType="begin"/>
          </w:r>
          <w:r>
            <w:instrText xml:space="preserve"> PAGEREF _Toc9313 \h </w:instrText>
          </w:r>
          <w:r>
            <w:fldChar w:fldCharType="separate"/>
          </w:r>
          <w:r>
            <w:t>10</w:t>
          </w:r>
          <w:r>
            <w:fldChar w:fldCharType="end"/>
          </w:r>
          <w:r>
            <w:fldChar w:fldCharType="end"/>
          </w:r>
        </w:p>
        <w:p>
          <w:pPr>
            <w:pStyle w:val="48"/>
            <w:tabs>
              <w:tab w:val="right" w:leader="dot" w:pos="8312"/>
            </w:tabs>
          </w:pPr>
          <w:r>
            <w:fldChar w:fldCharType="begin"/>
          </w:r>
          <w:r>
            <w:instrText xml:space="preserve"> HYPERLINK \l _Toc12236 </w:instrText>
          </w:r>
          <w:r>
            <w:fldChar w:fldCharType="separate"/>
          </w:r>
          <w:r>
            <w:rPr>
              <w:rFonts w:hint="eastAsia"/>
              <w:szCs w:val="44"/>
            </w:rPr>
            <w:t>招标文件第二册</w:t>
          </w:r>
          <w:r>
            <w:tab/>
          </w:r>
          <w:r>
            <w:fldChar w:fldCharType="begin"/>
          </w:r>
          <w:r>
            <w:instrText xml:space="preserve"> PAGEREF _Toc12236 \h </w:instrText>
          </w:r>
          <w:r>
            <w:fldChar w:fldCharType="separate"/>
          </w:r>
          <w:r>
            <w:t>14</w:t>
          </w:r>
          <w:r>
            <w:fldChar w:fldCharType="end"/>
          </w:r>
          <w:r>
            <w:fldChar w:fldCharType="end"/>
          </w:r>
        </w:p>
        <w:p>
          <w:pPr>
            <w:pStyle w:val="48"/>
            <w:tabs>
              <w:tab w:val="right" w:leader="dot" w:pos="8312"/>
            </w:tabs>
          </w:pPr>
          <w:r>
            <w:fldChar w:fldCharType="begin"/>
          </w:r>
          <w:r>
            <w:instrText xml:space="preserve"> HYPERLINK \l _Toc17444 </w:instrText>
          </w:r>
          <w:r>
            <w:fldChar w:fldCharType="separate"/>
          </w:r>
          <w:r>
            <w:rPr>
              <w:rFonts w:hint="eastAsia" w:ascii="黑体" w:eastAsia="黑体"/>
              <w:szCs w:val="44"/>
            </w:rPr>
            <w:t>第四章 投标人须知</w:t>
          </w:r>
          <w:r>
            <w:tab/>
          </w:r>
          <w:r>
            <w:fldChar w:fldCharType="begin"/>
          </w:r>
          <w:r>
            <w:instrText xml:space="preserve"> PAGEREF _Toc17444 \h </w:instrText>
          </w:r>
          <w:r>
            <w:fldChar w:fldCharType="separate"/>
          </w:r>
          <w:r>
            <w:t>15</w:t>
          </w:r>
          <w:r>
            <w:fldChar w:fldCharType="end"/>
          </w:r>
          <w:r>
            <w:fldChar w:fldCharType="end"/>
          </w:r>
        </w:p>
        <w:p>
          <w:pPr>
            <w:pStyle w:val="48"/>
            <w:tabs>
              <w:tab w:val="right" w:leader="dot" w:pos="8312"/>
            </w:tabs>
          </w:pPr>
          <w:r>
            <w:fldChar w:fldCharType="begin"/>
          </w:r>
          <w:r>
            <w:instrText xml:space="preserve"> HYPERLINK \l _Toc15172 </w:instrText>
          </w:r>
          <w:r>
            <w:fldChar w:fldCharType="separate"/>
          </w:r>
          <w:r>
            <w:rPr>
              <w:rFonts w:hint="eastAsia" w:ascii="黑体" w:eastAsia="黑体"/>
              <w:szCs w:val="44"/>
            </w:rPr>
            <w:t>第五章 合同条款</w:t>
          </w:r>
          <w:r>
            <w:tab/>
          </w:r>
          <w:r>
            <w:fldChar w:fldCharType="begin"/>
          </w:r>
          <w:r>
            <w:instrText xml:space="preserve"> PAGEREF _Toc15172 \h </w:instrText>
          </w:r>
          <w:r>
            <w:fldChar w:fldCharType="separate"/>
          </w:r>
          <w:r>
            <w:t>24</w:t>
          </w:r>
          <w:r>
            <w:fldChar w:fldCharType="end"/>
          </w:r>
          <w:r>
            <w:fldChar w:fldCharType="end"/>
          </w:r>
        </w:p>
        <w:p>
          <w:pPr>
            <w:pStyle w:val="48"/>
            <w:tabs>
              <w:tab w:val="right" w:leader="dot" w:pos="8312"/>
            </w:tabs>
          </w:pPr>
          <w:r>
            <w:fldChar w:fldCharType="begin"/>
          </w:r>
          <w:r>
            <w:instrText xml:space="preserve"> HYPERLINK \l _Toc28843 </w:instrText>
          </w:r>
          <w:r>
            <w:fldChar w:fldCharType="separate"/>
          </w:r>
          <w:r>
            <w:rPr>
              <w:rFonts w:hint="eastAsia" w:ascii="黑体" w:eastAsia="黑体"/>
              <w:szCs w:val="44"/>
            </w:rPr>
            <w:t>第六章 附件－投标文件格式</w:t>
          </w:r>
          <w:r>
            <w:tab/>
          </w:r>
          <w:r>
            <w:fldChar w:fldCharType="begin"/>
          </w:r>
          <w:r>
            <w:instrText xml:space="preserve"> PAGEREF _Toc28843 \h </w:instrText>
          </w:r>
          <w:r>
            <w:fldChar w:fldCharType="separate"/>
          </w:r>
          <w:r>
            <w:t>25</w:t>
          </w:r>
          <w:r>
            <w:fldChar w:fldCharType="end"/>
          </w:r>
          <w:r>
            <w:fldChar w:fldCharType="end"/>
          </w:r>
        </w:p>
        <w:p>
          <w:r>
            <w:fldChar w:fldCharType="end"/>
          </w:r>
        </w:p>
      </w:sdtContent>
    </w:sdt>
    <w:p>
      <w:pPr>
        <w:ind w:firstLine="315" w:firstLineChars="150"/>
        <w:rPr>
          <w:rFonts w:ascii="黑体" w:eastAsia="黑体"/>
          <w:sz w:val="24"/>
        </w:rPr>
      </w:pPr>
      <w:r>
        <w:rPr>
          <w:rFonts w:hint="eastAsia" w:ascii="楷体_GB2312" w:eastAsia="楷体_GB2312"/>
        </w:rPr>
        <w:t>注：第一册的内容是对具体招标项目的说明、补充、完善和对第二册的修改等，第二册是招标文件的通用条款，第一册与第二册内容如有差异，以第一册内容为准。</w:t>
      </w:r>
    </w:p>
    <w:p>
      <w:pPr>
        <w:widowControl/>
        <w:jc w:val="left"/>
        <w:rPr>
          <w:rFonts w:eastAsia="黑体"/>
          <w:sz w:val="52"/>
          <w:szCs w:val="52"/>
        </w:rPr>
      </w:pPr>
      <w:bookmarkStart w:id="85" w:name="_GoBack"/>
      <w:bookmarkEnd w:id="85"/>
      <w:r>
        <w:br w:type="page"/>
      </w: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pStyle w:val="3"/>
        <w:jc w:val="center"/>
      </w:pPr>
      <w:bookmarkStart w:id="9" w:name="_Toc26576"/>
      <w:r>
        <w:rPr>
          <w:rFonts w:hint="eastAsia"/>
        </w:rPr>
        <w:t>招标文件第一册</w:t>
      </w:r>
      <w:bookmarkEnd w:id="9"/>
    </w:p>
    <w:p>
      <w:pPr>
        <w:numPr>
          <w:ilvl w:val="255"/>
          <w:numId w:val="0"/>
        </w:numPr>
        <w:jc w:val="left"/>
        <w:rPr>
          <w:rFonts w:ascii="黑体" w:eastAsia="黑体"/>
          <w:sz w:val="44"/>
          <w:szCs w:val="44"/>
        </w:rPr>
      </w:pPr>
      <w:r>
        <w:rPr>
          <w:rFonts w:hint="eastAsia" w:ascii="黑体" w:eastAsia="黑体"/>
          <w:sz w:val="44"/>
          <w:szCs w:val="44"/>
        </w:rPr>
        <w:br w:type="page"/>
      </w:r>
    </w:p>
    <w:p>
      <w:pPr>
        <w:numPr>
          <w:ilvl w:val="0"/>
          <w:numId w:val="1"/>
        </w:numPr>
        <w:spacing w:beforeLines="100" w:afterLines="100"/>
        <w:ind w:firstLine="402"/>
        <w:jc w:val="center"/>
        <w:outlineLvl w:val="0"/>
        <w:rPr>
          <w:rFonts w:ascii="黑体" w:eastAsia="黑体"/>
          <w:sz w:val="44"/>
          <w:szCs w:val="44"/>
        </w:rPr>
      </w:pPr>
      <w:bookmarkStart w:id="10" w:name="_Toc27395"/>
      <w:r>
        <w:rPr>
          <w:rFonts w:hint="eastAsia" w:ascii="黑体" w:eastAsia="黑体"/>
          <w:sz w:val="44"/>
          <w:szCs w:val="44"/>
        </w:rPr>
        <w:t>投标邀请</w:t>
      </w:r>
      <w:bookmarkEnd w:id="10"/>
    </w:p>
    <w:p>
      <w:pPr>
        <w:autoSpaceDE w:val="0"/>
        <w:autoSpaceDN w:val="0"/>
        <w:adjustRightInd w:val="0"/>
        <w:snapToGrid w:val="0"/>
        <w:spacing w:line="360" w:lineRule="auto"/>
        <w:ind w:firstLine="426"/>
        <w:rPr>
          <w:rFonts w:ascii="宋体" w:hAnsi="宋体" w:cs="Arial"/>
          <w:color w:val="000000" w:themeColor="text1"/>
          <w:lang w:val="zh-CN"/>
        </w:rPr>
      </w:pPr>
      <w:r>
        <w:rPr>
          <w:rFonts w:hint="eastAsia" w:ascii="宋体" w:hAnsi="宋体" w:cs="仿宋_GB2312"/>
          <w:color w:val="000000" w:themeColor="text1"/>
        </w:rPr>
        <w:t>根据政府相关法律法规及深圳市设计之都运营发展有限公司关于招标的各项规定，就</w:t>
      </w:r>
      <w:r>
        <w:rPr>
          <w:rFonts w:hint="eastAsia" w:ascii="宋体" w:hAnsi="宋体" w:cs="仿宋_GB2312"/>
          <w:b/>
          <w:color w:val="000000" w:themeColor="text1"/>
          <w:u w:val="single"/>
        </w:rPr>
        <w:t>第十三届深圳动漫节主场服务商项目</w:t>
      </w:r>
      <w:r>
        <w:rPr>
          <w:rFonts w:hint="eastAsia" w:ascii="宋体" w:hAnsi="宋体" w:cs="仿宋_GB2312"/>
          <w:color w:val="000000" w:themeColor="text1"/>
        </w:rPr>
        <w:t>进行邀请招标</w:t>
      </w:r>
      <w:r>
        <w:rPr>
          <w:rFonts w:ascii="宋体" w:hAnsi="宋体" w:cs="Arial"/>
          <w:color w:val="000000" w:themeColor="text1"/>
          <w:lang w:val="zh-CN"/>
        </w:rPr>
        <w:t>，欢迎符合资质要求并能提供相关服务的投标人参加投标。</w:t>
      </w:r>
      <w:r>
        <w:rPr>
          <w:rFonts w:hint="eastAsia" w:ascii="宋体" w:hAnsi="宋体" w:cs="Arial"/>
          <w:color w:val="000000" w:themeColor="text1"/>
          <w:lang w:val="zh-CN"/>
        </w:rPr>
        <w:t>本项目招标</w:t>
      </w:r>
      <w:r>
        <w:rPr>
          <w:rFonts w:ascii="宋体" w:hAnsi="宋体" w:cs="Arial"/>
          <w:bCs/>
          <w:color w:val="000000" w:themeColor="text1"/>
        </w:rPr>
        <w:t>编号：</w:t>
      </w:r>
      <w:r>
        <w:rPr>
          <w:rFonts w:hint="eastAsia" w:ascii="宋体" w:hAnsi="宋体" w:cs="宋体"/>
          <w:color w:val="000000" w:themeColor="text1"/>
          <w:u w:val="single"/>
        </w:rPr>
        <w:t>SJZD-2024018</w:t>
      </w:r>
      <w:r>
        <w:rPr>
          <w:rFonts w:hint="eastAsia" w:ascii="宋体" w:hAnsi="宋体" w:cs="宋体"/>
          <w:color w:val="000000" w:themeColor="text1"/>
        </w:rPr>
        <w:t>。</w:t>
      </w:r>
    </w:p>
    <w:p>
      <w:pPr>
        <w:numPr>
          <w:ilvl w:val="0"/>
          <w:numId w:val="2"/>
        </w:numPr>
        <w:autoSpaceDE w:val="0"/>
        <w:autoSpaceDN w:val="0"/>
        <w:adjustRightInd w:val="0"/>
        <w:snapToGrid w:val="0"/>
        <w:spacing w:beforeLines="50" w:afterLines="50"/>
        <w:ind w:firstLine="420"/>
        <w:outlineLvl w:val="0"/>
        <w:rPr>
          <w:rFonts w:ascii="宋体" w:hAnsi="宋体" w:cs="Arial"/>
          <w:b/>
          <w:bCs/>
          <w:color w:val="000000" w:themeColor="text1"/>
          <w:lang w:val="zh-CN"/>
        </w:rPr>
      </w:pPr>
      <w:bookmarkStart w:id="11" w:name="_Toc13312"/>
      <w:bookmarkStart w:id="12" w:name="_Toc21712"/>
      <w:bookmarkStart w:id="13" w:name="_Toc8622"/>
      <w:r>
        <w:rPr>
          <w:rFonts w:ascii="宋体" w:hAnsi="宋体" w:cs="Arial"/>
          <w:b/>
          <w:bCs/>
          <w:color w:val="000000" w:themeColor="text1"/>
          <w:lang w:val="zh-CN"/>
        </w:rPr>
        <w:t>招标项目名称</w:t>
      </w:r>
      <w:r>
        <w:rPr>
          <w:rFonts w:hint="eastAsia"/>
          <w:b/>
          <w:color w:val="000000" w:themeColor="text1"/>
        </w:rPr>
        <w:t>、用途、简要技术要求或者招标项目的性质</w:t>
      </w:r>
      <w:r>
        <w:rPr>
          <w:rFonts w:ascii="宋体" w:hAnsi="宋体" w:cs="Arial"/>
          <w:b/>
          <w:bCs/>
          <w:color w:val="000000" w:themeColor="text1"/>
          <w:lang w:val="zh-CN"/>
        </w:rPr>
        <w:t>：</w:t>
      </w:r>
      <w:bookmarkEnd w:id="11"/>
      <w:bookmarkEnd w:id="12"/>
      <w:bookmarkEnd w:id="13"/>
    </w:p>
    <w:p>
      <w:pPr>
        <w:autoSpaceDE w:val="0"/>
        <w:autoSpaceDN w:val="0"/>
        <w:adjustRightInd w:val="0"/>
        <w:snapToGrid w:val="0"/>
        <w:spacing w:line="360" w:lineRule="auto"/>
        <w:ind w:firstLine="478" w:firstLineChars="228"/>
        <w:rPr>
          <w:rFonts w:ascii="宋体" w:hAnsi="宋体" w:cs="仿宋_GB2312"/>
          <w:color w:val="000000" w:themeColor="text1"/>
        </w:rPr>
      </w:pPr>
      <w:r>
        <w:rPr>
          <w:rFonts w:hint="eastAsia" w:ascii="宋体" w:hAnsi="宋体" w:cs="仿宋_GB2312"/>
          <w:color w:val="000000" w:themeColor="text1"/>
        </w:rPr>
        <w:t>1、项目名称：</w:t>
      </w:r>
      <w:r>
        <w:rPr>
          <w:rFonts w:hint="eastAsia" w:ascii="宋体" w:hAnsi="宋体" w:cs="仿宋_GB2312"/>
          <w:b/>
          <w:color w:val="000000" w:themeColor="text1"/>
          <w:u w:val="single"/>
        </w:rPr>
        <w:t>第十三届深圳动漫节主场服务商项目</w:t>
      </w:r>
    </w:p>
    <w:p>
      <w:pPr>
        <w:autoSpaceDE w:val="0"/>
        <w:autoSpaceDN w:val="0"/>
        <w:adjustRightInd w:val="0"/>
        <w:snapToGrid w:val="0"/>
        <w:spacing w:line="360" w:lineRule="auto"/>
        <w:ind w:firstLine="480"/>
        <w:rPr>
          <w:rFonts w:ascii="宋体" w:hAnsi="宋体" w:cs="仿宋_GB2312"/>
        </w:rPr>
      </w:pPr>
      <w:r>
        <w:rPr>
          <w:rFonts w:hint="eastAsia" w:ascii="宋体" w:hAnsi="宋体" w:cs="仿宋_GB2312"/>
        </w:rPr>
        <w:t>2、简要技术要求或招标项目的性质：详细内容请参阅招标文件第三章《用户需求书》。</w:t>
      </w:r>
    </w:p>
    <w:p>
      <w:pPr>
        <w:autoSpaceDE w:val="0"/>
        <w:autoSpaceDN w:val="0"/>
        <w:adjustRightInd w:val="0"/>
        <w:snapToGrid w:val="0"/>
        <w:spacing w:line="360" w:lineRule="auto"/>
        <w:ind w:firstLine="480"/>
        <w:rPr>
          <w:rFonts w:ascii="宋体" w:hAnsi="宋体" w:cs="仿宋_GB2312"/>
        </w:rPr>
      </w:pPr>
    </w:p>
    <w:p>
      <w:pPr>
        <w:numPr>
          <w:ilvl w:val="0"/>
          <w:numId w:val="2"/>
        </w:numPr>
        <w:autoSpaceDE w:val="0"/>
        <w:autoSpaceDN w:val="0"/>
        <w:adjustRightInd w:val="0"/>
        <w:snapToGrid w:val="0"/>
        <w:spacing w:beforeLines="50" w:afterLines="50"/>
        <w:ind w:firstLine="420"/>
        <w:rPr>
          <w:b/>
        </w:rPr>
      </w:pPr>
      <w:r>
        <w:rPr>
          <w:rFonts w:hint="eastAsia"/>
          <w:b/>
        </w:rPr>
        <w:t>投标人需具有的相关</w:t>
      </w:r>
      <w:r>
        <w:rPr>
          <w:b/>
        </w:rPr>
        <w:t>资质：</w:t>
      </w:r>
    </w:p>
    <w:p>
      <w:pPr>
        <w:autoSpaceDE w:val="0"/>
        <w:autoSpaceDN w:val="0"/>
        <w:adjustRightInd w:val="0"/>
        <w:snapToGrid w:val="0"/>
        <w:spacing w:line="360" w:lineRule="auto"/>
        <w:ind w:firstLine="420" w:firstLineChars="200"/>
        <w:rPr>
          <w:rFonts w:ascii="宋体" w:hAnsi="宋体" w:cs="仿宋_GB2312"/>
          <w:color w:val="000000" w:themeColor="text1"/>
        </w:rPr>
      </w:pPr>
      <w:r>
        <w:rPr>
          <w:rFonts w:hint="eastAsia" w:ascii="宋体" w:hAnsi="宋体" w:cs="仿宋_GB2312"/>
          <w:color w:val="000000" w:themeColor="text1"/>
        </w:rPr>
        <w:t>1、行业资质要求：受邀人必须是在中国境内注册的独立法人企业，具有履行合同的服</w:t>
      </w:r>
    </w:p>
    <w:p>
      <w:pPr>
        <w:autoSpaceDE w:val="0"/>
        <w:autoSpaceDN w:val="0"/>
        <w:adjustRightInd w:val="0"/>
        <w:snapToGrid w:val="0"/>
        <w:spacing w:line="360" w:lineRule="auto"/>
        <w:ind w:firstLine="735" w:firstLineChars="350"/>
        <w:rPr>
          <w:rFonts w:ascii="宋体" w:hAnsi="宋体" w:cs="仿宋_GB2312"/>
          <w:color w:val="000000" w:themeColor="text1"/>
        </w:rPr>
      </w:pPr>
      <w:r>
        <w:rPr>
          <w:rFonts w:hint="eastAsia" w:ascii="宋体" w:hAnsi="宋体" w:cs="仿宋_GB2312"/>
          <w:color w:val="000000" w:themeColor="text1"/>
        </w:rPr>
        <w:t>务能力、专业技术能力、供应保障能力及风险控制能力；</w:t>
      </w:r>
    </w:p>
    <w:p>
      <w:pPr>
        <w:autoSpaceDE w:val="0"/>
        <w:autoSpaceDN w:val="0"/>
        <w:adjustRightInd w:val="0"/>
        <w:snapToGrid w:val="0"/>
        <w:spacing w:line="360" w:lineRule="auto"/>
        <w:ind w:firstLine="420" w:firstLineChars="200"/>
        <w:rPr>
          <w:rFonts w:ascii="宋体" w:hAnsi="宋体" w:cs="仿宋_GB2312"/>
          <w:color w:val="000000" w:themeColor="text1"/>
        </w:rPr>
      </w:pPr>
      <w:r>
        <w:rPr>
          <w:rFonts w:hint="eastAsia" w:ascii="宋体" w:hAnsi="宋体" w:cs="仿宋_GB2312"/>
          <w:color w:val="000000" w:themeColor="text1"/>
        </w:rPr>
        <w:t>2</w:t>
      </w:r>
      <w:r>
        <w:rPr>
          <w:rFonts w:ascii="宋体" w:hAnsi="宋体" w:cs="仿宋_GB2312"/>
          <w:color w:val="000000" w:themeColor="text1"/>
        </w:rPr>
        <w:t>、具有良好的银行资信和商业信誉，无处于被责令停业，财产被接管，冻结，破产状</w:t>
      </w:r>
    </w:p>
    <w:p>
      <w:pPr>
        <w:autoSpaceDE w:val="0"/>
        <w:autoSpaceDN w:val="0"/>
        <w:adjustRightInd w:val="0"/>
        <w:snapToGrid w:val="0"/>
        <w:spacing w:line="360" w:lineRule="auto"/>
        <w:ind w:firstLine="735" w:firstLineChars="350"/>
        <w:rPr>
          <w:rFonts w:ascii="宋体" w:hAnsi="宋体" w:cs="仿宋_GB2312"/>
          <w:color w:val="000000" w:themeColor="text1"/>
        </w:rPr>
      </w:pPr>
      <w:r>
        <w:rPr>
          <w:rFonts w:ascii="宋体" w:hAnsi="宋体" w:cs="仿宋_GB2312"/>
          <w:color w:val="000000" w:themeColor="text1"/>
        </w:rPr>
        <w:t xml:space="preserve">态。 </w:t>
      </w:r>
    </w:p>
    <w:p>
      <w:pPr>
        <w:autoSpaceDE w:val="0"/>
        <w:autoSpaceDN w:val="0"/>
        <w:adjustRightInd w:val="0"/>
        <w:snapToGrid w:val="0"/>
        <w:spacing w:line="360" w:lineRule="auto"/>
        <w:ind w:firstLine="420" w:firstLineChars="200"/>
        <w:rPr>
          <w:rFonts w:ascii="宋体" w:hAnsi="宋体" w:cs="仿宋_GB2312"/>
          <w:color w:val="000000" w:themeColor="text1"/>
        </w:rPr>
      </w:pPr>
      <w:r>
        <w:rPr>
          <w:rFonts w:hint="eastAsia" w:ascii="宋体" w:hAnsi="宋体" w:cs="仿宋_GB2312"/>
          <w:color w:val="000000" w:themeColor="text1"/>
        </w:rPr>
        <w:t>3</w:t>
      </w:r>
      <w:r>
        <w:rPr>
          <w:rFonts w:ascii="宋体" w:hAnsi="宋体" w:cs="仿宋_GB2312"/>
          <w:color w:val="000000" w:themeColor="text1"/>
        </w:rPr>
        <w:t>、申请人必须在法律上和财务上独立、合法运作，不存在违法违规等不良记录。</w:t>
      </w:r>
    </w:p>
    <w:p>
      <w:pPr>
        <w:autoSpaceDE w:val="0"/>
        <w:autoSpaceDN w:val="0"/>
        <w:adjustRightInd w:val="0"/>
        <w:snapToGrid w:val="0"/>
        <w:spacing w:line="360" w:lineRule="auto"/>
        <w:ind w:firstLine="420" w:firstLineChars="200"/>
        <w:rPr>
          <w:rFonts w:ascii="宋体" w:hAnsi="宋体" w:cs="宋体"/>
          <w:color w:val="000000" w:themeColor="text1"/>
        </w:rPr>
      </w:pPr>
      <w:r>
        <w:rPr>
          <w:rFonts w:hint="eastAsia" w:ascii="宋体" w:hAnsi="宋体" w:cs="仿宋_GB2312"/>
          <w:color w:val="000000" w:themeColor="text1"/>
        </w:rPr>
        <w:t>4</w:t>
      </w:r>
      <w:r>
        <w:rPr>
          <w:rFonts w:ascii="宋体" w:hAnsi="宋体" w:cs="仿宋_GB2312"/>
          <w:color w:val="000000" w:themeColor="text1"/>
        </w:rPr>
        <w:t>、投标</w:t>
      </w:r>
      <w:r>
        <w:rPr>
          <w:rFonts w:hint="eastAsia" w:ascii="宋体" w:hAnsi="宋体" w:cs="仿宋_GB2312"/>
          <w:color w:val="000000" w:themeColor="text1"/>
        </w:rPr>
        <w:t>人</w:t>
      </w:r>
      <w:r>
        <w:rPr>
          <w:rFonts w:ascii="宋体" w:hAnsi="宋体" w:cs="仿宋_GB2312"/>
          <w:color w:val="000000" w:themeColor="text1"/>
        </w:rPr>
        <w:t>要求是有多</w:t>
      </w:r>
      <w:r>
        <w:rPr>
          <w:rFonts w:hint="eastAsia" w:ascii="宋体" w:hAnsi="宋体" w:cs="宋体"/>
          <w:color w:val="000000" w:themeColor="text1"/>
        </w:rPr>
        <w:t>年从事展会搭建行业的专业公司。</w:t>
      </w:r>
    </w:p>
    <w:p>
      <w:pPr>
        <w:autoSpaceDE w:val="0"/>
        <w:autoSpaceDN w:val="0"/>
        <w:adjustRightInd w:val="0"/>
        <w:snapToGrid w:val="0"/>
        <w:spacing w:line="360" w:lineRule="auto"/>
        <w:ind w:firstLine="420" w:firstLineChars="200"/>
        <w:rPr>
          <w:rFonts w:ascii="宋体" w:hAnsi="宋体" w:cs="宋体"/>
          <w:color w:val="000000" w:themeColor="text1"/>
        </w:rPr>
      </w:pPr>
      <w:r>
        <w:rPr>
          <w:rFonts w:hint="eastAsia" w:ascii="宋体" w:hAnsi="宋体" w:cs="宋体"/>
          <w:color w:val="000000" w:themeColor="text1"/>
        </w:rPr>
        <w:t>5、本项目不接受联合体投标，不得分包、转包。</w:t>
      </w:r>
    </w:p>
    <w:p>
      <w:pPr>
        <w:autoSpaceDE w:val="0"/>
        <w:autoSpaceDN w:val="0"/>
        <w:adjustRightInd w:val="0"/>
        <w:snapToGrid w:val="0"/>
        <w:spacing w:line="360" w:lineRule="auto"/>
        <w:rPr>
          <w:rFonts w:ascii="宋体" w:hAnsi="宋体" w:cs="宋体"/>
          <w:color w:val="000000" w:themeColor="text1"/>
        </w:rPr>
      </w:pPr>
    </w:p>
    <w:p>
      <w:pPr>
        <w:numPr>
          <w:ilvl w:val="0"/>
          <w:numId w:val="2"/>
        </w:numPr>
        <w:autoSpaceDE w:val="0"/>
        <w:autoSpaceDN w:val="0"/>
        <w:adjustRightInd w:val="0"/>
        <w:snapToGrid w:val="0"/>
        <w:spacing w:beforeLines="50" w:afterLines="50"/>
        <w:ind w:firstLine="420"/>
        <w:rPr>
          <w:rFonts w:ascii="宋体" w:hAnsi="宋体" w:cs="宋体"/>
          <w:b/>
        </w:rPr>
      </w:pPr>
      <w:r>
        <w:rPr>
          <w:rFonts w:hint="eastAsia" w:ascii="宋体" w:hAnsi="宋体" w:cs="宋体"/>
          <w:b/>
        </w:rPr>
        <w:t>投标截止时间、开标时间及地点：</w:t>
      </w:r>
    </w:p>
    <w:p>
      <w:pPr>
        <w:autoSpaceDE w:val="0"/>
        <w:autoSpaceDN w:val="0"/>
        <w:adjustRightInd w:val="0"/>
        <w:snapToGrid w:val="0"/>
        <w:spacing w:line="360" w:lineRule="auto"/>
        <w:ind w:firstLine="482"/>
        <w:rPr>
          <w:rFonts w:ascii="宋体" w:hAnsi="宋体" w:cs="宋体"/>
          <w:color w:val="000000" w:themeColor="text1"/>
        </w:rPr>
      </w:pPr>
      <w:r>
        <w:rPr>
          <w:rFonts w:hint="eastAsia" w:ascii="宋体" w:hAnsi="宋体" w:cs="宋体"/>
          <w:color w:val="000000" w:themeColor="text1"/>
        </w:rPr>
        <w:t>1、投标截止及开标时间：2024</w:t>
      </w:r>
      <w:r>
        <w:rPr>
          <w:rFonts w:hint="eastAsia" w:ascii="宋体" w:hAnsi="宋体" w:cs="宋体"/>
          <w:color w:val="000000" w:themeColor="text1"/>
          <w:u w:val="single"/>
        </w:rPr>
        <w:t>年7月</w:t>
      </w:r>
      <w:r>
        <w:rPr>
          <w:rFonts w:hint="eastAsia" w:ascii="宋体" w:hAnsi="宋体" w:cs="宋体"/>
          <w:color w:val="000000" w:themeColor="text1"/>
          <w:u w:val="single"/>
          <w:lang w:val="en-US" w:eastAsia="zh-CN"/>
        </w:rPr>
        <w:t>1</w:t>
      </w:r>
      <w:r>
        <w:rPr>
          <w:rFonts w:hint="eastAsia" w:ascii="宋体" w:hAnsi="宋体" w:cs="宋体"/>
          <w:color w:val="000000" w:themeColor="text1"/>
          <w:u w:val="single"/>
        </w:rPr>
        <w:t>日1</w:t>
      </w:r>
      <w:r>
        <w:rPr>
          <w:rFonts w:hint="eastAsia" w:ascii="宋体" w:hAnsi="宋体" w:cs="宋体"/>
          <w:color w:val="000000" w:themeColor="text1"/>
          <w:u w:val="single"/>
          <w:lang w:val="en-US" w:eastAsia="zh-CN"/>
        </w:rPr>
        <w:t>1</w:t>
      </w:r>
      <w:r>
        <w:rPr>
          <w:rFonts w:hint="eastAsia" w:ascii="宋体" w:hAnsi="宋体" w:cs="宋体"/>
          <w:color w:val="000000" w:themeColor="text1"/>
          <w:u w:val="single"/>
        </w:rPr>
        <w:t xml:space="preserve">：00 （北京时间） </w:t>
      </w:r>
      <w:r>
        <w:rPr>
          <w:rFonts w:hint="eastAsia" w:ascii="宋体" w:hAnsi="宋体" w:cs="宋体"/>
          <w:color w:val="000000" w:themeColor="text1"/>
        </w:rPr>
        <w:t>。</w:t>
      </w:r>
    </w:p>
    <w:p>
      <w:pPr>
        <w:autoSpaceDE w:val="0"/>
        <w:autoSpaceDN w:val="0"/>
        <w:adjustRightInd w:val="0"/>
        <w:snapToGrid w:val="0"/>
        <w:spacing w:line="360" w:lineRule="auto"/>
        <w:ind w:firstLine="482"/>
        <w:rPr>
          <w:rFonts w:ascii="宋体" w:hAnsi="宋体" w:cs="宋体"/>
        </w:rPr>
      </w:pPr>
      <w:r>
        <w:rPr>
          <w:rFonts w:hint="eastAsia" w:ascii="宋体" w:hAnsi="宋体" w:cs="宋体"/>
        </w:rPr>
        <w:t>开标时间：</w:t>
      </w:r>
      <w:r>
        <w:rPr>
          <w:rFonts w:hint="eastAsia" w:ascii="宋体" w:hAnsi="宋体" w:cs="宋体"/>
          <w:color w:val="000000" w:themeColor="text1"/>
        </w:rPr>
        <w:t>2024</w:t>
      </w:r>
      <w:r>
        <w:rPr>
          <w:rFonts w:hint="eastAsia" w:ascii="宋体" w:hAnsi="宋体" w:cs="宋体"/>
          <w:color w:val="000000" w:themeColor="text1"/>
          <w:u w:val="single"/>
        </w:rPr>
        <w:t>年7月</w:t>
      </w:r>
      <w:r>
        <w:rPr>
          <w:rFonts w:hint="eastAsia" w:ascii="宋体" w:hAnsi="宋体" w:cs="宋体"/>
          <w:color w:val="000000" w:themeColor="text1"/>
          <w:u w:val="single"/>
          <w:lang w:val="en-US" w:eastAsia="zh-CN"/>
        </w:rPr>
        <w:t>1</w:t>
      </w:r>
      <w:r>
        <w:rPr>
          <w:rFonts w:hint="eastAsia" w:ascii="宋体" w:hAnsi="宋体" w:cs="宋体"/>
          <w:color w:val="000000" w:themeColor="text1"/>
          <w:u w:val="single"/>
        </w:rPr>
        <w:t>日1</w:t>
      </w:r>
      <w:r>
        <w:rPr>
          <w:rFonts w:hint="eastAsia" w:ascii="宋体" w:hAnsi="宋体" w:cs="宋体"/>
          <w:color w:val="000000" w:themeColor="text1"/>
          <w:u w:val="single"/>
          <w:lang w:val="en-US" w:eastAsia="zh-CN"/>
        </w:rPr>
        <w:t>1</w:t>
      </w:r>
      <w:r>
        <w:rPr>
          <w:rFonts w:hint="eastAsia" w:ascii="宋体" w:hAnsi="宋体" w:cs="宋体"/>
          <w:color w:val="000000" w:themeColor="text1"/>
          <w:u w:val="single"/>
        </w:rPr>
        <w:t>：00</w:t>
      </w:r>
      <w:r>
        <w:rPr>
          <w:rFonts w:hint="eastAsia" w:ascii="宋体" w:hAnsi="宋体" w:cs="宋体"/>
        </w:rPr>
        <w:t>（北京时间） 。</w:t>
      </w:r>
    </w:p>
    <w:p>
      <w:pPr>
        <w:autoSpaceDE w:val="0"/>
        <w:autoSpaceDN w:val="0"/>
        <w:adjustRightInd w:val="0"/>
        <w:snapToGrid w:val="0"/>
        <w:spacing w:line="360" w:lineRule="auto"/>
        <w:ind w:firstLine="482"/>
        <w:rPr>
          <w:rFonts w:ascii="宋体" w:hAnsi="宋体" w:cs="宋体"/>
          <w:color w:val="000000" w:themeColor="text1"/>
          <w:u w:val="single"/>
        </w:rPr>
      </w:pPr>
      <w:r>
        <w:rPr>
          <w:rFonts w:hint="eastAsia" w:ascii="宋体" w:hAnsi="宋体" w:cs="宋体"/>
        </w:rPr>
        <w:t>3、开标地点：</w:t>
      </w:r>
      <w:r>
        <w:rPr>
          <w:rFonts w:hint="eastAsia" w:ascii="宋体" w:hAnsi="宋体" w:cs="宋体"/>
          <w:szCs w:val="21"/>
        </w:rPr>
        <w:t>深圳市福田区鹏程一路广电金融中心48楼</w:t>
      </w:r>
    </w:p>
    <w:p>
      <w:pPr>
        <w:autoSpaceDE w:val="0"/>
        <w:autoSpaceDN w:val="0"/>
        <w:adjustRightInd w:val="0"/>
        <w:snapToGrid w:val="0"/>
        <w:spacing w:line="360" w:lineRule="auto"/>
        <w:ind w:firstLine="482"/>
        <w:rPr>
          <w:rFonts w:ascii="宋体" w:hAnsi="宋体" w:cs="仿宋_GB2312"/>
          <w:color w:val="000000" w:themeColor="text1"/>
          <w:u w:val="single"/>
        </w:rPr>
      </w:pPr>
      <w:r>
        <w:rPr>
          <w:rFonts w:hint="eastAsia" w:ascii="宋体" w:hAnsi="宋体" w:cs="宋体"/>
          <w:color w:val="000000" w:themeColor="text1"/>
        </w:rPr>
        <w:t>4、递交投标文件地点：</w:t>
      </w:r>
      <w:r>
        <w:rPr>
          <w:rFonts w:hint="eastAsia" w:ascii="宋体" w:hAnsi="宋体" w:cs="宋体"/>
          <w:szCs w:val="21"/>
          <w:u w:val="single"/>
        </w:rPr>
        <w:t>深圳市福田区鹏程一路广电金融中心48楼核心筒会议室。</w:t>
      </w:r>
    </w:p>
    <w:p>
      <w:pPr>
        <w:autoSpaceDE w:val="0"/>
        <w:autoSpaceDN w:val="0"/>
        <w:adjustRightInd w:val="0"/>
        <w:snapToGrid w:val="0"/>
        <w:spacing w:line="360" w:lineRule="auto"/>
        <w:ind w:firstLine="482"/>
        <w:rPr>
          <w:rFonts w:ascii="宋体" w:hAnsi="宋体" w:cs="仿宋_GB2312"/>
          <w:b/>
          <w:color w:val="FF0000"/>
          <w:u w:val="single"/>
        </w:rPr>
      </w:pPr>
    </w:p>
    <w:p>
      <w:pPr>
        <w:numPr>
          <w:ilvl w:val="0"/>
          <w:numId w:val="2"/>
        </w:numPr>
        <w:autoSpaceDE w:val="0"/>
        <w:autoSpaceDN w:val="0"/>
        <w:adjustRightInd w:val="0"/>
        <w:snapToGrid w:val="0"/>
        <w:spacing w:beforeLines="50" w:afterLines="50"/>
        <w:ind w:firstLine="420"/>
        <w:rPr>
          <w:b/>
        </w:rPr>
      </w:pPr>
      <w:r>
        <w:rPr>
          <w:rFonts w:hint="eastAsia"/>
          <w:b/>
        </w:rPr>
        <w:t>有关此次招标事宜，可按下列地址以书面或传真的形式查询：</w:t>
      </w:r>
    </w:p>
    <w:p>
      <w:pPr>
        <w:autoSpaceDE w:val="0"/>
        <w:autoSpaceDN w:val="0"/>
        <w:adjustRightInd w:val="0"/>
        <w:snapToGrid w:val="0"/>
        <w:ind w:firstLine="482"/>
        <w:rPr>
          <w:rFonts w:ascii="宋体" w:hAnsi="宋体" w:cs="宋体"/>
          <w:color w:val="000000" w:themeColor="text1"/>
        </w:rPr>
      </w:pPr>
      <w:r>
        <w:rPr>
          <w:rFonts w:hint="eastAsia" w:ascii="宋体" w:hAnsi="宋体" w:cs="宋体"/>
          <w:color w:val="000000" w:themeColor="text1"/>
        </w:rPr>
        <w:t>联系人：赖女士</w:t>
      </w:r>
    </w:p>
    <w:p>
      <w:pPr>
        <w:autoSpaceDE w:val="0"/>
        <w:autoSpaceDN w:val="0"/>
        <w:adjustRightInd w:val="0"/>
        <w:snapToGrid w:val="0"/>
        <w:ind w:firstLine="482"/>
        <w:rPr>
          <w:rFonts w:ascii="宋体" w:hAnsi="宋体" w:cs="宋体"/>
          <w:color w:val="000000" w:themeColor="text1"/>
        </w:rPr>
      </w:pPr>
      <w:r>
        <w:rPr>
          <w:rFonts w:hint="eastAsia" w:ascii="宋体" w:hAnsi="宋体" w:cs="宋体"/>
          <w:color w:val="000000" w:themeColor="text1"/>
        </w:rPr>
        <w:t>联系电话：13924658185</w:t>
      </w:r>
    </w:p>
    <w:p>
      <w:pPr>
        <w:autoSpaceDE w:val="0"/>
        <w:autoSpaceDN w:val="0"/>
        <w:adjustRightInd w:val="0"/>
        <w:snapToGrid w:val="0"/>
        <w:spacing w:line="360" w:lineRule="auto"/>
        <w:ind w:firstLine="480"/>
        <w:rPr>
          <w:rFonts w:ascii="宋体" w:hAnsi="宋体" w:cs="宋体"/>
          <w:color w:val="000000" w:themeColor="text1"/>
        </w:rPr>
      </w:pPr>
      <w:r>
        <w:rPr>
          <w:rFonts w:hint="eastAsia" w:ascii="宋体" w:hAnsi="宋体" w:cs="宋体"/>
          <w:color w:val="000000" w:themeColor="text1"/>
        </w:rPr>
        <w:t>邮箱地址：</w:t>
      </w:r>
      <w:r>
        <w:rPr>
          <w:rFonts w:hint="eastAsia" w:ascii="宋体" w:hAnsi="宋体" w:cs="仿宋_GB2312"/>
        </w:rPr>
        <w:t>service@designcities.cn</w:t>
      </w:r>
    </w:p>
    <w:p>
      <w:pPr>
        <w:autoSpaceDE w:val="0"/>
        <w:autoSpaceDN w:val="0"/>
        <w:adjustRightInd w:val="0"/>
        <w:snapToGrid w:val="0"/>
        <w:spacing w:line="360" w:lineRule="auto"/>
        <w:ind w:firstLine="480"/>
        <w:rPr>
          <w:rFonts w:ascii="宋体" w:hAnsi="宋体" w:cs="Arial"/>
          <w:color w:val="000000"/>
          <w:lang w:val="zh-CN"/>
        </w:rPr>
      </w:pPr>
      <w:r>
        <w:rPr>
          <w:rFonts w:ascii="宋体" w:hAnsi="宋体" w:cs="Arial"/>
          <w:color w:val="000000"/>
          <w:lang w:val="zh-CN"/>
        </w:rPr>
        <w:t>本招标文件解释权归</w:t>
      </w:r>
      <w:r>
        <w:rPr>
          <w:rFonts w:hint="eastAsia" w:ascii="宋体" w:hAnsi="宋体" w:cs="仿宋_GB2312"/>
          <w:color w:val="000000" w:themeColor="text1"/>
        </w:rPr>
        <w:t>深圳市设计之都运营发展有限公司</w:t>
      </w:r>
      <w:r>
        <w:rPr>
          <w:rFonts w:ascii="宋体" w:hAnsi="宋体" w:cs="Arial"/>
          <w:color w:val="000000"/>
          <w:lang w:val="zh-CN"/>
        </w:rPr>
        <w:t>所有。</w:t>
      </w:r>
    </w:p>
    <w:p>
      <w:pPr>
        <w:widowControl/>
        <w:numPr>
          <w:ilvl w:val="255"/>
          <w:numId w:val="0"/>
        </w:numPr>
        <w:jc w:val="left"/>
        <w:rPr>
          <w:rFonts w:ascii="黑体" w:eastAsia="黑体"/>
          <w:sz w:val="44"/>
          <w:szCs w:val="44"/>
        </w:rPr>
      </w:pPr>
      <w:r>
        <w:rPr>
          <w:rFonts w:hint="eastAsia" w:ascii="黑体" w:eastAsia="黑体"/>
          <w:sz w:val="44"/>
          <w:szCs w:val="44"/>
        </w:rPr>
        <w:br w:type="page"/>
      </w:r>
    </w:p>
    <w:p>
      <w:pPr>
        <w:widowControl/>
        <w:numPr>
          <w:ilvl w:val="0"/>
          <w:numId w:val="1"/>
        </w:numPr>
        <w:spacing w:beforeLines="100" w:afterLines="100"/>
        <w:ind w:firstLine="402"/>
        <w:jc w:val="center"/>
        <w:outlineLvl w:val="0"/>
        <w:rPr>
          <w:rFonts w:ascii="黑体" w:eastAsia="黑体"/>
          <w:sz w:val="44"/>
          <w:szCs w:val="44"/>
        </w:rPr>
      </w:pPr>
      <w:bookmarkStart w:id="14" w:name="_Toc22010"/>
      <w:r>
        <w:rPr>
          <w:rFonts w:hint="eastAsia" w:ascii="黑体" w:eastAsia="黑体"/>
          <w:sz w:val="44"/>
          <w:szCs w:val="44"/>
        </w:rPr>
        <w:t>投标资料表</w:t>
      </w:r>
      <w:bookmarkEnd w:id="14"/>
    </w:p>
    <w:p>
      <w:pPr>
        <w:widowControl/>
        <w:ind w:firstLine="420" w:firstLineChars="200"/>
        <w:jc w:val="left"/>
      </w:pPr>
      <w:r>
        <w:rPr>
          <w:rFonts w:hint="eastAsia"/>
        </w:rPr>
        <w:t>本表关于要采购项目的具体资料，是对投标人须知的具体补充和修改，如有矛盾，应以本资料表为准。</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条款号</w:t>
            </w:r>
          </w:p>
        </w:tc>
        <w:tc>
          <w:tcPr>
            <w:tcW w:w="6660" w:type="dxa"/>
            <w:vAlign w:val="center"/>
          </w:tcPr>
          <w:p>
            <w:pPr>
              <w:jc w:val="center"/>
              <w:rPr>
                <w:b/>
              </w:rPr>
            </w:pPr>
            <w:r>
              <w:rPr>
                <w:rFonts w:hint="eastAsia"/>
                <w:b/>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5" w:hRule="atLeast"/>
        </w:trPr>
        <w:tc>
          <w:tcPr>
            <w:tcW w:w="8308" w:type="dxa"/>
            <w:gridSpan w:val="2"/>
            <w:vAlign w:val="center"/>
          </w:tcPr>
          <w:p>
            <w:pPr>
              <w:jc w:val="center"/>
              <w:rPr>
                <w:rFonts w:ascii="黑体" w:eastAsia="黑体"/>
                <w:sz w:val="24"/>
              </w:rPr>
            </w:pPr>
            <w:r>
              <w:rPr>
                <w:rFonts w:hint="eastAsia" w:ascii="黑体" w:eastAsia="黑体"/>
                <w:sz w:val="24"/>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648" w:type="dxa"/>
            <w:vAlign w:val="center"/>
          </w:tcPr>
          <w:p>
            <w:pPr>
              <w:jc w:val="center"/>
              <w:rPr>
                <w:rFonts w:ascii="宋体" w:hAnsi="宋体"/>
              </w:rPr>
            </w:pPr>
            <w:r>
              <w:rPr>
                <w:rFonts w:hint="eastAsia"/>
              </w:rPr>
              <w:t>1</w:t>
            </w:r>
          </w:p>
        </w:tc>
        <w:tc>
          <w:tcPr>
            <w:tcW w:w="6660" w:type="dxa"/>
          </w:tcPr>
          <w:p>
            <w:pPr>
              <w:rPr>
                <w:rFonts w:ascii="宋体" w:hAnsi="宋体"/>
                <w:b/>
                <w:bCs/>
              </w:rPr>
            </w:pPr>
            <w:r>
              <w:rPr>
                <w:rFonts w:hint="eastAsia" w:ascii="宋体" w:hAnsi="宋体"/>
                <w:b/>
                <w:bCs/>
              </w:rPr>
              <w:t>招标人名称</w:t>
            </w:r>
          </w:p>
          <w:p>
            <w:r>
              <w:rPr>
                <w:rFonts w:hint="eastAsia" w:ascii="宋体" w:hAnsi="宋体" w:cs="仿宋_GB2312"/>
                <w:color w:val="000000" w:themeColor="text1"/>
              </w:rPr>
              <w:t>深圳市设计之都运营发展有限公司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648" w:type="dxa"/>
            <w:vAlign w:val="center"/>
          </w:tcPr>
          <w:p>
            <w:pPr>
              <w:jc w:val="center"/>
              <w:rPr>
                <w:rFonts w:ascii="宋体" w:hAnsi="宋体"/>
              </w:rPr>
            </w:pPr>
            <w:r>
              <w:rPr>
                <w:rFonts w:hint="eastAsia"/>
              </w:rPr>
              <w:t>2</w:t>
            </w:r>
          </w:p>
        </w:tc>
        <w:tc>
          <w:tcPr>
            <w:tcW w:w="6660" w:type="dxa"/>
            <w:tcBorders>
              <w:bottom w:val="single" w:color="auto" w:sz="6" w:space="0"/>
            </w:tcBorders>
          </w:tcPr>
          <w:p>
            <w:pPr>
              <w:rPr>
                <w:rFonts w:ascii="宋体" w:hAnsi="宋体"/>
                <w:b/>
                <w:bCs/>
              </w:rPr>
            </w:pPr>
            <w:r>
              <w:rPr>
                <w:rFonts w:hint="eastAsia" w:ascii="宋体" w:hAnsi="宋体"/>
                <w:b/>
                <w:bCs/>
              </w:rPr>
              <w:t>资金来源</w:t>
            </w:r>
          </w:p>
          <w:p>
            <w:pPr>
              <w:rPr>
                <w:rFonts w:ascii="宋体" w:hAnsi="宋体"/>
                <w:bCs/>
              </w:rPr>
            </w:pPr>
            <w:r>
              <w:rPr>
                <w:rFonts w:hint="eastAsia"/>
              </w:rPr>
              <w:t>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4" w:hRule="atLeast"/>
        </w:trPr>
        <w:tc>
          <w:tcPr>
            <w:tcW w:w="1648" w:type="dxa"/>
            <w:vAlign w:val="center"/>
          </w:tcPr>
          <w:p>
            <w:pPr>
              <w:jc w:val="center"/>
              <w:rPr>
                <w:rFonts w:ascii="宋体" w:hAnsi="宋体"/>
                <w:color w:val="000000" w:themeColor="text1"/>
              </w:rPr>
            </w:pPr>
            <w:r>
              <w:rPr>
                <w:rFonts w:hint="eastAsia"/>
              </w:rPr>
              <w:t>★3</w:t>
            </w:r>
          </w:p>
        </w:tc>
        <w:tc>
          <w:tcPr>
            <w:tcW w:w="6660" w:type="dxa"/>
            <w:tcBorders>
              <w:top w:val="single" w:color="auto" w:sz="6" w:space="0"/>
            </w:tcBorders>
            <w:vAlign w:val="center"/>
          </w:tcPr>
          <w:p>
            <w:pPr>
              <w:rPr>
                <w:rFonts w:ascii="宋体" w:hAnsi="宋体"/>
                <w:b/>
                <w:color w:val="000000" w:themeColor="text1"/>
              </w:rPr>
            </w:pPr>
            <w:r>
              <w:rPr>
                <w:rFonts w:hint="eastAsia" w:ascii="宋体" w:hAnsi="宋体"/>
                <w:b/>
                <w:color w:val="000000" w:themeColor="text1"/>
              </w:rPr>
              <w:t>合格的投标人：</w:t>
            </w:r>
            <w:r>
              <w:rPr>
                <w:rFonts w:hint="eastAsia" w:ascii="宋体" w:hAnsi="宋体"/>
                <w:color w:val="000000" w:themeColor="text1"/>
              </w:rPr>
              <w:t>（项目不接受联合体投标）</w:t>
            </w:r>
          </w:p>
          <w:p>
            <w:pPr>
              <w:autoSpaceDE w:val="0"/>
              <w:autoSpaceDN w:val="0"/>
              <w:adjustRightInd w:val="0"/>
              <w:snapToGrid w:val="0"/>
              <w:ind w:firstLine="420" w:firstLineChars="200"/>
              <w:rPr>
                <w:rFonts w:ascii="宋体" w:hAnsi="宋体" w:cs="仿宋_GB2312"/>
                <w:color w:val="000000" w:themeColor="text1"/>
              </w:rPr>
            </w:pPr>
            <w:r>
              <w:rPr>
                <w:rFonts w:hint="eastAsia" w:ascii="宋体" w:hAnsi="宋体" w:cs="仿宋_GB2312"/>
                <w:color w:val="000000" w:themeColor="text1"/>
              </w:rPr>
              <w:t>1、行业资质要求：受邀人必须是在中国境内注册的独立法人企业，具有履行合同的服务能力、专业技术能力、供应保障能力及风险控制能力；</w:t>
            </w:r>
          </w:p>
          <w:p>
            <w:pPr>
              <w:autoSpaceDE w:val="0"/>
              <w:autoSpaceDN w:val="0"/>
              <w:adjustRightInd w:val="0"/>
              <w:snapToGrid w:val="0"/>
              <w:ind w:left="735" w:leftChars="200" w:hanging="315" w:hangingChars="150"/>
              <w:rPr>
                <w:rFonts w:ascii="宋体" w:hAnsi="宋体" w:cs="仿宋_GB2312"/>
                <w:color w:val="000000" w:themeColor="text1"/>
              </w:rPr>
            </w:pPr>
            <w:r>
              <w:rPr>
                <w:rFonts w:hint="eastAsia" w:ascii="宋体" w:hAnsi="宋体" w:cs="仿宋_GB2312"/>
                <w:color w:val="000000" w:themeColor="text1"/>
              </w:rPr>
              <w:t xml:space="preserve">2、具有良好的银行资信和商业信誉，无处于被责令停业，财产被接管，冻结，破产状态。 </w:t>
            </w:r>
          </w:p>
          <w:p>
            <w:pPr>
              <w:autoSpaceDE w:val="0"/>
              <w:autoSpaceDN w:val="0"/>
              <w:adjustRightInd w:val="0"/>
              <w:snapToGrid w:val="0"/>
              <w:ind w:left="735" w:leftChars="200" w:hanging="315" w:hangingChars="150"/>
              <w:rPr>
                <w:rFonts w:ascii="宋体" w:hAnsi="宋体" w:cs="仿宋_GB2312"/>
                <w:color w:val="000000" w:themeColor="text1"/>
              </w:rPr>
            </w:pPr>
            <w:r>
              <w:rPr>
                <w:rFonts w:hint="eastAsia" w:ascii="宋体" w:hAnsi="宋体" w:cs="仿宋_GB2312"/>
                <w:color w:val="000000" w:themeColor="text1"/>
              </w:rPr>
              <w:t>3、申请人必须在法律上和财务上独立、合法运作，不存在违法违规等不良记录。</w:t>
            </w:r>
          </w:p>
          <w:p>
            <w:pPr>
              <w:autoSpaceDE w:val="0"/>
              <w:autoSpaceDN w:val="0"/>
              <w:adjustRightInd w:val="0"/>
              <w:snapToGrid w:val="0"/>
              <w:ind w:firstLine="420" w:firstLineChars="200"/>
              <w:rPr>
                <w:rFonts w:ascii="宋体" w:hAnsi="宋体" w:cs="仿宋_GB2312"/>
                <w:color w:val="000000" w:themeColor="text1"/>
              </w:rPr>
            </w:pPr>
            <w:r>
              <w:rPr>
                <w:rFonts w:hint="eastAsia" w:ascii="宋体" w:hAnsi="宋体" w:cs="仿宋_GB2312"/>
                <w:color w:val="000000" w:themeColor="text1"/>
              </w:rPr>
              <w:t>4、投标人要求是有多年从事展会搭建行业的专业公司。</w:t>
            </w:r>
          </w:p>
          <w:p>
            <w:pPr>
              <w:autoSpaceDE w:val="0"/>
              <w:autoSpaceDN w:val="0"/>
              <w:adjustRightInd w:val="0"/>
              <w:snapToGrid w:val="0"/>
              <w:ind w:firstLine="420" w:firstLineChars="200"/>
              <w:rPr>
                <w:rFonts w:ascii="宋体" w:hAnsi="宋体" w:cs="仿宋_GB2312"/>
                <w:color w:val="000000" w:themeColor="text1"/>
              </w:rPr>
            </w:pPr>
            <w:r>
              <w:rPr>
                <w:rFonts w:hint="eastAsia" w:ascii="宋体" w:hAnsi="宋体" w:cs="仿宋_GB2312"/>
                <w:color w:val="000000" w:themeColor="text1"/>
              </w:rPr>
              <w:t>5、本项目不接受联合体投标，不得分包、转包。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45" w:hRule="atLeast"/>
        </w:trPr>
        <w:tc>
          <w:tcPr>
            <w:tcW w:w="8308" w:type="dxa"/>
            <w:gridSpan w:val="2"/>
            <w:vAlign w:val="center"/>
          </w:tcPr>
          <w:p>
            <w:pPr>
              <w:jc w:val="center"/>
              <w:rPr>
                <w:rFonts w:eastAsia="楷体_GB2312"/>
                <w:b/>
              </w:rPr>
            </w:pPr>
            <w:r>
              <w:rPr>
                <w:rFonts w:hint="eastAsia" w:ascii="黑体" w:eastAsia="黑体"/>
                <w:sz w:val="24"/>
              </w:rPr>
              <w:t>二、投标文件的编制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★4</w:t>
            </w:r>
          </w:p>
        </w:tc>
        <w:tc>
          <w:tcPr>
            <w:tcW w:w="6660" w:type="dxa"/>
          </w:tcPr>
          <w:p>
            <w:pPr>
              <w:jc w:val="left"/>
              <w:rPr>
                <w:b/>
              </w:rPr>
            </w:pPr>
            <w:r>
              <w:rPr>
                <w:rFonts w:hint="eastAsia"/>
                <w:b/>
              </w:rPr>
              <w:t>投标语言</w:t>
            </w:r>
          </w:p>
          <w:p>
            <w:pPr>
              <w:jc w:val="left"/>
            </w:pPr>
            <w:r>
              <w:rPr>
                <w:rFonts w:hint="eastAsia"/>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szCs w:val="21"/>
              </w:rPr>
            </w:pPr>
            <w:r>
              <w:rPr>
                <w:rFonts w:hint="eastAsia"/>
                <w:szCs w:val="21"/>
              </w:rPr>
              <w:t>★5</w:t>
            </w:r>
          </w:p>
        </w:tc>
        <w:tc>
          <w:tcPr>
            <w:tcW w:w="6660" w:type="dxa"/>
            <w:tcBorders>
              <w:bottom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服务提供时间要求：</w:t>
            </w:r>
          </w:p>
          <w:p>
            <w:pPr>
              <w:rPr>
                <w:szCs w:val="21"/>
              </w:rPr>
            </w:pPr>
            <w:r>
              <w:rPr>
                <w:rFonts w:hint="eastAsia" w:asciiTheme="minorEastAsia" w:hAnsiTheme="minorEastAsia" w:eastAsiaTheme="minorEastAsia"/>
                <w:b/>
                <w:bCs/>
                <w:szCs w:val="21"/>
              </w:rPr>
              <w:t>服务时间起始于合同签订时间，合同工期总日历天数</w:t>
            </w:r>
            <w:r>
              <w:rPr>
                <w:rFonts w:hint="eastAsia" w:asciiTheme="minorEastAsia" w:hAnsiTheme="minorEastAsia" w:eastAsiaTheme="minorEastAsia"/>
                <w:b/>
                <w:bCs/>
                <w:szCs w:val="21"/>
                <w:u w:val="single"/>
              </w:rPr>
              <w:t>20天</w:t>
            </w:r>
            <w:r>
              <w:rPr>
                <w:rFonts w:hint="eastAsia" w:asciiTheme="minorEastAsia" w:hAnsiTheme="minorEastAsia" w:eastAsiaTheme="minorEastAsia"/>
                <w:b/>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★6</w:t>
            </w:r>
          </w:p>
        </w:tc>
        <w:tc>
          <w:tcPr>
            <w:tcW w:w="6660" w:type="dxa"/>
            <w:tcBorders>
              <w:bottom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报价要求：</w:t>
            </w:r>
          </w:p>
          <w:p>
            <w:pPr>
              <w:rPr>
                <w:b/>
              </w:rPr>
            </w:pPr>
            <w:r>
              <w:rPr>
                <w:rFonts w:hint="eastAsia" w:asciiTheme="minorEastAsia" w:hAnsiTheme="minorEastAsia" w:eastAsiaTheme="minorEastAsia"/>
                <w:bCs/>
                <w:szCs w:val="21"/>
              </w:rPr>
              <w:t>1、</w:t>
            </w:r>
            <w:r>
              <w:rPr>
                <w:rFonts w:hint="eastAsia" w:asciiTheme="minorEastAsia" w:hAnsiTheme="minorEastAsia" w:eastAsiaTheme="minorEastAsia"/>
                <w:b/>
                <w:bCs/>
                <w:szCs w:val="21"/>
              </w:rPr>
              <w:t>投标上限价格为人民币</w:t>
            </w:r>
            <w:r>
              <w:rPr>
                <w:rFonts w:hint="eastAsia"/>
                <w:b/>
                <w:highlight w:val="yellow"/>
              </w:rPr>
              <w:t>壹拾三万元整</w:t>
            </w:r>
            <w:r>
              <w:rPr>
                <w:rFonts w:hint="eastAsia"/>
                <w:b/>
              </w:rPr>
              <w:t>（￥130000），超出此预算控制金额的投标报价将导致其投标无效。投标人开具的发票为增值税专用发票。</w:t>
            </w:r>
          </w:p>
          <w:p>
            <w:pPr>
              <w:pStyle w:val="18"/>
              <w:rPr>
                <w:rFonts w:asciiTheme="minorEastAsia" w:hAnsiTheme="minorEastAsia" w:eastAsiaTheme="minorEastAsia"/>
                <w:bCs/>
                <w:sz w:val="21"/>
                <w:szCs w:val="21"/>
              </w:rPr>
            </w:pPr>
            <w:r>
              <w:rPr>
                <w:rFonts w:hint="eastAsia" w:asciiTheme="minorEastAsia" w:hAnsiTheme="minorEastAsia" w:eastAsiaTheme="minorEastAsia"/>
                <w:bCs/>
                <w:sz w:val="21"/>
                <w:szCs w:val="21"/>
              </w:rPr>
              <w:t>2、以招标人“用户需求书”中“需求清单”为依据报价。</w:t>
            </w:r>
          </w:p>
          <w:p>
            <w:pPr>
              <w:pStyle w:val="18"/>
              <w:rPr>
                <w:rFonts w:asciiTheme="minorEastAsia" w:hAnsiTheme="minorEastAsia" w:eastAsiaTheme="minorEastAsia"/>
                <w:bCs/>
                <w:sz w:val="21"/>
                <w:szCs w:val="21"/>
              </w:rPr>
            </w:pPr>
            <w:r>
              <w:rPr>
                <w:rFonts w:hint="eastAsia" w:asciiTheme="minorEastAsia" w:hAnsiTheme="minorEastAsia" w:eastAsiaTheme="minorEastAsia"/>
                <w:bCs/>
                <w:sz w:val="21"/>
                <w:szCs w:val="21"/>
              </w:rPr>
              <w:t>3、投标报价反应的是投标人的收费标准，此投标报价并非结算金额。实际结算金额已招标人实际使用结算。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★7</w:t>
            </w:r>
          </w:p>
        </w:tc>
        <w:tc>
          <w:tcPr>
            <w:tcW w:w="6660" w:type="dxa"/>
            <w:tcBorders>
              <w:bottom w:val="single" w:color="auto" w:sz="4" w:space="0"/>
            </w:tcBorders>
          </w:tcPr>
          <w:p>
            <w:pPr>
              <w:jc w:val="left"/>
              <w:rPr>
                <w:rFonts w:ascii="宋体" w:hAnsi="宋体" w:cs="宋体"/>
                <w:b/>
                <w:bCs/>
                <w:color w:val="000000"/>
                <w:kern w:val="0"/>
              </w:rPr>
            </w:pPr>
            <w:r>
              <w:rPr>
                <w:rFonts w:hint="eastAsia" w:ascii="宋体" w:hAnsi="宋体" w:cs="宋体"/>
                <w:b/>
                <w:bCs/>
                <w:color w:val="000000"/>
                <w:kern w:val="0"/>
              </w:rPr>
              <w:t>需提供资料及标准：</w:t>
            </w:r>
          </w:p>
          <w:p>
            <w:pPr>
              <w:widowControl/>
              <w:rPr>
                <w:rFonts w:ascii="宋体" w:hAnsi="宋体" w:cs="宋体"/>
                <w:kern w:val="0"/>
              </w:rPr>
            </w:pPr>
            <w:r>
              <w:rPr>
                <w:rFonts w:hint="eastAsia" w:ascii="宋体" w:hAnsi="宋体" w:cs="宋体"/>
                <w:kern w:val="0"/>
              </w:rPr>
              <w:t>1、营业执照 (加盖公章的复印件)；</w:t>
            </w:r>
          </w:p>
          <w:p>
            <w:pPr>
              <w:widowControl/>
              <w:rPr>
                <w:rFonts w:ascii="宋体" w:hAnsi="宋体" w:cs="宋体"/>
                <w:kern w:val="0"/>
              </w:rPr>
            </w:pPr>
            <w:r>
              <w:rPr>
                <w:rFonts w:hint="eastAsia" w:ascii="宋体" w:hAnsi="宋体" w:cs="宋体"/>
                <w:kern w:val="0"/>
              </w:rPr>
              <w:t>2、资质证书(加盖公章的复印件)(如有则附)；</w:t>
            </w:r>
          </w:p>
          <w:p>
            <w:pPr>
              <w:widowControl/>
              <w:rPr>
                <w:rFonts w:ascii="宋体" w:hAnsi="宋体" w:cs="宋体"/>
                <w:kern w:val="0"/>
              </w:rPr>
            </w:pPr>
            <w:r>
              <w:rPr>
                <w:rFonts w:hint="eastAsia" w:ascii="宋体" w:hAnsi="宋体" w:cs="宋体"/>
                <w:kern w:val="0"/>
              </w:rPr>
              <w:t>3、投标人简介（加盖公章）；</w:t>
            </w:r>
          </w:p>
          <w:p>
            <w:pPr>
              <w:widowControl/>
              <w:rPr>
                <w:rFonts w:ascii="宋体" w:hAnsi="宋体" w:cs="宋体"/>
                <w:kern w:val="0"/>
              </w:rPr>
            </w:pPr>
            <w:r>
              <w:rPr>
                <w:rFonts w:hint="eastAsia" w:ascii="宋体" w:hAnsi="宋体" w:cs="宋体"/>
                <w:kern w:val="0"/>
              </w:rPr>
              <w:t>4、近三年经营业绩简介（投标人成立不足三年的可从成立之日起）；</w:t>
            </w:r>
          </w:p>
          <w:p>
            <w:pPr>
              <w:widowControl/>
              <w:rPr>
                <w:rFonts w:ascii="宋体" w:hAnsi="宋体" w:cs="宋体"/>
                <w:kern w:val="0"/>
              </w:rPr>
            </w:pPr>
            <w:r>
              <w:rPr>
                <w:rFonts w:hint="eastAsia" w:ascii="宋体" w:hAnsi="宋体" w:cs="宋体"/>
                <w:kern w:val="0"/>
              </w:rPr>
              <w:t>5、</w:t>
            </w:r>
            <w:r>
              <w:rPr>
                <w:rFonts w:hint="eastAsia" w:ascii="仿宋_GB2312" w:hAnsi="仿宋_GB2312" w:eastAsia="仿宋_GB2312" w:cs="仿宋_GB2312"/>
                <w:color w:val="000000"/>
                <w:kern w:val="0"/>
                <w:sz w:val="24"/>
              </w:rPr>
              <w:t>近三年财务报表/审计报告/所得税汇算清缴报表（纳税申报表），投标人成立不足三年的可从成立之日起，加盖公章的复印件</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6、法人代表及授权书（加盖公章的复印件）；</w:t>
            </w:r>
          </w:p>
          <w:p>
            <w:pPr>
              <w:rPr>
                <w:rFonts w:asciiTheme="minorEastAsia" w:hAnsiTheme="minorEastAsia" w:eastAsiaTheme="minorEastAsia"/>
                <w:b/>
                <w:bCs/>
                <w:szCs w:val="21"/>
              </w:rPr>
            </w:pPr>
            <w:r>
              <w:rPr>
                <w:rFonts w:hint="eastAsia" w:ascii="宋体" w:hAnsi="宋体"/>
                <w:b/>
                <w:szCs w:val="21"/>
              </w:rPr>
              <w:t>注意：以上材料请加盖有效公章。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648" w:type="dxa"/>
            <w:vAlign w:val="center"/>
          </w:tcPr>
          <w:p>
            <w:pPr>
              <w:jc w:val="center"/>
            </w:pPr>
            <w:r>
              <w:rPr>
                <w:rFonts w:hint="eastAsia"/>
              </w:rPr>
              <w:t>★8</w:t>
            </w:r>
          </w:p>
        </w:tc>
        <w:tc>
          <w:tcPr>
            <w:tcW w:w="6660" w:type="dxa"/>
          </w:tcPr>
          <w:p>
            <w:pPr>
              <w:rPr>
                <w:b/>
              </w:rPr>
            </w:pPr>
            <w:r>
              <w:rPr>
                <w:rFonts w:hint="eastAsia"/>
                <w:b/>
              </w:rPr>
              <w:t>投标有效期</w:t>
            </w:r>
          </w:p>
          <w:p>
            <w:pPr>
              <w:rPr>
                <w:i/>
              </w:rPr>
            </w:pPr>
            <w:r>
              <w:rPr>
                <w:rFonts w:hint="eastAsia"/>
              </w:rPr>
              <w:t>投标有效期：九十天。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★9</w:t>
            </w:r>
          </w:p>
        </w:tc>
        <w:tc>
          <w:tcPr>
            <w:tcW w:w="6660" w:type="dxa"/>
            <w:vAlign w:val="center"/>
          </w:tcPr>
          <w:p>
            <w:pPr>
              <w:rPr>
                <w:rFonts w:ascii="宋体" w:hAnsi="宋体"/>
                <w:b/>
              </w:rPr>
            </w:pPr>
            <w:r>
              <w:rPr>
                <w:rFonts w:hint="eastAsia" w:ascii="宋体" w:hAnsi="宋体"/>
                <w:b/>
              </w:rPr>
              <w:t>投标文件的式样和签署：</w:t>
            </w:r>
          </w:p>
          <w:p>
            <w:r>
              <w:rPr>
                <w:rFonts w:hint="eastAsia"/>
              </w:rPr>
              <w:t>正本一份，副本四份，“开标文件”一份。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2" w:hRule="atLeast"/>
        </w:trPr>
        <w:tc>
          <w:tcPr>
            <w:tcW w:w="8308" w:type="dxa"/>
            <w:gridSpan w:val="2"/>
            <w:vAlign w:val="center"/>
          </w:tcPr>
          <w:p>
            <w:pPr>
              <w:jc w:val="center"/>
              <w:rPr>
                <w:rFonts w:ascii="宋体" w:hAnsi="宋体"/>
                <w:b/>
              </w:rPr>
            </w:pPr>
            <w:r>
              <w:rPr>
                <w:rFonts w:hint="eastAsia" w:ascii="黑体" w:eastAsia="黑体"/>
                <w:sz w:val="24"/>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★10</w:t>
            </w:r>
          </w:p>
        </w:tc>
        <w:tc>
          <w:tcPr>
            <w:tcW w:w="6660" w:type="dxa"/>
            <w:vAlign w:val="center"/>
          </w:tcPr>
          <w:p>
            <w:pPr>
              <w:rPr>
                <w:rFonts w:ascii="宋体" w:hAnsi="宋体"/>
                <w:b/>
                <w:color w:val="000000" w:themeColor="text1"/>
              </w:rPr>
            </w:pPr>
            <w:r>
              <w:rPr>
                <w:rFonts w:hint="eastAsia" w:ascii="宋体" w:hAnsi="宋体"/>
                <w:b/>
                <w:color w:val="000000" w:themeColor="text1"/>
              </w:rPr>
              <w:t>投标文件递交至：</w:t>
            </w:r>
          </w:p>
          <w:p>
            <w:pPr>
              <w:rPr>
                <w:rFonts w:ascii="宋体" w:hAnsi="宋体"/>
                <w:b/>
                <w:color w:val="000000" w:themeColor="text1"/>
              </w:rPr>
            </w:pPr>
            <w:r>
              <w:rPr>
                <w:rFonts w:hint="eastAsia" w:ascii="宋体" w:hAnsi="宋体" w:cs="仿宋_GB2312"/>
                <w:b/>
                <w:color w:val="000000" w:themeColor="text1"/>
                <w:u w:val="single"/>
              </w:rPr>
              <w:t>深圳市福田区广电金融中心48楼核心筒会议室。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rPr>
                <w:color w:val="000000" w:themeColor="text1"/>
              </w:rPr>
            </w:pPr>
            <w:r>
              <w:rPr>
                <w:rFonts w:hint="eastAsia"/>
              </w:rPr>
              <w:t>★11</w:t>
            </w:r>
          </w:p>
        </w:tc>
        <w:tc>
          <w:tcPr>
            <w:tcW w:w="6660" w:type="dxa"/>
            <w:vAlign w:val="center"/>
          </w:tcPr>
          <w:p>
            <w:pPr>
              <w:rPr>
                <w:color w:val="000000" w:themeColor="text1"/>
              </w:rPr>
            </w:pPr>
            <w:r>
              <w:rPr>
                <w:rFonts w:hint="eastAsia"/>
                <w:color w:val="000000" w:themeColor="text1"/>
              </w:rPr>
              <w:t>项目名称、招标编号：</w:t>
            </w:r>
          </w:p>
          <w:p>
            <w:pPr>
              <w:rPr>
                <w:color w:val="000000" w:themeColor="text1"/>
              </w:rPr>
            </w:pPr>
            <w:r>
              <w:rPr>
                <w:rFonts w:hint="eastAsia"/>
                <w:b/>
                <w:color w:val="000000" w:themeColor="text1"/>
              </w:rPr>
              <w:t>项目名称：</w:t>
            </w:r>
            <w:r>
              <w:rPr>
                <w:rFonts w:hint="eastAsia" w:ascii="宋体" w:hAnsi="宋体" w:cs="仿宋_GB2312"/>
                <w:b/>
                <w:color w:val="000000" w:themeColor="text1"/>
                <w:u w:val="single"/>
              </w:rPr>
              <w:t>第十三届深圳动漫节主场服务商</w:t>
            </w:r>
            <w:r>
              <w:rPr>
                <w:rFonts w:hint="eastAsia" w:ascii="宋体" w:hAnsi="宋体" w:cs="仿宋_GB2312"/>
                <w:color w:val="000000" w:themeColor="text1"/>
                <w:u w:val="single"/>
              </w:rPr>
              <w:t>项目</w:t>
            </w:r>
          </w:p>
          <w:p>
            <w:pPr>
              <w:rPr>
                <w:color w:val="000000" w:themeColor="text1"/>
              </w:rPr>
            </w:pPr>
            <w:r>
              <w:rPr>
                <w:rFonts w:hint="eastAsia"/>
                <w:b/>
                <w:color w:val="000000" w:themeColor="text1"/>
              </w:rPr>
              <w:t>招标编号：</w:t>
            </w:r>
            <w:r>
              <w:rPr>
                <w:rFonts w:hint="eastAsia" w:ascii="宋体" w:hAnsi="宋体" w:cs="宋体"/>
                <w:color w:val="000000" w:themeColor="text1"/>
              </w:rPr>
              <w:t>SJZD-2024018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★12</w:t>
            </w:r>
          </w:p>
        </w:tc>
        <w:tc>
          <w:tcPr>
            <w:tcW w:w="6660" w:type="dxa"/>
            <w:vAlign w:val="center"/>
          </w:tcPr>
          <w:p>
            <w:pPr>
              <w:rPr>
                <w:color w:val="000000" w:themeColor="text1"/>
              </w:rPr>
            </w:pPr>
            <w:r>
              <w:rPr>
                <w:rFonts w:hint="eastAsia"/>
                <w:color w:val="000000" w:themeColor="text1"/>
              </w:rPr>
              <w:t>投标截止期：</w:t>
            </w:r>
          </w:p>
          <w:p>
            <w:pPr>
              <w:rPr>
                <w:color w:val="000000" w:themeColor="text1"/>
                <w:u w:val="single"/>
              </w:rPr>
            </w:pPr>
            <w:r>
              <w:rPr>
                <w:rFonts w:hint="eastAsia" w:ascii="宋体" w:hAnsi="宋体" w:cs="仿宋_GB2312"/>
                <w:color w:val="000000" w:themeColor="text1"/>
              </w:rPr>
              <w:t>2024</w:t>
            </w:r>
            <w:r>
              <w:rPr>
                <w:rFonts w:hint="eastAsia" w:ascii="宋体" w:hAnsi="宋体" w:cs="仿宋_GB2312"/>
                <w:color w:val="000000" w:themeColor="text1"/>
                <w:u w:val="single"/>
              </w:rPr>
              <w:t>年7月</w:t>
            </w:r>
            <w:r>
              <w:rPr>
                <w:rFonts w:hint="eastAsia" w:ascii="宋体" w:hAnsi="宋体" w:cs="仿宋_GB2312"/>
                <w:color w:val="000000" w:themeColor="text1"/>
                <w:u w:val="single"/>
                <w:lang w:val="en-US" w:eastAsia="zh-CN"/>
              </w:rPr>
              <w:t>1</w:t>
            </w:r>
            <w:r>
              <w:rPr>
                <w:rFonts w:hint="eastAsia" w:ascii="宋体" w:hAnsi="宋体" w:cs="仿宋_GB2312"/>
                <w:color w:val="000000" w:themeColor="text1"/>
                <w:u w:val="single"/>
              </w:rPr>
              <w:t>日1</w:t>
            </w:r>
            <w:r>
              <w:rPr>
                <w:rFonts w:hint="eastAsia" w:ascii="宋体" w:hAnsi="宋体" w:cs="仿宋_GB2312"/>
                <w:color w:val="000000" w:themeColor="text1"/>
                <w:u w:val="single"/>
                <w:lang w:val="en-US" w:eastAsia="zh-CN"/>
              </w:rPr>
              <w:t>1</w:t>
            </w:r>
            <w:r>
              <w:rPr>
                <w:rFonts w:hint="eastAsia" w:ascii="宋体" w:hAnsi="宋体" w:cs="仿宋_GB2312"/>
                <w:color w:val="000000" w:themeColor="text1"/>
                <w:u w:val="single"/>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8308" w:type="dxa"/>
            <w:gridSpan w:val="2"/>
            <w:vAlign w:val="center"/>
          </w:tcPr>
          <w:p>
            <w:pPr>
              <w:jc w:val="center"/>
              <w:rPr>
                <w:b/>
              </w:rPr>
            </w:pPr>
            <w:r>
              <w:rPr>
                <w:rFonts w:hint="eastAsia" w:ascii="黑体" w:eastAsia="黑体"/>
                <w:sz w:val="24"/>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rPr>
                <w:color w:val="000000" w:themeColor="text1"/>
              </w:rPr>
            </w:pPr>
            <w:r>
              <w:rPr>
                <w:rFonts w:hint="eastAsia"/>
              </w:rPr>
              <w:t>★</w:t>
            </w:r>
            <w:r>
              <w:rPr>
                <w:rFonts w:hint="eastAsia"/>
                <w:color w:val="000000" w:themeColor="text1"/>
              </w:rPr>
              <w:t>13</w:t>
            </w:r>
          </w:p>
        </w:tc>
        <w:tc>
          <w:tcPr>
            <w:tcW w:w="6660" w:type="dxa"/>
            <w:vAlign w:val="center"/>
          </w:tcPr>
          <w:p>
            <w:pPr>
              <w:rPr>
                <w:b/>
                <w:color w:val="000000" w:themeColor="text1"/>
              </w:rPr>
            </w:pPr>
            <w:r>
              <w:rPr>
                <w:rFonts w:hint="eastAsia"/>
                <w:b/>
                <w:color w:val="000000" w:themeColor="text1"/>
              </w:rPr>
              <w:t>开标日期和时间：</w:t>
            </w:r>
          </w:p>
          <w:p>
            <w:pPr>
              <w:rPr>
                <w:rFonts w:ascii="宋体" w:hAnsi="宋体" w:cs="宋体"/>
                <w:b/>
                <w:color w:val="000000" w:themeColor="text1"/>
              </w:rPr>
            </w:pPr>
            <w:r>
              <w:rPr>
                <w:rFonts w:hint="eastAsia" w:ascii="宋体" w:hAnsi="宋体" w:cs="仿宋_GB2312"/>
                <w:color w:val="000000" w:themeColor="text1"/>
              </w:rPr>
              <w:t>2024</w:t>
            </w:r>
            <w:r>
              <w:rPr>
                <w:rFonts w:hint="eastAsia" w:ascii="宋体" w:hAnsi="宋体" w:cs="仿宋_GB2312"/>
                <w:color w:val="000000" w:themeColor="text1"/>
                <w:u w:val="single"/>
              </w:rPr>
              <w:t>年7月</w:t>
            </w:r>
            <w:r>
              <w:rPr>
                <w:rFonts w:hint="eastAsia" w:ascii="宋体" w:hAnsi="宋体" w:cs="仿宋_GB2312"/>
                <w:color w:val="000000" w:themeColor="text1"/>
                <w:u w:val="single"/>
                <w:lang w:val="en-US" w:eastAsia="zh-CN"/>
              </w:rPr>
              <w:t>1</w:t>
            </w:r>
            <w:r>
              <w:rPr>
                <w:rFonts w:hint="eastAsia" w:ascii="宋体" w:hAnsi="宋体" w:cs="仿宋_GB2312"/>
                <w:color w:val="000000" w:themeColor="text1"/>
                <w:u w:val="single"/>
              </w:rPr>
              <w:t>日1</w:t>
            </w:r>
            <w:r>
              <w:rPr>
                <w:rFonts w:hint="eastAsia" w:ascii="宋体" w:hAnsi="宋体" w:cs="仿宋_GB2312"/>
                <w:color w:val="000000" w:themeColor="text1"/>
                <w:u w:val="single"/>
                <w:lang w:val="en-US" w:eastAsia="zh-CN"/>
              </w:rPr>
              <w:t>1</w:t>
            </w:r>
            <w:r>
              <w:rPr>
                <w:rFonts w:hint="eastAsia" w:ascii="宋体" w:hAnsi="宋体" w:cs="仿宋_GB2312"/>
                <w:color w:val="000000" w:themeColor="text1"/>
                <w:u w:val="single"/>
              </w:rPr>
              <w:t>：00</w:t>
            </w:r>
          </w:p>
          <w:p>
            <w:pPr>
              <w:rPr>
                <w:b/>
                <w:color w:val="000000" w:themeColor="text1"/>
              </w:rPr>
            </w:pPr>
            <w:r>
              <w:rPr>
                <w:rFonts w:hint="eastAsia"/>
                <w:b/>
                <w:color w:val="000000" w:themeColor="text1"/>
              </w:rPr>
              <w:t>开标地点：</w:t>
            </w:r>
          </w:p>
          <w:p>
            <w:pPr>
              <w:rPr>
                <w:b/>
                <w:color w:val="000000" w:themeColor="text1"/>
              </w:rPr>
            </w:pPr>
            <w:r>
              <w:rPr>
                <w:rFonts w:hint="eastAsia" w:ascii="宋体" w:hAnsi="宋体" w:cs="仿宋_GB2312"/>
                <w:b/>
                <w:color w:val="000000" w:themeColor="text1"/>
                <w:u w:val="single"/>
              </w:rPr>
              <w:t>深圳市福田区广电金融中心48楼核心筒会议室。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1648" w:type="dxa"/>
            <w:vAlign w:val="center"/>
          </w:tcPr>
          <w:p>
            <w:pPr>
              <w:jc w:val="center"/>
            </w:pPr>
            <w:r>
              <w:rPr>
                <w:rFonts w:hint="eastAsia"/>
              </w:rPr>
              <w:t>★14</w:t>
            </w:r>
          </w:p>
        </w:tc>
        <w:tc>
          <w:tcPr>
            <w:tcW w:w="6660" w:type="dxa"/>
            <w:vAlign w:val="center"/>
          </w:tcPr>
          <w:p>
            <w:pPr>
              <w:rPr>
                <w:rFonts w:ascii="宋体" w:hAnsi="宋体"/>
              </w:rPr>
            </w:pPr>
            <w:r>
              <w:rPr>
                <w:rFonts w:hint="eastAsia" w:ascii="宋体" w:hAnsi="宋体"/>
                <w:b/>
              </w:rPr>
              <w:t>本项目评标方法</w:t>
            </w:r>
            <w:r>
              <w:rPr>
                <w:rFonts w:hint="eastAsia" w:ascii="宋体" w:hAnsi="宋体"/>
              </w:rPr>
              <w:t>：</w:t>
            </w:r>
          </w:p>
          <w:p>
            <w:r>
              <w:rPr>
                <w:rFonts w:hint="eastAsia"/>
              </w:rPr>
              <w:t>综合评估法定标（见附表一）</w:t>
            </w:r>
          </w:p>
        </w:tc>
      </w:tr>
    </w:tbl>
    <w:p/>
    <w:p>
      <w:r>
        <w:rPr>
          <w:rFonts w:hint="eastAsia"/>
        </w:rPr>
        <w:t>附表一：</w:t>
      </w:r>
      <w:bookmarkStart w:id="15" w:name="_Toc360961197"/>
      <w:bookmarkStart w:id="16" w:name="_Toc278278803"/>
    </w:p>
    <w:bookmarkEnd w:id="15"/>
    <w:bookmarkEnd w:id="16"/>
    <w:p>
      <w:pPr>
        <w:keepNext/>
        <w:spacing w:line="360" w:lineRule="auto"/>
        <w:jc w:val="center"/>
        <w:rPr>
          <w:rFonts w:ascii="黑体" w:hAnsi="宋体" w:eastAsia="黑体"/>
          <w:sz w:val="28"/>
          <w:szCs w:val="28"/>
        </w:rPr>
      </w:pPr>
      <w:r>
        <w:rPr>
          <w:rFonts w:hint="eastAsia" w:ascii="黑体" w:hAnsi="宋体" w:eastAsia="黑体"/>
          <w:sz w:val="28"/>
          <w:szCs w:val="28"/>
        </w:rPr>
        <w:t>定标方法和权重分值</w:t>
      </w:r>
    </w:p>
    <w:p>
      <w:pPr>
        <w:keepNext/>
        <w:spacing w:line="360" w:lineRule="auto"/>
        <w:rPr>
          <w:rFonts w:ascii="黑体" w:hAnsi="宋体" w:eastAsia="黑体"/>
          <w:sz w:val="24"/>
        </w:rPr>
      </w:pPr>
      <w:r>
        <w:rPr>
          <w:rFonts w:ascii="黑体" w:hAnsi="宋体" w:eastAsia="黑体"/>
          <w:sz w:val="24"/>
        </w:rPr>
        <w:t>符合性检查</w:t>
      </w:r>
      <w:r>
        <w:rPr>
          <w:rFonts w:hint="eastAsia" w:ascii="黑体" w:hAnsi="宋体" w:eastAsia="黑体"/>
          <w:sz w:val="24"/>
        </w:rPr>
        <w:t>表：</w:t>
      </w:r>
    </w:p>
    <w:tbl>
      <w:tblPr>
        <w:tblStyle w:val="19"/>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c>
          <w:tcPr>
            <w:tcW w:w="11766" w:type="dxa"/>
          </w:tcPr>
          <w:tbl>
            <w:tblPr>
              <w:tblStyle w:val="19"/>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5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宋体" w:hAnsi="宋体" w:cs="宋体"/>
                    </w:rPr>
                  </w:pPr>
                  <w:r>
                    <w:rPr>
                      <w:rFonts w:hint="eastAsia" w:ascii="宋体" w:hAnsi="宋体" w:cs="宋体"/>
                    </w:rPr>
                    <w:t>序号</w:t>
                  </w:r>
                </w:p>
              </w:tc>
              <w:tc>
                <w:tcPr>
                  <w:tcW w:w="5580" w:type="dxa"/>
                  <w:vAlign w:val="center"/>
                </w:tcPr>
                <w:p>
                  <w:pPr>
                    <w:spacing w:line="400" w:lineRule="exact"/>
                    <w:ind w:left="-828" w:firstLine="828"/>
                    <w:jc w:val="center"/>
                    <w:rPr>
                      <w:rFonts w:ascii="宋体" w:hAnsi="宋体" w:cs="宋体"/>
                      <w:sz w:val="24"/>
                    </w:rPr>
                  </w:pPr>
                  <w:r>
                    <w:rPr>
                      <w:rFonts w:hint="eastAsia" w:ascii="宋体" w:hAnsi="宋体" w:cs="宋体"/>
                    </w:rPr>
                    <w:t>评议内容</w:t>
                  </w:r>
                </w:p>
              </w:tc>
              <w:tc>
                <w:tcPr>
                  <w:tcW w:w="1440" w:type="dxa"/>
                  <w:vAlign w:val="center"/>
                </w:tcPr>
                <w:p>
                  <w:pPr>
                    <w:spacing w:line="400" w:lineRule="exact"/>
                    <w:ind w:left="44" w:hanging="44"/>
                    <w:jc w:val="center"/>
                    <w:rPr>
                      <w:rFonts w:ascii="宋体" w:hAnsi="宋体" w:cs="宋体"/>
                      <w:sz w:val="24"/>
                    </w:rPr>
                  </w:pPr>
                  <w:r>
                    <w:rPr>
                      <w:rFonts w:hint="eastAsia" w:ascii="宋体" w:hAnsi="宋体" w:cs="宋体"/>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投标人的合格性（见投标人须知：“合格的投标人”及本章“投标文件否决性条款摘要”要求）</w:t>
                  </w:r>
                </w:p>
              </w:tc>
              <w:tc>
                <w:tcPr>
                  <w:tcW w:w="1440" w:type="dxa"/>
                  <w:vAlign w:val="center"/>
                </w:tcPr>
                <w:p>
                  <w:pPr>
                    <w:spacing w:line="360" w:lineRule="auto"/>
                    <w:rPr>
                      <w:rFonts w:ascii="宋体" w:hAnsi="宋体" w:cs="宋体"/>
                      <w:szCs w:val="21"/>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投标的有效性:是否按要求由法定代表人或授权代表签署和加盖公章</w:t>
                  </w:r>
                </w:p>
              </w:tc>
              <w:tc>
                <w:tcPr>
                  <w:tcW w:w="1440" w:type="dxa"/>
                  <w:shd w:val="clear" w:color="auto" w:fill="auto"/>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投标有效期（开标日起九十个日历日）</w:t>
                  </w:r>
                </w:p>
              </w:tc>
              <w:tc>
                <w:tcPr>
                  <w:tcW w:w="1440" w:type="dxa"/>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投标书</w:t>
                  </w:r>
                </w:p>
              </w:tc>
              <w:tc>
                <w:tcPr>
                  <w:tcW w:w="1440" w:type="dxa"/>
                  <w:vAlign w:val="center"/>
                </w:tcPr>
                <w:p>
                  <w:pPr>
                    <w:spacing w:line="360" w:lineRule="auto"/>
                    <w:rPr>
                      <w:rFonts w:ascii="宋体" w:hAnsi="宋体" w:cs="宋体"/>
                      <w:szCs w:val="21"/>
                    </w:rPr>
                  </w:pPr>
                  <w:r>
                    <w:rPr>
                      <w:rFonts w:hint="eastAsia" w:ascii="宋体" w:hAnsi="宋体" w:cs="宋体"/>
                      <w:kern w:val="0"/>
                      <w:szCs w:val="21"/>
                      <w:lang w:val="zh-CN"/>
                    </w:rPr>
                    <w:t>合格</w:t>
                  </w:r>
                  <w:r>
                    <w:rPr>
                      <w:rFonts w:hint="eastAsia" w:ascii="宋体" w:hAnsi="宋体" w:cs="宋体"/>
                      <w:kern w:val="0"/>
                      <w:szCs w:val="21"/>
                    </w:rPr>
                    <w:t>/</w:t>
                  </w:r>
                  <w:r>
                    <w:rPr>
                      <w:rFonts w:hint="eastAsia" w:ascii="宋体" w:hAnsi="宋体" w:cs="宋体"/>
                      <w:kern w:val="0"/>
                      <w:szCs w:val="21"/>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rPr>
                  </w:pPr>
                  <w:r>
                    <w:rPr>
                      <w:rFonts w:hint="eastAsia" w:ascii="宋体" w:hAnsi="宋体" w:cs="宋体"/>
                      <w:szCs w:val="21"/>
                    </w:rPr>
                    <w:t>法定代表人证明书/法定代表人授权书</w:t>
                  </w:r>
                </w:p>
              </w:tc>
              <w:tc>
                <w:tcPr>
                  <w:tcW w:w="1440" w:type="dxa"/>
                  <w:shd w:val="clear" w:color="auto" w:fill="auto"/>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股权关系证明文件</w:t>
                  </w:r>
                </w:p>
              </w:tc>
              <w:tc>
                <w:tcPr>
                  <w:tcW w:w="1440" w:type="dxa"/>
                  <w:vAlign w:val="center"/>
                </w:tcPr>
                <w:p>
                  <w:pPr>
                    <w:spacing w:line="360" w:lineRule="auto"/>
                    <w:rPr>
                      <w:rFonts w:ascii="宋体" w:hAnsi="宋体" w:cs="宋体"/>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提供工商营业执照副本复印件(加盖公章)</w:t>
                  </w:r>
                </w:p>
              </w:tc>
              <w:tc>
                <w:tcPr>
                  <w:tcW w:w="1440" w:type="dxa"/>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vAlign w:val="center"/>
                </w:tcPr>
                <w:p>
                  <w:pPr>
                    <w:spacing w:line="340" w:lineRule="exact"/>
                    <w:rPr>
                      <w:rFonts w:ascii="宋体" w:hAnsi="宋体" w:cs="宋体"/>
                      <w:szCs w:val="21"/>
                    </w:rPr>
                  </w:pPr>
                  <w:r>
                    <w:rPr>
                      <w:rFonts w:hint="eastAsia" w:ascii="宋体" w:hAnsi="宋体" w:cs="宋体"/>
                      <w:szCs w:val="21"/>
                    </w:rPr>
                    <w:t>近三年经营业绩简介（投标人成立不足三年的可从成立之日起）</w:t>
                  </w:r>
                </w:p>
              </w:tc>
              <w:tc>
                <w:tcPr>
                  <w:tcW w:w="1440" w:type="dxa"/>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vAlign w:val="center"/>
                </w:tcPr>
                <w:p>
                  <w:pPr>
                    <w:spacing w:line="340" w:lineRule="exact"/>
                    <w:rPr>
                      <w:rFonts w:ascii="宋体" w:hAnsi="宋体" w:cs="宋体"/>
                      <w:szCs w:val="21"/>
                    </w:rPr>
                  </w:pPr>
                  <w:r>
                    <w:rPr>
                      <w:rFonts w:hint="eastAsia" w:ascii="宋体" w:hAnsi="宋体" w:cs="宋体"/>
                      <w:color w:val="000000"/>
                      <w:kern w:val="0"/>
                      <w:sz w:val="24"/>
                    </w:rPr>
                    <w:t>近三年财务报表/审计报告/所得税汇算清缴报表（纳税申报表），投标人成立不足三年的可从成立之日起，加盖公章的复印件。</w:t>
                  </w:r>
                </w:p>
              </w:tc>
              <w:tc>
                <w:tcPr>
                  <w:tcW w:w="1440" w:type="dxa"/>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vAlign w:val="center"/>
                </w:tcPr>
                <w:p>
                  <w:pPr>
                    <w:spacing w:line="340" w:lineRule="exact"/>
                    <w:rPr>
                      <w:rFonts w:ascii="宋体" w:hAnsi="宋体" w:cs="宋体"/>
                      <w:szCs w:val="21"/>
                    </w:rPr>
                  </w:pPr>
                  <w:r>
                    <w:rPr>
                      <w:rFonts w:hint="eastAsia" w:ascii="宋体" w:hAnsi="宋体" w:cs="宋体"/>
                      <w:szCs w:val="21"/>
                    </w:rPr>
                    <w:t>提供投标文件电子文档</w:t>
                  </w:r>
                </w:p>
              </w:tc>
              <w:tc>
                <w:tcPr>
                  <w:tcW w:w="1440" w:type="dxa"/>
                </w:tcPr>
                <w:p>
                  <w:pPr>
                    <w:spacing w:line="360" w:lineRule="auto"/>
                    <w:rPr>
                      <w:rFonts w:ascii="宋体" w:hAnsi="宋体" w:cs="宋体"/>
                      <w:szCs w:val="21"/>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vAlign w:val="center"/>
                </w:tcPr>
                <w:p>
                  <w:pPr>
                    <w:spacing w:line="340" w:lineRule="exact"/>
                    <w:rPr>
                      <w:rFonts w:ascii="宋体" w:hAnsi="宋体" w:cs="宋体"/>
                      <w:szCs w:val="21"/>
                    </w:rPr>
                  </w:pPr>
                  <w:r>
                    <w:rPr>
                      <w:rFonts w:hint="eastAsia" w:ascii="宋体" w:hAnsi="宋体" w:cs="宋体"/>
                      <w:szCs w:val="21"/>
                    </w:rPr>
                    <w:t>项目控制金额：投标报价超出控制金额的投标将不被接受。</w:t>
                  </w:r>
                </w:p>
              </w:tc>
              <w:tc>
                <w:tcPr>
                  <w:tcW w:w="1440" w:type="dxa"/>
                  <w:vAlign w:val="center"/>
                </w:tcPr>
                <w:p>
                  <w:pPr>
                    <w:spacing w:line="360" w:lineRule="auto"/>
                    <w:rPr>
                      <w:rFonts w:ascii="宋体" w:hAnsi="宋体" w:cs="宋体"/>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提供技术文件：各类方案及响应/偏离表</w:t>
                  </w:r>
                </w:p>
              </w:tc>
              <w:tc>
                <w:tcPr>
                  <w:tcW w:w="1440" w:type="dxa"/>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提供商务文件：商务条款响应/偏离表</w:t>
                  </w:r>
                </w:p>
              </w:tc>
              <w:tc>
                <w:tcPr>
                  <w:tcW w:w="1440" w:type="dxa"/>
                  <w:vAlign w:val="center"/>
                </w:tcPr>
                <w:p>
                  <w:pPr>
                    <w:spacing w:line="360" w:lineRule="auto"/>
                    <w:rPr>
                      <w:rFonts w:ascii="宋体" w:hAnsi="宋体" w:cs="宋体"/>
                      <w:sz w:val="24"/>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投标分项报价表</w:t>
                  </w:r>
                </w:p>
              </w:tc>
              <w:tc>
                <w:tcPr>
                  <w:tcW w:w="1440" w:type="dxa"/>
                  <w:vAlign w:val="center"/>
                </w:tcPr>
                <w:p>
                  <w:pPr>
                    <w:spacing w:line="360" w:lineRule="auto"/>
                    <w:rPr>
                      <w:rFonts w:ascii="宋体" w:hAnsi="宋体" w:cs="宋体"/>
                      <w:szCs w:val="21"/>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无重大违法记录的声明函</w:t>
                  </w:r>
                </w:p>
              </w:tc>
              <w:tc>
                <w:tcPr>
                  <w:tcW w:w="1440" w:type="dxa"/>
                  <w:vAlign w:val="center"/>
                </w:tcPr>
                <w:p>
                  <w:pPr>
                    <w:spacing w:line="360" w:lineRule="auto"/>
                    <w:rPr>
                      <w:rFonts w:ascii="宋体" w:hAnsi="宋体" w:cs="宋体"/>
                      <w:szCs w:val="21"/>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numPr>
                      <w:ilvl w:val="0"/>
                      <w:numId w:val="3"/>
                    </w:numPr>
                    <w:spacing w:line="400" w:lineRule="exact"/>
                    <w:jc w:val="center"/>
                    <w:rPr>
                      <w:rFonts w:ascii="宋体" w:hAnsi="宋体" w:cs="宋体"/>
                    </w:rPr>
                  </w:pPr>
                </w:p>
              </w:tc>
              <w:tc>
                <w:tcPr>
                  <w:tcW w:w="5580" w:type="dxa"/>
                </w:tcPr>
                <w:p>
                  <w:pPr>
                    <w:spacing w:line="340" w:lineRule="exact"/>
                    <w:rPr>
                      <w:rFonts w:ascii="宋体" w:hAnsi="宋体" w:cs="宋体"/>
                      <w:szCs w:val="21"/>
                    </w:rPr>
                  </w:pPr>
                  <w:r>
                    <w:rPr>
                      <w:rFonts w:hint="eastAsia" w:ascii="宋体" w:hAnsi="宋体" w:cs="宋体"/>
                      <w:szCs w:val="21"/>
                    </w:rPr>
                    <w:t>工期承诺</w:t>
                  </w:r>
                </w:p>
              </w:tc>
              <w:tc>
                <w:tcPr>
                  <w:tcW w:w="1440" w:type="dxa"/>
                  <w:vAlign w:val="center"/>
                </w:tcPr>
                <w:p>
                  <w:pPr>
                    <w:spacing w:line="360" w:lineRule="auto"/>
                    <w:rPr>
                      <w:rFonts w:ascii="宋体" w:hAnsi="宋体" w:cs="宋体"/>
                      <w:szCs w:val="21"/>
                    </w:rPr>
                  </w:pPr>
                  <w:r>
                    <w:rPr>
                      <w:rFonts w:hint="eastAsia" w:ascii="宋体" w:hAnsi="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numPr>
                      <w:ilvl w:val="0"/>
                      <w:numId w:val="3"/>
                    </w:numPr>
                    <w:spacing w:line="400" w:lineRule="exact"/>
                    <w:jc w:val="center"/>
                    <w:rPr>
                      <w:rFonts w:ascii="宋体" w:hAnsi="宋体" w:cs="宋体"/>
                    </w:rPr>
                  </w:pPr>
                </w:p>
              </w:tc>
              <w:tc>
                <w:tcPr>
                  <w:tcW w:w="5580" w:type="dxa"/>
                  <w:vAlign w:val="center"/>
                </w:tcPr>
                <w:p>
                  <w:pPr>
                    <w:spacing w:line="340" w:lineRule="exact"/>
                    <w:rPr>
                      <w:rFonts w:ascii="宋体" w:hAnsi="宋体" w:cs="宋体"/>
                      <w:szCs w:val="21"/>
                    </w:rPr>
                  </w:pPr>
                  <w:r>
                    <w:rPr>
                      <w:rFonts w:hint="eastAsia" w:ascii="宋体" w:hAnsi="宋体" w:cs="宋体"/>
                      <w:szCs w:val="21"/>
                    </w:rPr>
                    <w:t>结论（合格/不合格）</w:t>
                  </w:r>
                </w:p>
              </w:tc>
              <w:tc>
                <w:tcPr>
                  <w:tcW w:w="1440" w:type="dxa"/>
                  <w:vAlign w:val="center"/>
                </w:tcPr>
                <w:p>
                  <w:pPr>
                    <w:spacing w:line="360" w:lineRule="auto"/>
                    <w:rPr>
                      <w:rFonts w:ascii="宋体" w:hAnsi="宋体" w:cs="宋体"/>
                      <w:szCs w:val="21"/>
                    </w:rPr>
                  </w:pPr>
                  <w:r>
                    <w:rPr>
                      <w:rFonts w:hint="eastAsia" w:ascii="宋体" w:hAnsi="宋体" w:cs="宋体"/>
                      <w:szCs w:val="21"/>
                    </w:rPr>
                    <w:t>通过/不通过</w:t>
                  </w:r>
                </w:p>
              </w:tc>
            </w:tr>
          </w:tbl>
          <w:p>
            <w:pPr>
              <w:spacing w:line="360" w:lineRule="auto"/>
              <w:rPr>
                <w:rFonts w:ascii="宋体" w:hAnsi="宋体"/>
              </w:rPr>
            </w:pPr>
          </w:p>
        </w:tc>
      </w:tr>
    </w:tbl>
    <w:p>
      <w:pPr>
        <w:keepNext/>
        <w:spacing w:line="360" w:lineRule="auto"/>
        <w:rPr>
          <w:rFonts w:ascii="黑体" w:hAnsi="宋体" w:eastAsia="黑体"/>
          <w:sz w:val="24"/>
        </w:rPr>
      </w:pPr>
      <w:r>
        <w:rPr>
          <w:rFonts w:hint="eastAsia" w:ascii="黑体" w:hAnsi="宋体" w:eastAsia="黑体"/>
          <w:sz w:val="24"/>
        </w:rPr>
        <w:t>综合评估法</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招标人组建定标委员会，定标委员会成员对所有进入定标程序的按下列规定对投标人进行排名。监督小组应对定标工作全过程进行监督。</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招标人依据评标结果对进入定标程序的各投标单位的投标报价计算得分并对评标专家意见进行分类汇总。</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定标委员会根据投标单位的</w:t>
      </w:r>
      <w:r>
        <w:rPr>
          <w:rFonts w:hint="eastAsia" w:ascii="宋体" w:hAnsi="宋体" w:cs="宋体"/>
          <w:b/>
          <w:bCs/>
          <w:color w:val="000000" w:themeColor="text1"/>
          <w:szCs w:val="21"/>
        </w:rPr>
        <w:t>技术标得分（权重为15%）</w:t>
      </w:r>
      <w:r>
        <w:rPr>
          <w:rFonts w:hint="eastAsia" w:ascii="宋体" w:hAnsi="宋体" w:cs="宋体"/>
          <w:color w:val="000000" w:themeColor="text1"/>
          <w:szCs w:val="21"/>
        </w:rPr>
        <w:t>、</w:t>
      </w:r>
      <w:r>
        <w:rPr>
          <w:rFonts w:hint="eastAsia" w:ascii="宋体" w:hAnsi="宋体" w:cs="宋体"/>
          <w:b/>
          <w:bCs/>
          <w:color w:val="000000" w:themeColor="text1"/>
          <w:szCs w:val="21"/>
        </w:rPr>
        <w:t>商务得分（权重为45%）</w:t>
      </w:r>
      <w:r>
        <w:rPr>
          <w:rFonts w:hint="eastAsia" w:ascii="宋体" w:hAnsi="宋体" w:cs="宋体"/>
          <w:color w:val="000000" w:themeColor="text1"/>
          <w:szCs w:val="21"/>
        </w:rPr>
        <w:t>以及</w:t>
      </w:r>
      <w:r>
        <w:rPr>
          <w:rFonts w:hint="eastAsia" w:ascii="宋体" w:hAnsi="宋体" w:cs="宋体"/>
          <w:b/>
          <w:bCs/>
          <w:color w:val="000000" w:themeColor="text1"/>
          <w:szCs w:val="21"/>
        </w:rPr>
        <w:t>投标报价得分（权重为40%）</w:t>
      </w:r>
      <w:r>
        <w:rPr>
          <w:rFonts w:hint="eastAsia" w:ascii="宋体" w:hAnsi="宋体" w:cs="宋体"/>
          <w:color w:val="000000" w:themeColor="text1"/>
          <w:szCs w:val="21"/>
        </w:rPr>
        <w:t>对投标单位加权计算总得分，由高至低排名，排名第一的投标人确定为中标人。</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中标价以该中标人的投标报价为准。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注：定标基本程序</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1、技术得分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由定标委员会各成员根据评标结果和自己的专业判断对进入定标程序的各投标单位进行打分。</w:t>
      </w:r>
    </w:p>
    <w:p>
      <w:pPr>
        <w:ind w:firstLine="420" w:firstLineChars="200"/>
        <w:outlineLvl w:val="0"/>
        <w:rPr>
          <w:rFonts w:ascii="宋体" w:hAnsi="宋体" w:cs="宋体"/>
          <w:color w:val="000000" w:themeColor="text1"/>
          <w:szCs w:val="21"/>
        </w:rPr>
      </w:pPr>
      <w:bookmarkStart w:id="17" w:name="_Toc23341"/>
      <w:bookmarkStart w:id="18" w:name="_Toc6767"/>
      <w:bookmarkStart w:id="19" w:name="_Toc659"/>
      <w:r>
        <w:rPr>
          <w:rFonts w:hint="eastAsia" w:ascii="宋体" w:hAnsi="宋体" w:cs="宋体"/>
          <w:color w:val="000000" w:themeColor="text1"/>
          <w:szCs w:val="21"/>
        </w:rPr>
        <w:t>2、商务得分</w:t>
      </w:r>
      <w:bookmarkEnd w:id="17"/>
      <w:bookmarkEnd w:id="18"/>
      <w:bookmarkEnd w:id="19"/>
    </w:p>
    <w:p>
      <w:pPr>
        <w:ind w:firstLine="420" w:firstLineChars="200"/>
        <w:rPr>
          <w:rFonts w:ascii="宋体" w:hAnsi="宋体" w:cs="宋体"/>
          <w:color w:val="000000" w:themeColor="text1"/>
          <w:szCs w:val="21"/>
        </w:rPr>
      </w:pPr>
      <w:r>
        <w:rPr>
          <w:rFonts w:hint="eastAsia" w:ascii="宋体" w:hAnsi="宋体" w:cs="宋体"/>
          <w:color w:val="000000" w:themeColor="text1"/>
          <w:szCs w:val="21"/>
        </w:rPr>
        <w:t>由定标委员会各成员根据评标结果和自己的专业判断对进入定标程序的各投标单位进行打分。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3、投标报价得分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报价得分= [1-（Sn-S1）/S1]×40</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Sn为各投标人的投标报价</w:t>
      </w:r>
    </w:p>
    <w:p>
      <w:pPr>
        <w:ind w:firstLine="420" w:firstLineChars="200"/>
        <w:rPr>
          <w:rFonts w:ascii="宋体" w:hAnsi="宋体" w:cs="宋体"/>
          <w:color w:val="000000" w:themeColor="text1"/>
          <w:szCs w:val="21"/>
        </w:rPr>
      </w:pPr>
      <w:r>
        <w:rPr>
          <w:rFonts w:ascii="宋体" w:hAnsi="宋体" w:cs="宋体"/>
          <w:color w:val="000000" w:themeColor="text1"/>
          <w:szCs w:val="21"/>
        </w:rPr>
        <w:t>S1为</w:t>
      </w:r>
      <w:r>
        <w:rPr>
          <w:rFonts w:hint="eastAsia" w:ascii="宋体" w:hAnsi="宋体" w:cs="宋体"/>
          <w:color w:val="000000" w:themeColor="text1"/>
          <w:szCs w:val="21"/>
        </w:rPr>
        <w:t>进入定标程序的各投标人的投标报价中的</w:t>
      </w:r>
      <w:r>
        <w:rPr>
          <w:rFonts w:ascii="宋体" w:hAnsi="宋体" w:cs="宋体"/>
          <w:color w:val="000000" w:themeColor="text1"/>
          <w:szCs w:val="21"/>
        </w:rPr>
        <w:t>最低报价，得</w:t>
      </w:r>
      <w:r>
        <w:rPr>
          <w:rFonts w:hint="eastAsia" w:ascii="宋体" w:hAnsi="宋体" w:cs="宋体"/>
          <w:color w:val="000000" w:themeColor="text1"/>
          <w:szCs w:val="21"/>
        </w:rPr>
        <w:t>40分。</w:t>
      </w:r>
    </w:p>
    <w:p>
      <w:pPr>
        <w:rPr>
          <w:color w:val="000000" w:themeColor="text1"/>
        </w:rPr>
      </w:pPr>
      <w:r>
        <w:rPr>
          <w:rFonts w:ascii="宋体" w:hAnsi="宋体" w:cs="宋体"/>
          <w:color w:val="000000" w:themeColor="text1"/>
          <w:szCs w:val="21"/>
        </w:rPr>
        <w:t>此处规定当（Sn-S1）≥S1时，即Sn≥2S1时最低得零分（不取负分）。</w:t>
      </w:r>
    </w:p>
    <w:p>
      <w:pPr>
        <w:rPr>
          <w:color w:val="000000" w:themeColor="text1"/>
        </w:rPr>
      </w:pPr>
    </w:p>
    <w:p>
      <w:pPr>
        <w:rPr>
          <w:color w:val="000000" w:themeColor="text1"/>
        </w:rPr>
      </w:pPr>
      <w:r>
        <w:rPr>
          <w:rFonts w:hint="eastAsia"/>
          <w:color w:val="000000" w:themeColor="text1"/>
        </w:rPr>
        <w:t>具体评分标准如下表所示：</w:t>
      </w:r>
    </w:p>
    <w:tbl>
      <w:tblPr>
        <w:tblStyle w:val="19"/>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93"/>
        <w:gridCol w:w="655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0" w:type="dxa"/>
            <w:shd w:val="clear" w:color="auto" w:fill="C7DAF1" w:themeFill="text2" w:themeFillTint="32"/>
            <w:vAlign w:val="center"/>
          </w:tcPr>
          <w:p>
            <w:pPr>
              <w:widowControl/>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评分因素</w:t>
            </w:r>
          </w:p>
        </w:tc>
        <w:tc>
          <w:tcPr>
            <w:tcW w:w="7652" w:type="dxa"/>
            <w:gridSpan w:val="2"/>
            <w:shd w:val="clear" w:color="auto" w:fill="C7DAF1" w:themeFill="text2" w:themeFillTint="32"/>
            <w:vAlign w:val="center"/>
          </w:tcPr>
          <w:p>
            <w:pPr>
              <w:widowControl/>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评价内容</w:t>
            </w:r>
          </w:p>
        </w:tc>
        <w:tc>
          <w:tcPr>
            <w:tcW w:w="832" w:type="dxa"/>
            <w:shd w:val="clear" w:color="auto" w:fill="C7DAF1" w:themeFill="text2" w:themeFillTint="32"/>
            <w:vAlign w:val="center"/>
          </w:tcPr>
          <w:p>
            <w:pPr>
              <w:widowControl/>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00"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价格标（S）</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（总分</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0分）</w:t>
            </w: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投标总价</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满足招标文件要求且投标价格最低的投标报价为评标基准价，其价格分为满分。其他投标人的价格分统一按照下列公式计算：</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投标报价得分=(评标基准价／投标报价) ×30。</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四舍五入至小数点后2位。（报价为含税价）</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00" w:type="dxa"/>
            <w:vMerge w:val="restart"/>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技术标（J）</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（总分15分）</w:t>
            </w: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技术方案响应情况</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根据各投标文件中技术方案的合理性、完整性及可实施性等，以及满足或优于项目需求的程度，进行综合评价，横向比较：优得8-10分，良得6-7分，中得4-5分，差得0-3分。</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0" w:type="dxa"/>
            <w:vMerge w:val="continue"/>
            <w:shd w:val="clear" w:color="auto" w:fill="auto"/>
            <w:vAlign w:val="center"/>
          </w:tcPr>
          <w:p>
            <w:pPr>
              <w:widowControl/>
              <w:spacing w:line="320" w:lineRule="exact"/>
              <w:rPr>
                <w:rFonts w:hint="eastAsia" w:ascii="宋体" w:hAnsi="宋体" w:eastAsia="宋体" w:cs="宋体"/>
                <w:color w:val="000000"/>
                <w:kern w:val="0"/>
                <w:sz w:val="24"/>
              </w:rPr>
            </w:pP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应急保障措施</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根据各投标文件中项目实施应急措施方案完整具体程度，进行综合评价，最高得2分。</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0" w:type="dxa"/>
            <w:vMerge w:val="continue"/>
            <w:shd w:val="clear" w:color="auto" w:fill="auto"/>
            <w:vAlign w:val="center"/>
          </w:tcPr>
          <w:p>
            <w:pPr>
              <w:widowControl/>
              <w:spacing w:line="320" w:lineRule="exact"/>
              <w:rPr>
                <w:rFonts w:hint="eastAsia" w:ascii="宋体" w:hAnsi="宋体" w:eastAsia="宋体" w:cs="宋体"/>
                <w:color w:val="000000"/>
                <w:kern w:val="0"/>
                <w:sz w:val="24"/>
              </w:rPr>
            </w:pP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安全措施</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根据各投标文件中制定的安全防护方案及措施，进行综合评价，横向比较：优得3分，良得2分，中得1分，差得0分。</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00" w:type="dxa"/>
            <w:vMerge w:val="restart"/>
            <w:vAlign w:val="center"/>
          </w:tcPr>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商务标（X）</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（总分</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5分</w:t>
            </w: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项目业绩</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评审标准：考察投标人（2021年1月1日至本项目投标截标之日）同类业绩情况：</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1、投标人每提供一个有效的</w:t>
            </w:r>
            <w:r>
              <w:rPr>
                <w:rFonts w:hint="eastAsia" w:ascii="宋体" w:hAnsi="宋体" w:eastAsia="宋体" w:cs="宋体"/>
                <w:b/>
                <w:bCs/>
                <w:color w:val="000000"/>
                <w:kern w:val="0"/>
                <w:sz w:val="24"/>
              </w:rPr>
              <w:t>同类业绩</w:t>
            </w:r>
            <w:r>
              <w:rPr>
                <w:rFonts w:hint="eastAsia" w:ascii="宋体" w:hAnsi="宋体" w:eastAsia="宋体" w:cs="宋体"/>
                <w:color w:val="000000"/>
                <w:kern w:val="0"/>
                <w:sz w:val="24"/>
              </w:rPr>
              <w:t>即得2分，以此类推，最多得10分；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2、同类业绩中合同金额达人民币10万元（含10万元）以上得1分；20万元（含20万元）以上得2分；最多得4分；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注：有效的同类业绩证明文件：</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投标人须提供有效业绩中标通知书或合同关键页（须体现项目名称及合同签订时间）复印件加盖投标人公章；未提供或不能有效证明的，不得分。</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00" w:type="dxa"/>
            <w:vMerge w:val="continue"/>
            <w:vAlign w:val="center"/>
          </w:tcPr>
          <w:p>
            <w:pPr>
              <w:widowControl/>
              <w:spacing w:line="320" w:lineRule="exact"/>
              <w:rPr>
                <w:rFonts w:hint="eastAsia" w:ascii="宋体" w:hAnsi="宋体" w:eastAsia="宋体" w:cs="宋体"/>
                <w:color w:val="000000"/>
                <w:kern w:val="0"/>
                <w:sz w:val="24"/>
              </w:rPr>
            </w:pPr>
          </w:p>
        </w:tc>
        <w:tc>
          <w:tcPr>
            <w:tcW w:w="1093" w:type="dxa"/>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企业实力</w:t>
            </w:r>
          </w:p>
        </w:tc>
        <w:tc>
          <w:tcPr>
            <w:tcW w:w="6559" w:type="dxa"/>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评审标准：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近三年财务报表/审计报告/所得税汇算清缴报表（纳税申报表），投标人成立不足三年的可从成立之日起，加盖公章的复印件，显示无亏损的投标人，得6分；每有一年亏损的扣2分。成立不足三年的供应商，可从成立时间开始提供。评定标准以评标委员会意见为准。</w:t>
            </w:r>
          </w:p>
          <w:p>
            <w:pPr>
              <w:widowControl/>
              <w:spacing w:line="320" w:lineRule="exac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提交材料满足下列条件之一的可视为有效文件予以加分</w:t>
            </w:r>
            <w:r>
              <w:rPr>
                <w:rFonts w:hint="eastAsia" w:ascii="宋体" w:hAnsi="宋体" w:cs="宋体"/>
                <w:color w:val="000000"/>
                <w:kern w:val="0"/>
                <w:sz w:val="24"/>
                <w:lang w:eastAsia="zh-CN"/>
              </w:rPr>
              <w:t>：</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1.财务报表及包含税局业务章的企业所得税月（季）度预缴纳税申报表（第四季度）</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2.财务报表及包含税局业务章的企业所得税年度纳税申报表</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3.审计报告（含事务所盖章，注册会计师签章及审计财报页面）</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shd w:val="clear" w:color="auto" w:fill="auto"/>
            <w:vAlign w:val="center"/>
          </w:tcPr>
          <w:p>
            <w:pPr>
              <w:widowControl/>
              <w:spacing w:line="320" w:lineRule="exact"/>
              <w:rPr>
                <w:rFonts w:hint="eastAsia" w:ascii="宋体" w:hAnsi="宋体" w:eastAsia="宋体" w:cs="宋体"/>
                <w:color w:val="000000"/>
                <w:kern w:val="0"/>
                <w:sz w:val="24"/>
              </w:rPr>
            </w:pPr>
          </w:p>
        </w:tc>
        <w:tc>
          <w:tcPr>
            <w:tcW w:w="1093"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规模情况</w:t>
            </w:r>
          </w:p>
        </w:tc>
        <w:tc>
          <w:tcPr>
            <w:tcW w:w="6559"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评审标准：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1、投标人公司注册资金在人民币100万（含100万）以上，得1分；最高得1分；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2、投标人公司成立时间在3年（含3年）以上，得1分，最高得1分；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3、投标人每提供一个有效的相关行业资质证书即得1分，最高得1分；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4、提供上年度公司社保证明，得1分。最高得1分；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5、在此网站提供基本信息、许可经营信息。:https://amr.sz.gov.cn/outer/mobile/gs.html，得1分，最高得1分。</w:t>
            </w:r>
          </w:p>
          <w:p>
            <w:pPr>
              <w:widowControl/>
              <w:spacing w:line="320" w:lineRule="exact"/>
              <w:rPr>
                <w:rFonts w:ascii="宋体" w:hAnsi="宋体" w:cs="宋体"/>
                <w:sz w:val="24"/>
              </w:rPr>
            </w:pPr>
            <w:r>
              <w:rPr>
                <w:rFonts w:ascii="宋体" w:hAnsi="宋体" w:cs="宋体"/>
                <w:color w:val="000000"/>
                <w:kern w:val="0"/>
                <w:sz w:val="24"/>
              </w:rPr>
              <w:t>6、</w:t>
            </w:r>
            <w:r>
              <w:rPr>
                <w:rFonts w:hint="eastAsia" w:ascii="宋体" w:hAnsi="宋体" w:cs="宋体"/>
                <w:sz w:val="24"/>
              </w:rPr>
              <w:t>中国展览馆协会展览场馆工程部门一级资质，</w:t>
            </w:r>
            <w:r>
              <w:rPr>
                <w:rFonts w:hint="eastAsia" w:ascii="宋体" w:hAnsi="宋体" w:cs="宋体"/>
                <w:color w:val="000000"/>
                <w:kern w:val="0"/>
                <w:sz w:val="24"/>
              </w:rPr>
              <w:t>得1</w:t>
            </w:r>
            <w:r>
              <w:rPr>
                <w:rFonts w:ascii="宋体" w:hAnsi="宋体" w:cs="宋体"/>
                <w:color w:val="000000"/>
                <w:kern w:val="0"/>
                <w:sz w:val="24"/>
              </w:rPr>
              <w:t>0分，最高得</w:t>
            </w:r>
            <w:r>
              <w:rPr>
                <w:rFonts w:hint="eastAsia" w:ascii="宋体" w:hAnsi="宋体" w:cs="宋体"/>
                <w:color w:val="000000"/>
                <w:kern w:val="0"/>
                <w:sz w:val="24"/>
              </w:rPr>
              <w:t>1</w:t>
            </w:r>
            <w:r>
              <w:rPr>
                <w:rFonts w:ascii="宋体" w:hAnsi="宋体" w:cs="宋体"/>
                <w:color w:val="000000"/>
                <w:kern w:val="0"/>
                <w:sz w:val="24"/>
              </w:rPr>
              <w:t>0分；</w:t>
            </w:r>
          </w:p>
          <w:p>
            <w:pPr>
              <w:widowControl/>
              <w:spacing w:line="240" w:lineRule="auto"/>
              <w:rPr>
                <w:rFonts w:hint="eastAsia" w:ascii="宋体" w:hAnsi="宋体" w:eastAsia="宋体" w:cs="宋体"/>
                <w:color w:val="000000"/>
                <w:kern w:val="0"/>
                <w:sz w:val="24"/>
              </w:rPr>
            </w:pPr>
            <w:r>
              <w:rPr>
                <w:rFonts w:ascii="宋体" w:hAnsi="宋体" w:cs="宋体"/>
                <w:sz w:val="24"/>
              </w:rPr>
              <w:t>7、深圳市会议展览业协会颁发的展览展示工程设计甲级展览展示工程施工一级资质，</w:t>
            </w:r>
            <w:r>
              <w:rPr>
                <w:rFonts w:hint="eastAsia" w:ascii="宋体" w:hAnsi="宋体" w:cs="宋体"/>
                <w:color w:val="000000"/>
                <w:kern w:val="0"/>
                <w:sz w:val="24"/>
              </w:rPr>
              <w:t>得</w:t>
            </w:r>
            <w:r>
              <w:rPr>
                <w:rFonts w:ascii="宋体" w:hAnsi="宋体" w:cs="宋体"/>
                <w:color w:val="000000"/>
                <w:kern w:val="0"/>
                <w:sz w:val="24"/>
              </w:rPr>
              <w:t>10分。最高得10分。</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证明文件：</w:t>
            </w:r>
          </w:p>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提供资质证书复印件且证书在有效期内。评定标准以评标委员会意见为准。</w:t>
            </w:r>
          </w:p>
        </w:tc>
        <w:tc>
          <w:tcPr>
            <w:tcW w:w="832" w:type="dxa"/>
            <w:shd w:val="clear" w:color="auto" w:fill="auto"/>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widowControl/>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832" w:type="dxa"/>
            <w:vAlign w:val="center"/>
          </w:tcPr>
          <w:p>
            <w:pPr>
              <w:widowControl/>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100分</w:t>
            </w:r>
          </w:p>
        </w:tc>
      </w:tr>
    </w:tbl>
    <w:p>
      <w:pPr>
        <w:rPr>
          <w:color w:val="000000" w:themeColor="text1"/>
        </w:rPr>
      </w:pPr>
    </w:p>
    <w:p>
      <w:pPr>
        <w:widowControl/>
        <w:jc w:val="left"/>
        <w:rPr>
          <w:rFonts w:ascii="黑体" w:eastAsia="黑体"/>
          <w:sz w:val="44"/>
          <w:szCs w:val="44"/>
        </w:rPr>
      </w:pPr>
      <w:r>
        <w:rPr>
          <w:rFonts w:hint="eastAsia" w:ascii="宋体" w:hAnsi="宋体" w:cs="宋体"/>
        </w:rPr>
        <w:t>注：1.本量化表中每一栏的得分采用就高不就低的原则，不累计加分，每项得分最高不得超过该项评审指标的权重；2.表中要求提供相关计分证明文件的内容，投标文件中须明确加以说明，未按要求提供相关文件或说明不清楚的按不符合要求处理；3.综合以上分</w:t>
      </w:r>
      <w:r>
        <w:rPr>
          <w:rFonts w:hint="eastAsia" w:ascii="宋体" w:hAnsi="宋体" w:cs="宋体"/>
          <w:snapToGrid w:val="0"/>
          <w:kern w:val="0"/>
        </w:rPr>
        <w:t>析比较，评委会将对各投标文件进行书面的量化评定，得分</w:t>
      </w:r>
      <w:r>
        <w:rPr>
          <w:rFonts w:hint="eastAsia" w:ascii="宋体" w:hAnsi="宋体" w:cs="宋体"/>
          <w:snapToGrid w:val="0"/>
          <w:kern w:val="0"/>
          <w:szCs w:val="18"/>
        </w:rPr>
        <w:t>精确到小数点后两位</w:t>
      </w:r>
      <w:r>
        <w:rPr>
          <w:rFonts w:hint="eastAsia" w:ascii="宋体" w:hAnsi="宋体" w:cs="宋体"/>
          <w:szCs w:val="21"/>
        </w:rPr>
        <w:t>。</w:t>
      </w:r>
    </w:p>
    <w:p>
      <w:pPr>
        <w:rPr>
          <w:rFonts w:ascii="黑体" w:eastAsia="黑体"/>
          <w:sz w:val="44"/>
          <w:szCs w:val="44"/>
        </w:rPr>
      </w:pPr>
      <w:bookmarkStart w:id="20" w:name="_Toc9313"/>
      <w:r>
        <w:rPr>
          <w:rFonts w:hint="eastAsia" w:ascii="黑体" w:eastAsia="黑体"/>
          <w:sz w:val="44"/>
          <w:szCs w:val="44"/>
        </w:rPr>
        <w:br w:type="page"/>
      </w:r>
    </w:p>
    <w:p>
      <w:pPr>
        <w:widowControl/>
        <w:numPr>
          <w:ilvl w:val="0"/>
          <w:numId w:val="1"/>
        </w:numPr>
        <w:spacing w:beforeLines="100" w:afterLines="100"/>
        <w:ind w:firstLine="402"/>
        <w:jc w:val="center"/>
        <w:outlineLvl w:val="0"/>
        <w:rPr>
          <w:rFonts w:ascii="黑体" w:eastAsia="黑体"/>
          <w:sz w:val="44"/>
          <w:szCs w:val="44"/>
        </w:rPr>
      </w:pPr>
      <w:r>
        <w:rPr>
          <w:rFonts w:hint="eastAsia" w:ascii="黑体" w:eastAsia="黑体"/>
          <w:sz w:val="44"/>
          <w:szCs w:val="44"/>
        </w:rPr>
        <w:t>用户需求书</w:t>
      </w:r>
      <w:bookmarkEnd w:id="20"/>
    </w:p>
    <w:p>
      <w:pPr>
        <w:pStyle w:val="32"/>
        <w:numPr>
          <w:ilvl w:val="0"/>
          <w:numId w:val="4"/>
        </w:numPr>
        <w:ind w:firstLineChars="0"/>
        <w:rPr>
          <w:rFonts w:ascii="宋体" w:hAnsi="宋体" w:cs="宋体"/>
          <w:b/>
          <w:szCs w:val="21"/>
        </w:rPr>
      </w:pPr>
      <w:r>
        <w:rPr>
          <w:rFonts w:hint="eastAsia" w:ascii="宋体" w:hAnsi="宋体" w:cs="宋体"/>
          <w:b/>
          <w:szCs w:val="21"/>
        </w:rPr>
        <w:t>项目概况</w:t>
      </w:r>
    </w:p>
    <w:p>
      <w:pPr>
        <w:pStyle w:val="32"/>
        <w:numPr>
          <w:ilvl w:val="0"/>
          <w:numId w:val="4"/>
        </w:numPr>
        <w:ind w:firstLineChars="0"/>
        <w:rPr>
          <w:rFonts w:ascii="宋体" w:hAnsi="宋体" w:cs="宋体"/>
          <w:szCs w:val="21"/>
        </w:rPr>
      </w:pPr>
      <w:r>
        <w:rPr>
          <w:rFonts w:hint="eastAsia" w:ascii="宋体" w:hAnsi="宋体" w:cs="宋体"/>
          <w:szCs w:val="21"/>
        </w:rPr>
        <w:t>项目名称：第十三届深圳动漫节主场服务商项目。</w:t>
      </w:r>
    </w:p>
    <w:p>
      <w:pPr>
        <w:pStyle w:val="32"/>
        <w:numPr>
          <w:ilvl w:val="0"/>
          <w:numId w:val="4"/>
        </w:numPr>
        <w:ind w:firstLineChars="0"/>
        <w:rPr>
          <w:rFonts w:ascii="宋体" w:hAnsi="宋体" w:cs="宋体"/>
          <w:szCs w:val="21"/>
        </w:rPr>
      </w:pPr>
      <w:r>
        <w:rPr>
          <w:rFonts w:hint="eastAsia" w:ascii="宋体" w:hAnsi="宋体" w:cs="宋体"/>
          <w:szCs w:val="21"/>
        </w:rPr>
        <w:t>项目地点：深圳福田会展中心1号馆</w:t>
      </w:r>
    </w:p>
    <w:p>
      <w:pPr>
        <w:pStyle w:val="32"/>
        <w:numPr>
          <w:ilvl w:val="0"/>
          <w:numId w:val="4"/>
        </w:numPr>
        <w:ind w:firstLineChars="0"/>
        <w:rPr>
          <w:rFonts w:ascii="宋体" w:hAnsi="宋体" w:cs="宋体"/>
          <w:szCs w:val="21"/>
        </w:rPr>
      </w:pPr>
      <w:r>
        <w:rPr>
          <w:rFonts w:hint="eastAsia" w:ascii="宋体" w:hAnsi="宋体" w:cs="宋体"/>
          <w:szCs w:val="21"/>
        </w:rPr>
        <w:t>布、撤展时间安排</w:t>
      </w:r>
    </w:p>
    <w:tbl>
      <w:tblPr>
        <w:tblStyle w:val="20"/>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1"/>
        <w:gridCol w:w="2473"/>
        <w:gridCol w:w="1356"/>
        <w:gridCol w:w="1750"/>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1" w:type="dxa"/>
          </w:tcPr>
          <w:p>
            <w:pPr>
              <w:rPr>
                <w:rFonts w:ascii="宋体" w:hAnsi="宋体" w:cs="宋体"/>
                <w:szCs w:val="21"/>
              </w:rPr>
            </w:pPr>
            <w:r>
              <w:rPr>
                <w:rFonts w:hint="eastAsia" w:ascii="宋体" w:hAnsi="宋体" w:cs="宋体"/>
                <w:szCs w:val="21"/>
              </w:rPr>
              <w:t>布撤展</w:t>
            </w:r>
          </w:p>
        </w:tc>
        <w:tc>
          <w:tcPr>
            <w:tcW w:w="2473" w:type="dxa"/>
          </w:tcPr>
          <w:p>
            <w:pPr>
              <w:rPr>
                <w:rFonts w:ascii="宋体" w:hAnsi="宋体" w:cs="宋体"/>
                <w:szCs w:val="21"/>
              </w:rPr>
            </w:pPr>
            <w:r>
              <w:rPr>
                <w:rFonts w:hint="eastAsia" w:ascii="宋体" w:hAnsi="宋体" w:cs="宋体"/>
                <w:szCs w:val="21"/>
              </w:rPr>
              <w:t>工作日期</w:t>
            </w:r>
          </w:p>
        </w:tc>
        <w:tc>
          <w:tcPr>
            <w:tcW w:w="1356" w:type="dxa"/>
          </w:tcPr>
          <w:p>
            <w:pPr>
              <w:rPr>
                <w:rFonts w:ascii="宋体" w:hAnsi="宋体" w:cs="宋体"/>
                <w:szCs w:val="21"/>
              </w:rPr>
            </w:pPr>
            <w:r>
              <w:rPr>
                <w:rFonts w:hint="eastAsia" w:ascii="宋体" w:hAnsi="宋体" w:cs="宋体"/>
                <w:szCs w:val="21"/>
              </w:rPr>
              <w:t>展馆序号</w:t>
            </w:r>
          </w:p>
        </w:tc>
        <w:tc>
          <w:tcPr>
            <w:tcW w:w="1750" w:type="dxa"/>
          </w:tcPr>
          <w:p>
            <w:pPr>
              <w:rPr>
                <w:rFonts w:ascii="宋体" w:hAnsi="宋体" w:cs="宋体"/>
                <w:szCs w:val="21"/>
              </w:rPr>
            </w:pPr>
            <w:r>
              <w:rPr>
                <w:rFonts w:hint="eastAsia" w:ascii="宋体" w:hAnsi="宋体" w:cs="宋体"/>
                <w:szCs w:val="21"/>
              </w:rPr>
              <w:t>工作时间</w:t>
            </w:r>
          </w:p>
        </w:tc>
        <w:tc>
          <w:tcPr>
            <w:tcW w:w="1468" w:type="dxa"/>
          </w:tcPr>
          <w:p>
            <w:pPr>
              <w:rPr>
                <w:rFonts w:ascii="宋体" w:hAnsi="宋体" w:cs="宋体"/>
                <w:szCs w:val="21"/>
              </w:rPr>
            </w:pPr>
            <w:r>
              <w:rPr>
                <w:rFonts w:hint="eastAsia" w:ascii="宋体" w:hAnsi="宋体" w:cs="宋体"/>
                <w:szCs w:val="21"/>
              </w:rPr>
              <w:t>星期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41" w:type="dxa"/>
            <w:vMerge w:val="restart"/>
            <w:vAlign w:val="center"/>
          </w:tcPr>
          <w:p>
            <w:pPr>
              <w:rPr>
                <w:rFonts w:ascii="宋体" w:hAnsi="宋体" w:cs="宋体"/>
                <w:szCs w:val="21"/>
              </w:rPr>
            </w:pPr>
            <w:r>
              <w:rPr>
                <w:rFonts w:hint="eastAsia" w:ascii="宋体" w:hAnsi="宋体" w:cs="宋体"/>
                <w:szCs w:val="21"/>
              </w:rPr>
              <w:t>布展</w:t>
            </w:r>
          </w:p>
        </w:tc>
        <w:tc>
          <w:tcPr>
            <w:tcW w:w="2473" w:type="dxa"/>
            <w:vAlign w:val="center"/>
          </w:tcPr>
          <w:p>
            <w:pPr>
              <w:rPr>
                <w:rFonts w:ascii="宋体" w:hAnsi="宋体" w:cs="宋体"/>
                <w:szCs w:val="21"/>
              </w:rPr>
            </w:pPr>
            <w:r>
              <w:rPr>
                <w:rFonts w:hint="eastAsia" w:ascii="宋体" w:hAnsi="宋体" w:cs="宋体"/>
                <w:szCs w:val="21"/>
              </w:rPr>
              <w:t>2024年7月23日</w:t>
            </w:r>
          </w:p>
        </w:tc>
        <w:tc>
          <w:tcPr>
            <w:tcW w:w="1356" w:type="dxa"/>
            <w:vAlign w:val="center"/>
          </w:tcPr>
          <w:p>
            <w:pPr>
              <w:rPr>
                <w:rFonts w:ascii="宋体" w:hAnsi="宋体" w:cs="宋体"/>
                <w:szCs w:val="21"/>
              </w:rPr>
            </w:pPr>
            <w:r>
              <w:rPr>
                <w:rFonts w:hint="eastAsia" w:ascii="宋体" w:hAnsi="宋体" w:cs="宋体"/>
                <w:szCs w:val="21"/>
              </w:rPr>
              <w:t>1号馆</w:t>
            </w:r>
          </w:p>
        </w:tc>
        <w:tc>
          <w:tcPr>
            <w:tcW w:w="1750" w:type="dxa"/>
          </w:tcPr>
          <w:p>
            <w:pPr>
              <w:rPr>
                <w:rFonts w:ascii="宋体" w:hAnsi="宋体" w:cs="宋体"/>
                <w:szCs w:val="21"/>
              </w:rPr>
            </w:pPr>
            <w:r>
              <w:rPr>
                <w:rFonts w:hint="eastAsia" w:ascii="宋体" w:hAnsi="宋体" w:cs="宋体"/>
                <w:szCs w:val="21"/>
              </w:rPr>
              <w:t>08:30-17:30 (仅限特装展位)</w:t>
            </w:r>
          </w:p>
          <w:p>
            <w:pPr>
              <w:rPr>
                <w:rFonts w:ascii="宋体" w:hAnsi="宋体" w:cs="宋体"/>
                <w:szCs w:val="21"/>
              </w:rPr>
            </w:pPr>
          </w:p>
        </w:tc>
        <w:tc>
          <w:tcPr>
            <w:tcW w:w="1468" w:type="dxa"/>
            <w:vAlign w:val="center"/>
          </w:tcPr>
          <w:p>
            <w:pPr>
              <w:rPr>
                <w:rFonts w:ascii="宋体" w:hAnsi="宋体" w:cs="宋体"/>
                <w:szCs w:val="21"/>
              </w:rPr>
            </w:pPr>
            <w:r>
              <w:rPr>
                <w:rFonts w:hint="eastAsia" w:ascii="宋体" w:hAnsi="宋体" w:cs="宋体"/>
                <w:szCs w:val="21"/>
              </w:rPr>
              <w:t>星期二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1" w:type="dxa"/>
            <w:vMerge w:val="continue"/>
            <w:vAlign w:val="center"/>
          </w:tcPr>
          <w:p>
            <w:pPr>
              <w:rPr>
                <w:rFonts w:ascii="宋体" w:hAnsi="宋体" w:cs="宋体"/>
                <w:szCs w:val="21"/>
              </w:rPr>
            </w:pPr>
          </w:p>
        </w:tc>
        <w:tc>
          <w:tcPr>
            <w:tcW w:w="2473" w:type="dxa"/>
            <w:vAlign w:val="center"/>
          </w:tcPr>
          <w:p>
            <w:pPr>
              <w:rPr>
                <w:rFonts w:ascii="宋体" w:hAnsi="宋体" w:cs="宋体"/>
                <w:szCs w:val="21"/>
              </w:rPr>
            </w:pPr>
            <w:r>
              <w:rPr>
                <w:rFonts w:hint="eastAsia" w:ascii="宋体" w:hAnsi="宋体" w:cs="宋体"/>
                <w:szCs w:val="21"/>
              </w:rPr>
              <w:t>2024年7月24日</w:t>
            </w:r>
          </w:p>
        </w:tc>
        <w:tc>
          <w:tcPr>
            <w:tcW w:w="1356" w:type="dxa"/>
            <w:vAlign w:val="center"/>
          </w:tcPr>
          <w:p>
            <w:pPr>
              <w:rPr>
                <w:rFonts w:ascii="宋体" w:hAnsi="宋体" w:cs="宋体"/>
                <w:szCs w:val="21"/>
              </w:rPr>
            </w:pPr>
            <w:r>
              <w:rPr>
                <w:rFonts w:hint="eastAsia" w:ascii="宋体" w:hAnsi="宋体" w:cs="宋体"/>
                <w:szCs w:val="21"/>
              </w:rPr>
              <w:t>1号馆</w:t>
            </w:r>
          </w:p>
        </w:tc>
        <w:tc>
          <w:tcPr>
            <w:tcW w:w="1750" w:type="dxa"/>
          </w:tcPr>
          <w:p>
            <w:pPr>
              <w:rPr>
                <w:rFonts w:ascii="宋体" w:hAnsi="宋体" w:cs="宋体"/>
                <w:szCs w:val="21"/>
              </w:rPr>
            </w:pPr>
            <w:r>
              <w:rPr>
                <w:rFonts w:hint="eastAsia" w:ascii="宋体" w:hAnsi="宋体" w:cs="宋体"/>
                <w:szCs w:val="21"/>
              </w:rPr>
              <w:t>08:30-22:00</w:t>
            </w:r>
          </w:p>
        </w:tc>
        <w:tc>
          <w:tcPr>
            <w:tcW w:w="1468" w:type="dxa"/>
            <w:vAlign w:val="center"/>
          </w:tcPr>
          <w:p>
            <w:pPr>
              <w:rPr>
                <w:rFonts w:ascii="宋体" w:hAnsi="宋体" w:cs="宋体"/>
                <w:szCs w:val="21"/>
              </w:rPr>
            </w:pPr>
            <w:r>
              <w:rPr>
                <w:rFonts w:hint="eastAsia" w:ascii="宋体" w:hAnsi="宋体" w:cs="宋体"/>
                <w:szCs w:val="21"/>
              </w:rPr>
              <w:t>星期三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1" w:type="dxa"/>
            <w:vAlign w:val="center"/>
          </w:tcPr>
          <w:p>
            <w:pPr>
              <w:rPr>
                <w:rFonts w:ascii="宋体" w:hAnsi="宋体" w:cs="宋体"/>
                <w:szCs w:val="21"/>
              </w:rPr>
            </w:pPr>
            <w:r>
              <w:rPr>
                <w:rFonts w:hint="eastAsia" w:ascii="宋体" w:hAnsi="宋体" w:cs="宋体"/>
                <w:szCs w:val="21"/>
              </w:rPr>
              <w:t>撤展</w:t>
            </w:r>
          </w:p>
        </w:tc>
        <w:tc>
          <w:tcPr>
            <w:tcW w:w="2473" w:type="dxa"/>
            <w:vAlign w:val="center"/>
          </w:tcPr>
          <w:p>
            <w:pPr>
              <w:rPr>
                <w:rFonts w:ascii="宋体" w:hAnsi="宋体" w:cs="宋体"/>
                <w:szCs w:val="21"/>
              </w:rPr>
            </w:pPr>
            <w:r>
              <w:rPr>
                <w:rFonts w:hint="eastAsia" w:ascii="宋体" w:hAnsi="宋体" w:cs="宋体"/>
                <w:szCs w:val="21"/>
              </w:rPr>
              <w:t>2024年7月28日</w:t>
            </w:r>
          </w:p>
        </w:tc>
        <w:tc>
          <w:tcPr>
            <w:tcW w:w="1356" w:type="dxa"/>
            <w:vAlign w:val="center"/>
          </w:tcPr>
          <w:p>
            <w:pPr>
              <w:rPr>
                <w:rFonts w:ascii="宋体" w:hAnsi="宋体" w:cs="宋体"/>
                <w:szCs w:val="21"/>
              </w:rPr>
            </w:pPr>
            <w:r>
              <w:rPr>
                <w:rFonts w:hint="eastAsia" w:ascii="宋体" w:hAnsi="宋体" w:cs="宋体"/>
                <w:szCs w:val="21"/>
              </w:rPr>
              <w:t>1号馆</w:t>
            </w:r>
          </w:p>
        </w:tc>
        <w:tc>
          <w:tcPr>
            <w:tcW w:w="1750" w:type="dxa"/>
          </w:tcPr>
          <w:p>
            <w:pPr>
              <w:rPr>
                <w:rFonts w:ascii="宋体" w:hAnsi="宋体" w:cs="宋体"/>
                <w:szCs w:val="21"/>
              </w:rPr>
            </w:pPr>
            <w:r>
              <w:rPr>
                <w:rFonts w:hint="eastAsia" w:ascii="宋体" w:hAnsi="宋体" w:cs="宋体"/>
                <w:szCs w:val="21"/>
              </w:rPr>
              <w:t>17:30-22:00(撤展施工人员进馆时间为 17:30)</w:t>
            </w:r>
          </w:p>
        </w:tc>
        <w:tc>
          <w:tcPr>
            <w:tcW w:w="1468" w:type="dxa"/>
            <w:vAlign w:val="center"/>
          </w:tcPr>
          <w:p>
            <w:pPr>
              <w:rPr>
                <w:rFonts w:ascii="宋体" w:hAnsi="宋体" w:cs="宋体"/>
                <w:szCs w:val="21"/>
              </w:rPr>
            </w:pPr>
            <w:r>
              <w:rPr>
                <w:rFonts w:hint="eastAsia" w:ascii="宋体" w:hAnsi="宋体" w:cs="宋体"/>
                <w:szCs w:val="21"/>
              </w:rPr>
              <w:t>星期日</w:t>
            </w:r>
          </w:p>
        </w:tc>
      </w:tr>
    </w:tbl>
    <w:p>
      <w:pPr>
        <w:pStyle w:val="32"/>
        <w:numPr>
          <w:ilvl w:val="0"/>
          <w:numId w:val="4"/>
        </w:numPr>
        <w:ind w:firstLineChars="0"/>
        <w:rPr>
          <w:rFonts w:ascii="宋体" w:hAnsi="宋体" w:cs="宋体"/>
          <w:szCs w:val="21"/>
        </w:rPr>
      </w:pPr>
      <w:r>
        <w:rPr>
          <w:rFonts w:hint="eastAsia" w:ascii="宋体" w:hAnsi="宋体" w:cs="宋体"/>
          <w:szCs w:val="21"/>
        </w:rPr>
        <w:t>(以上时间仅供参考，具体时间以现场大会组委会通知为准)</w:t>
      </w:r>
    </w:p>
    <w:p>
      <w:pPr>
        <w:rPr>
          <w:rFonts w:ascii="宋体" w:hAnsi="宋体" w:cs="宋体"/>
          <w:szCs w:val="21"/>
        </w:rPr>
      </w:pPr>
      <w:r>
        <w:rPr>
          <w:rFonts w:hint="eastAsia" w:ascii="宋体" w:hAnsi="宋体" w:cs="宋体"/>
          <w:szCs w:val="21"/>
        </w:rPr>
        <w:t>（四）投标货币为人民币，应包括：设计费、制作费、物料费、运输费、装卸费、电费网费、加班费、各项税费、人工费（兼职人员）和完成本项目所需的一切费用。总服务价格（含税），另根据各投标人清单明细服务价格（含税）。</w:t>
      </w:r>
    </w:p>
    <w:p>
      <w:pPr>
        <w:pStyle w:val="32"/>
        <w:numPr>
          <w:ilvl w:val="255"/>
          <w:numId w:val="0"/>
        </w:numPr>
        <w:rPr>
          <w:rFonts w:ascii="宋体" w:hAnsi="宋体" w:cs="宋体"/>
          <w:b/>
          <w:bCs/>
          <w:szCs w:val="21"/>
          <w:highlight w:val="yellow"/>
        </w:rPr>
      </w:pPr>
    </w:p>
    <w:p>
      <w:pPr>
        <w:pStyle w:val="32"/>
        <w:numPr>
          <w:ilvl w:val="0"/>
          <w:numId w:val="4"/>
        </w:numPr>
        <w:ind w:firstLineChars="0"/>
        <w:rPr>
          <w:rFonts w:ascii="宋体" w:hAnsi="宋体" w:cs="宋体"/>
          <w:szCs w:val="21"/>
        </w:rPr>
      </w:pPr>
      <w:r>
        <w:rPr>
          <w:rFonts w:hint="eastAsia" w:ascii="宋体" w:hAnsi="宋体" w:cs="宋体"/>
          <w:b/>
          <w:bCs/>
          <w:szCs w:val="21"/>
          <w:lang w:val="zh-CN"/>
        </w:rPr>
        <w:t>★</w:t>
      </w:r>
      <w:r>
        <w:rPr>
          <w:rFonts w:hint="eastAsia" w:ascii="宋体" w:hAnsi="宋体" w:cs="宋体"/>
          <w:b/>
          <w:szCs w:val="21"/>
        </w:rPr>
        <w:t>工程清单</w:t>
      </w:r>
      <w:r>
        <w:rPr>
          <w:rFonts w:hint="eastAsia" w:ascii="宋体" w:hAnsi="宋体" w:cs="宋体"/>
          <w:b/>
          <w:bCs/>
          <w:szCs w:val="21"/>
        </w:rPr>
        <w:t>（需求表仅供参考，最终以设计</w:t>
      </w:r>
      <w:r>
        <w:rPr>
          <w:rFonts w:hint="eastAsia" w:ascii="宋体" w:hAnsi="宋体" w:cs="宋体"/>
          <w:b/>
          <w:szCs w:val="21"/>
        </w:rPr>
        <w:t>及搭建</w:t>
      </w:r>
      <w:r>
        <w:rPr>
          <w:rFonts w:hint="eastAsia" w:ascii="宋体" w:hAnsi="宋体" w:cs="宋体"/>
          <w:b/>
          <w:bCs/>
          <w:szCs w:val="21"/>
        </w:rPr>
        <w:t>为准</w:t>
      </w:r>
      <w:r>
        <w:rPr>
          <w:rFonts w:hint="eastAsia" w:ascii="宋体" w:hAnsi="宋体" w:cs="宋体"/>
          <w:b/>
          <w:szCs w:val="21"/>
        </w:rPr>
        <w:t>，</w:t>
      </w:r>
      <w:r>
        <w:rPr>
          <w:rFonts w:hint="eastAsia" w:ascii="宋体" w:hAnsi="宋体" w:cs="宋体"/>
          <w:szCs w:val="21"/>
        </w:rPr>
        <w:t>以实际发生结算</w:t>
      </w:r>
      <w:r>
        <w:rPr>
          <w:rFonts w:hint="eastAsia" w:ascii="宋体" w:hAnsi="宋体" w:cs="宋体"/>
          <w:b/>
          <w:bCs/>
          <w:szCs w:val="21"/>
        </w:rPr>
        <w:t>）</w:t>
      </w:r>
    </w:p>
    <w:tbl>
      <w:tblPr>
        <w:tblStyle w:val="19"/>
        <w:tblW w:w="0" w:type="auto"/>
        <w:jc w:val="center"/>
        <w:tblLayout w:type="fixed"/>
        <w:tblCellMar>
          <w:top w:w="0" w:type="dxa"/>
          <w:left w:w="108" w:type="dxa"/>
          <w:bottom w:w="0" w:type="dxa"/>
          <w:right w:w="108" w:type="dxa"/>
        </w:tblCellMar>
      </w:tblPr>
      <w:tblGrid>
        <w:gridCol w:w="533"/>
        <w:gridCol w:w="1646"/>
        <w:gridCol w:w="576"/>
        <w:gridCol w:w="774"/>
        <w:gridCol w:w="1234"/>
        <w:gridCol w:w="983"/>
        <w:gridCol w:w="2883"/>
      </w:tblGrid>
      <w:tr>
        <w:tblPrEx>
          <w:tblCellMar>
            <w:top w:w="0" w:type="dxa"/>
            <w:left w:w="108" w:type="dxa"/>
            <w:bottom w:w="0" w:type="dxa"/>
            <w:right w:w="108" w:type="dxa"/>
          </w:tblCellMar>
        </w:tblPrEx>
        <w:trPr>
          <w:trHeight w:val="285" w:hRule="atLeast"/>
          <w:jc w:val="center"/>
        </w:trPr>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6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工程项目名称</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预算总价</w:t>
            </w:r>
          </w:p>
        </w:tc>
        <w:tc>
          <w:tcPr>
            <w:tcW w:w="2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材料结构及工艺说明</w:t>
            </w:r>
          </w:p>
        </w:tc>
      </w:tr>
      <w:tr>
        <w:tblPrEx>
          <w:tblCellMar>
            <w:top w:w="0" w:type="dxa"/>
            <w:left w:w="108" w:type="dxa"/>
            <w:bottom w:w="0" w:type="dxa"/>
            <w:right w:w="108" w:type="dxa"/>
          </w:tblCellMar>
        </w:tblPrEx>
        <w:trPr>
          <w:trHeight w:val="285"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yellow"/>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yellow"/>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yellow"/>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yellow"/>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w:t>
            </w:r>
          </w:p>
        </w:tc>
        <w:tc>
          <w:tcPr>
            <w:tcW w:w="2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yellow"/>
              </w:rPr>
            </w:pPr>
            <w:r>
              <w:rPr>
                <w:rFonts w:hint="eastAsia" w:ascii="宋体" w:hAnsi="宋体" w:cs="宋体"/>
                <w:szCs w:val="21"/>
              </w:rPr>
              <w:t>1</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Cs w:val="21"/>
                <w:highlight w:val="yellow"/>
              </w:rPr>
            </w:pPr>
            <w:r>
              <w:rPr>
                <w:rFonts w:hint="eastAsia" w:ascii="宋体" w:hAnsi="宋体" w:cs="宋体"/>
                <w:szCs w:val="21"/>
              </w:rPr>
              <w:t>标准展位区域搭建（3m*3m）</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100+X</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以实际发生结算（包括使用白色喷塑八角铝合金展架（A料）及洁净的双面白色防火贴面展板，建造三面展墙。裱底楣板一套（含楣板字喷绘与制作）、加高展会形象喷绘（户外布）一套为3000mm宽、1000mm高，射灯二支（100W/支）、简易桌1张、白色椅子2把、220V电源（500W）插座一个、垃圾桶一个电费、管理费）</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展位区域搭建（3m*3m）</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25+X</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以实际发生结算（加高展会形象喷绘（户外布）简易桌6张、白色椅子12把、管理费）</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3</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背景板+灯布单面（3m*6m）</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18平方米</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桁架结构（配备简易桌5张、白色椅子5把）</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4</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1X2.5M指示牌单面</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八梭铝柱及展板</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5</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1X2.5M指示牌双面</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20</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八梭铝柱及展板</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6</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205.、206 组委会Internet接入</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条</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7</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1号馆入口闸机使用220V/10A</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3</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条</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8</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灭火器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50</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9</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简易桌</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100</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张</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10</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白折椅</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150</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把</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11</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1号馆签到处（8*9米）</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项</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12</w:t>
            </w:r>
          </w:p>
        </w:tc>
        <w:tc>
          <w:tcPr>
            <w:tcW w:w="164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szCs w:val="21"/>
              </w:rPr>
              <w:t>1号馆仓库围板(30*7)</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2</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个</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洁净的双面白色防火贴面展板</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13</w:t>
            </w:r>
          </w:p>
        </w:tc>
        <w:tc>
          <w:tcPr>
            <w:tcW w:w="164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形象牌、背景板</w:t>
            </w:r>
          </w:p>
          <w:p>
            <w:pPr>
              <w:rPr>
                <w:rFonts w:ascii="宋体" w:hAnsi="宋体" w:cs="宋体"/>
                <w:szCs w:val="21"/>
              </w:rPr>
            </w:pPr>
            <w:r>
              <w:rPr>
                <w:rFonts w:hint="eastAsia" w:ascii="宋体" w:hAnsi="宋体" w:cs="宋体"/>
                <w:szCs w:val="21"/>
              </w:rPr>
              <w:t>、导览图、参展</w:t>
            </w:r>
          </w:p>
          <w:p>
            <w:pPr>
              <w:rPr>
                <w:rFonts w:ascii="宋体" w:hAnsi="宋体" w:cs="宋体"/>
                <w:szCs w:val="21"/>
              </w:rPr>
            </w:pPr>
            <w:r>
              <w:rPr>
                <w:rFonts w:hint="eastAsia" w:ascii="宋体" w:hAnsi="宋体" w:cs="宋体"/>
                <w:szCs w:val="21"/>
              </w:rPr>
              <w:t>商名录、大会日</w:t>
            </w:r>
          </w:p>
          <w:p>
            <w:pPr>
              <w:rPr>
                <w:rFonts w:ascii="宋体" w:hAnsi="宋体" w:cs="宋体"/>
                <w:szCs w:val="21"/>
              </w:rPr>
            </w:pPr>
            <w:r>
              <w:rPr>
                <w:rFonts w:hint="eastAsia" w:ascii="宋体" w:hAnsi="宋体" w:cs="宋体"/>
                <w:szCs w:val="21"/>
              </w:rPr>
              <w:t>程等（本次展会</w:t>
            </w:r>
          </w:p>
          <w:p>
            <w:pPr>
              <w:widowControl/>
              <w:rPr>
                <w:rFonts w:ascii="宋体" w:hAnsi="宋体" w:cs="宋体"/>
                <w:color w:val="000000"/>
                <w:kern w:val="0"/>
                <w:szCs w:val="21"/>
                <w:highlight w:val="yellow"/>
              </w:rPr>
            </w:pPr>
            <w:r>
              <w:rPr>
                <w:rFonts w:hint="eastAsia" w:ascii="宋体" w:hAnsi="宋体" w:cs="宋体"/>
                <w:szCs w:val="21"/>
              </w:rPr>
              <w:t>使用尺寸：8*4）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1</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块</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szCs w:val="21"/>
              </w:rPr>
              <w:t>黑底喷布+桁架；单面</w:t>
            </w:r>
          </w:p>
        </w:tc>
      </w:tr>
      <w:tr>
        <w:tblPrEx>
          <w:tblCellMar>
            <w:top w:w="0" w:type="dxa"/>
            <w:left w:w="108" w:type="dxa"/>
            <w:bottom w:w="0" w:type="dxa"/>
            <w:right w:w="108" w:type="dxa"/>
          </w:tblCellMar>
        </w:tblPrEx>
        <w:trPr>
          <w:trHeight w:val="285"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164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形象牌、背景板</w:t>
            </w:r>
          </w:p>
          <w:p>
            <w:pPr>
              <w:rPr>
                <w:rFonts w:ascii="宋体" w:hAnsi="宋体" w:cs="宋体"/>
                <w:szCs w:val="21"/>
              </w:rPr>
            </w:pPr>
            <w:r>
              <w:rPr>
                <w:rFonts w:hint="eastAsia" w:ascii="宋体" w:hAnsi="宋体" w:cs="宋体"/>
                <w:szCs w:val="21"/>
              </w:rPr>
              <w:t>、导览图、参展</w:t>
            </w:r>
          </w:p>
          <w:p>
            <w:pPr>
              <w:rPr>
                <w:rFonts w:ascii="宋体" w:hAnsi="宋体" w:cs="宋体"/>
                <w:szCs w:val="21"/>
              </w:rPr>
            </w:pPr>
            <w:r>
              <w:rPr>
                <w:rFonts w:hint="eastAsia" w:ascii="宋体" w:hAnsi="宋体" w:cs="宋体"/>
                <w:szCs w:val="21"/>
              </w:rPr>
              <w:t>商名录、大会日</w:t>
            </w:r>
          </w:p>
          <w:p>
            <w:pPr>
              <w:rPr>
                <w:rFonts w:ascii="宋体" w:hAnsi="宋体" w:cs="宋体"/>
                <w:szCs w:val="21"/>
              </w:rPr>
            </w:pPr>
            <w:r>
              <w:rPr>
                <w:rFonts w:hint="eastAsia" w:ascii="宋体" w:hAnsi="宋体" w:cs="宋体"/>
                <w:szCs w:val="21"/>
              </w:rPr>
              <w:t>程等（本次展会</w:t>
            </w:r>
          </w:p>
          <w:p>
            <w:pPr>
              <w:rPr>
                <w:rFonts w:ascii="宋体" w:hAnsi="宋体" w:cs="宋体"/>
                <w:szCs w:val="21"/>
              </w:rPr>
            </w:pPr>
            <w:r>
              <w:rPr>
                <w:rFonts w:hint="eastAsia" w:ascii="宋体" w:hAnsi="宋体" w:cs="宋体"/>
                <w:szCs w:val="21"/>
              </w:rPr>
              <w:t>使用尺寸：6*4）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块</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p>
        </w:tc>
        <w:tc>
          <w:tcPr>
            <w:tcW w:w="98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highlight w:val="yellow"/>
              </w:rPr>
            </w:pPr>
          </w:p>
        </w:tc>
        <w:tc>
          <w:tcPr>
            <w:tcW w:w="2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黑底喷布+桁架；单面</w:t>
            </w:r>
          </w:p>
        </w:tc>
      </w:tr>
      <w:tr>
        <w:tblPrEx>
          <w:tblCellMar>
            <w:top w:w="0" w:type="dxa"/>
            <w:left w:w="108" w:type="dxa"/>
            <w:bottom w:w="0" w:type="dxa"/>
            <w:right w:w="108" w:type="dxa"/>
          </w:tblCellMar>
        </w:tblPrEx>
        <w:trPr>
          <w:trHeight w:val="285" w:hRule="atLeast"/>
          <w:jc w:val="center"/>
        </w:trPr>
        <w:tc>
          <w:tcPr>
            <w:tcW w:w="4763"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3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rPr>
          <w:rFonts w:ascii="宋体" w:hAnsi="宋体" w:cs="宋体"/>
          <w:szCs w:val="21"/>
        </w:rPr>
      </w:pPr>
      <w:r>
        <w:rPr>
          <w:rFonts w:ascii="宋体" w:hAnsi="宋体" w:cs="宋体"/>
          <w:szCs w:val="21"/>
        </w:rPr>
        <w:drawing>
          <wp:inline distT="0" distB="0" distL="0" distR="0">
            <wp:extent cx="5038725" cy="5943600"/>
            <wp:effectExtent l="19050" t="0" r="9525" b="0"/>
            <wp:docPr id="2" name="图片 1" descr="C:\Users\cz\Documents\WeChat Files\chenzhen288\FileStorage\Temp\5fbbeab39eadd4ba8082005ffa68b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cz\Documents\WeChat Files\chenzhen288\FileStorage\Temp\5fbbeab39eadd4ba8082005ffa68b6a.png"/>
                    <pic:cNvPicPr>
                      <a:picLocks noChangeAspect="1" noChangeArrowheads="1"/>
                    </pic:cNvPicPr>
                  </pic:nvPicPr>
                  <pic:blipFill>
                    <a:blip r:embed="rId6"/>
                    <a:srcRect/>
                    <a:stretch>
                      <a:fillRect/>
                    </a:stretch>
                  </pic:blipFill>
                  <pic:spPr>
                    <a:xfrm>
                      <a:off x="0" y="0"/>
                      <a:ext cx="5038725" cy="5943600"/>
                    </a:xfrm>
                    <a:prstGeom prst="rect">
                      <a:avLst/>
                    </a:prstGeom>
                    <a:noFill/>
                    <a:ln w="9525">
                      <a:noFill/>
                      <a:miter lim="800000"/>
                      <a:headEnd/>
                      <a:tailEnd/>
                    </a:ln>
                  </pic:spPr>
                </pic:pic>
              </a:graphicData>
            </a:graphic>
          </wp:inline>
        </w:drawing>
      </w:r>
    </w:p>
    <w:p>
      <w:pPr>
        <w:jc w:val="center"/>
        <w:rPr>
          <w:rFonts w:ascii="宋体" w:hAnsi="宋体" w:cs="宋体"/>
          <w:b/>
          <w:szCs w:val="21"/>
        </w:rPr>
      </w:pPr>
      <w:r>
        <w:rPr>
          <w:rFonts w:hint="eastAsia" w:ascii="宋体" w:hAnsi="宋体" w:cs="宋体"/>
          <w:color w:val="000000" w:themeColor="text1"/>
          <w:szCs w:val="21"/>
        </w:rPr>
        <w:t>（深圳动漫节标展参考图，招标人提供的参考图的区域功能设计。</w:t>
      </w:r>
      <w:r>
        <w:rPr>
          <w:rFonts w:ascii="宋体" w:hAnsi="宋体" w:cs="宋体"/>
          <w:color w:val="000000" w:themeColor="text1"/>
          <w:szCs w:val="21"/>
        </w:rPr>
        <w:t>)</w:t>
      </w:r>
    </w:p>
    <w:p>
      <w:pPr>
        <w:ind w:firstLine="247" w:firstLineChars="118"/>
        <w:rPr>
          <w:rFonts w:ascii="宋体" w:hAnsi="宋体" w:cs="宋体"/>
          <w:color w:val="000000" w:themeColor="text1"/>
          <w:szCs w:val="21"/>
        </w:rPr>
      </w:pPr>
    </w:p>
    <w:p>
      <w:pPr>
        <w:pStyle w:val="16"/>
        <w:rPr>
          <w:rFonts w:ascii="宋体" w:hAnsi="宋体" w:eastAsia="宋体" w:cs="宋体"/>
          <w:sz w:val="21"/>
          <w:szCs w:val="21"/>
        </w:rPr>
      </w:pPr>
    </w:p>
    <w:p>
      <w:r>
        <w:drawing>
          <wp:inline distT="0" distB="0" distL="0" distR="0">
            <wp:extent cx="5241290" cy="3714750"/>
            <wp:effectExtent l="19050" t="0" r="0" b="0"/>
            <wp:docPr id="3" name="图片 3" descr="C:\Users\cz\Documents\WeChat Files\chenzhen288\FileStorage\Temp\878bdf63db96af173ef992f7e614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z\Documents\WeChat Files\chenzhen288\FileStorage\Temp\878bdf63db96af173ef992f7e614823.png"/>
                    <pic:cNvPicPr>
                      <a:picLocks noChangeAspect="1" noChangeArrowheads="1"/>
                    </pic:cNvPicPr>
                  </pic:nvPicPr>
                  <pic:blipFill>
                    <a:blip r:embed="rId7"/>
                    <a:srcRect/>
                    <a:stretch>
                      <a:fillRect/>
                    </a:stretch>
                  </pic:blipFill>
                  <pic:spPr>
                    <a:xfrm>
                      <a:off x="0" y="0"/>
                      <a:ext cx="5241823" cy="3714750"/>
                    </a:xfrm>
                    <a:prstGeom prst="rect">
                      <a:avLst/>
                    </a:prstGeom>
                    <a:noFill/>
                    <a:ln w="9525">
                      <a:noFill/>
                      <a:miter lim="800000"/>
                      <a:headEnd/>
                      <a:tailEnd/>
                    </a:ln>
                  </pic:spPr>
                </pic:pic>
              </a:graphicData>
            </a:graphic>
          </wp:inline>
        </w:drawing>
      </w:r>
    </w:p>
    <w:p>
      <w:pPr>
        <w:jc w:val="center"/>
        <w:rPr>
          <w:rFonts w:hAnsi="宋体"/>
          <w:b/>
          <w:szCs w:val="21"/>
        </w:rPr>
      </w:pPr>
      <w:r>
        <w:rPr>
          <w:rFonts w:hint="eastAsia" w:ascii="宋体" w:hAnsi="宋体" w:cs="宋体"/>
          <w:color w:val="000000" w:themeColor="text1"/>
          <w:szCs w:val="21"/>
        </w:rPr>
        <w:t>（深圳动漫节标展参考图，招标人提供的参考图的区域功能设计。)</w:t>
      </w:r>
    </w:p>
    <w:p>
      <w:pPr>
        <w:spacing w:line="360" w:lineRule="auto"/>
        <w:rPr>
          <w:b/>
          <w:highlight w:val="yellow"/>
        </w:rPr>
      </w:pPr>
    </w:p>
    <w:p>
      <w:pPr>
        <w:spacing w:line="360" w:lineRule="auto"/>
        <w:rPr>
          <w:rFonts w:ascii="宋体" w:hAnsi="宋体" w:cs="宋体"/>
          <w:b/>
          <w:szCs w:val="21"/>
        </w:rPr>
      </w:pPr>
      <w:r>
        <w:rPr>
          <w:rFonts w:hint="eastAsia" w:ascii="宋体" w:hAnsi="宋体" w:cs="宋体"/>
          <w:b/>
          <w:szCs w:val="21"/>
        </w:rPr>
        <w:t>特别注明：</w:t>
      </w:r>
    </w:p>
    <w:p>
      <w:pPr>
        <w:spacing w:line="360" w:lineRule="auto"/>
        <w:ind w:firstLine="420" w:firstLineChars="200"/>
        <w:rPr>
          <w:rFonts w:ascii="宋体" w:hAnsi="宋体" w:cs="宋体"/>
          <w:bCs/>
          <w:szCs w:val="21"/>
        </w:rPr>
      </w:pPr>
      <w:r>
        <w:rPr>
          <w:rFonts w:hint="eastAsia" w:ascii="宋体" w:hAnsi="宋体" w:cs="宋体"/>
          <w:bCs/>
          <w:szCs w:val="21"/>
        </w:rPr>
        <w:t>1.请列明使用材料的品牌、型号、规格。</w:t>
      </w:r>
    </w:p>
    <w:p>
      <w:pPr>
        <w:spacing w:line="360" w:lineRule="auto"/>
        <w:ind w:firstLine="420" w:firstLineChars="200"/>
        <w:rPr>
          <w:rFonts w:ascii="宋体" w:hAnsi="宋体" w:cs="宋体"/>
          <w:bCs/>
          <w:szCs w:val="21"/>
        </w:rPr>
      </w:pPr>
      <w:r>
        <w:rPr>
          <w:rFonts w:hint="eastAsia" w:ascii="宋体" w:hAnsi="宋体" w:cs="宋体"/>
          <w:bCs/>
          <w:szCs w:val="21"/>
        </w:rPr>
        <w:t>2.如有清单中有未注明的与本项目相关的材料、辅材或工艺，投标人应考虑充分。本项目为固定总价包干。</w:t>
      </w:r>
    </w:p>
    <w:p>
      <w:pPr>
        <w:pStyle w:val="18"/>
        <w:numPr>
          <w:ilvl w:val="0"/>
          <w:numId w:val="5"/>
        </w:numPr>
        <w:rPr>
          <w:rFonts w:ascii="宋体" w:hAnsi="宋体" w:cs="宋体"/>
          <w:b/>
          <w:bCs/>
          <w:color w:val="000000" w:themeColor="text1"/>
          <w:sz w:val="21"/>
          <w:szCs w:val="21"/>
        </w:rPr>
      </w:pPr>
      <w:r>
        <w:rPr>
          <w:rFonts w:hint="eastAsia" w:ascii="宋体" w:hAnsi="宋体" w:cs="宋体"/>
          <w:b/>
          <w:bCs/>
          <w:color w:val="000000" w:themeColor="text1"/>
          <w:sz w:val="21"/>
          <w:szCs w:val="21"/>
        </w:rPr>
        <w:t>依据此表报价。</w:t>
      </w:r>
    </w:p>
    <w:p>
      <w:pPr>
        <w:pStyle w:val="18"/>
        <w:numPr>
          <w:ilvl w:val="0"/>
          <w:numId w:val="5"/>
        </w:numPr>
        <w:rPr>
          <w:rFonts w:ascii="宋体" w:hAnsi="宋体" w:cs="宋体"/>
          <w:b/>
          <w:bCs/>
          <w:color w:val="000000" w:themeColor="text1"/>
          <w:sz w:val="21"/>
          <w:szCs w:val="21"/>
        </w:rPr>
      </w:pPr>
      <w:r>
        <w:rPr>
          <w:rFonts w:hint="eastAsia" w:ascii="宋体" w:hAnsi="宋体" w:cs="宋体"/>
          <w:b/>
          <w:bCs/>
          <w:color w:val="000000" w:themeColor="text1"/>
          <w:sz w:val="21"/>
          <w:szCs w:val="21"/>
        </w:rPr>
        <w:t>投标报价反应的是投标人的收费标准，此投标报价并非结算金额。实际结算金额已招标人实际使用结算。</w:t>
      </w:r>
    </w:p>
    <w:p>
      <w:pPr>
        <w:pStyle w:val="18"/>
        <w:ind w:left="780"/>
        <w:rPr>
          <w:rFonts w:ascii="宋体" w:hAnsi="宋体" w:cs="宋体"/>
          <w:b/>
          <w:bCs/>
          <w:color w:val="000000" w:themeColor="text1"/>
          <w:sz w:val="21"/>
          <w:szCs w:val="21"/>
        </w:rPr>
      </w:pPr>
    </w:p>
    <w:p>
      <w:pPr>
        <w:pStyle w:val="18"/>
        <w:ind w:left="780"/>
        <w:rPr>
          <w:rFonts w:ascii="宋体" w:hAnsi="宋体" w:cs="宋体"/>
          <w:b/>
          <w:bCs/>
          <w:color w:val="FF0000"/>
          <w:sz w:val="21"/>
          <w:szCs w:val="21"/>
        </w:rPr>
      </w:pPr>
    </w:p>
    <w:p>
      <w:pPr>
        <w:pStyle w:val="32"/>
        <w:numPr>
          <w:ilvl w:val="0"/>
          <w:numId w:val="4"/>
        </w:numPr>
        <w:ind w:firstLineChars="0"/>
        <w:rPr>
          <w:rFonts w:ascii="宋体" w:hAnsi="宋体" w:cs="宋体"/>
          <w:b/>
          <w:szCs w:val="21"/>
        </w:rPr>
      </w:pPr>
      <w:r>
        <w:rPr>
          <w:rFonts w:hint="eastAsia" w:ascii="宋体" w:hAnsi="宋体" w:cs="宋体"/>
          <w:b/>
          <w:bCs/>
          <w:szCs w:val="21"/>
          <w:lang w:val="zh-CN"/>
        </w:rPr>
        <w:t>★</w:t>
      </w:r>
      <w:r>
        <w:rPr>
          <w:rFonts w:hint="eastAsia" w:ascii="宋体" w:hAnsi="宋体" w:cs="宋体"/>
          <w:b/>
          <w:szCs w:val="21"/>
        </w:rPr>
        <w:t>工程服务要求</w:t>
      </w:r>
    </w:p>
    <w:p>
      <w:pPr>
        <w:pStyle w:val="32"/>
        <w:widowControl/>
        <w:spacing w:line="360" w:lineRule="auto"/>
        <w:ind w:firstLine="0" w:firstLineChars="0"/>
        <w:jc w:val="left"/>
        <w:rPr>
          <w:rFonts w:ascii="宋体" w:hAnsi="宋体" w:cs="宋体"/>
          <w:color w:val="000000" w:themeColor="text1"/>
          <w:szCs w:val="21"/>
          <w:lang w:val="zh-CN"/>
        </w:rPr>
      </w:pPr>
      <w:r>
        <w:rPr>
          <w:rFonts w:hint="eastAsia" w:ascii="宋体" w:hAnsi="宋体" w:cs="宋体"/>
          <w:color w:val="000000" w:themeColor="text1"/>
          <w:szCs w:val="21"/>
          <w:lang w:val="zh-CN"/>
        </w:rPr>
        <w:t>1.本工程施工地点位于</w:t>
      </w:r>
      <w:r>
        <w:rPr>
          <w:rFonts w:hint="eastAsia" w:ascii="宋体" w:hAnsi="宋体" w:cs="宋体"/>
          <w:color w:val="000000" w:themeColor="text1"/>
          <w:szCs w:val="21"/>
        </w:rPr>
        <w:t>深圳福田会展中心1号馆</w:t>
      </w:r>
      <w:r>
        <w:rPr>
          <w:rFonts w:hint="eastAsia" w:ascii="宋体" w:hAnsi="宋体" w:cs="宋体"/>
          <w:color w:val="000000" w:themeColor="text1"/>
          <w:szCs w:val="21"/>
          <w:lang w:val="zh-CN"/>
        </w:rPr>
        <w:t>，面积约</w:t>
      </w:r>
      <w:r>
        <w:rPr>
          <w:rFonts w:hint="eastAsia" w:ascii="宋体" w:hAnsi="宋体" w:cs="宋体"/>
          <w:color w:val="000000" w:themeColor="text1"/>
          <w:szCs w:val="21"/>
        </w:rPr>
        <w:t>30000</w:t>
      </w:r>
      <w:r>
        <w:rPr>
          <w:rFonts w:hint="eastAsia" w:ascii="宋体" w:hAnsi="宋体" w:cs="宋体"/>
          <w:color w:val="000000" w:themeColor="text1"/>
          <w:szCs w:val="21"/>
          <w:lang w:val="zh-CN"/>
        </w:rPr>
        <w:t>平米。</w:t>
      </w:r>
    </w:p>
    <w:p>
      <w:pPr>
        <w:pStyle w:val="32"/>
        <w:widowControl/>
        <w:spacing w:line="360" w:lineRule="auto"/>
        <w:ind w:firstLine="0" w:firstLineChars="0"/>
        <w:jc w:val="left"/>
        <w:rPr>
          <w:rFonts w:ascii="宋体" w:hAnsi="宋体" w:cs="宋体"/>
          <w:color w:val="000000" w:themeColor="text1"/>
          <w:szCs w:val="21"/>
          <w:lang w:val="zh-CN"/>
        </w:rPr>
      </w:pPr>
      <w:r>
        <w:rPr>
          <w:rFonts w:hint="eastAsia" w:ascii="宋体" w:hAnsi="宋体" w:cs="宋体"/>
          <w:color w:val="000000" w:themeColor="text1"/>
          <w:szCs w:val="21"/>
          <w:lang w:val="zh-CN"/>
        </w:rPr>
        <w:t>主要内容为：</w:t>
      </w:r>
    </w:p>
    <w:p>
      <w:pPr>
        <w:pStyle w:val="32"/>
        <w:tabs>
          <w:tab w:val="left" w:pos="420"/>
        </w:tabs>
        <w:ind w:firstLine="0" w:firstLineChars="0"/>
      </w:pPr>
      <w:r>
        <w:rPr>
          <w:rFonts w:hint="eastAsia"/>
        </w:rPr>
        <w:t>（一）按照动漫节组委会参展商手册收取主场服务内容的各项费用。</w:t>
      </w:r>
    </w:p>
    <w:p>
      <w:pPr>
        <w:pStyle w:val="32"/>
        <w:tabs>
          <w:tab w:val="left" w:pos="420"/>
        </w:tabs>
        <w:ind w:firstLine="0" w:firstLineChars="0"/>
      </w:pPr>
      <w:r>
        <w:rPr>
          <w:rFonts w:hint="eastAsia"/>
        </w:rPr>
        <w:t>（二）受理各参展商关于展具、配电、用水、电话、网络铺设等工程项目申报并安排施工。</w:t>
      </w:r>
    </w:p>
    <w:p>
      <w:pPr>
        <w:pStyle w:val="32"/>
        <w:tabs>
          <w:tab w:val="left" w:pos="420"/>
        </w:tabs>
        <w:ind w:firstLine="0" w:firstLineChars="0"/>
      </w:pPr>
      <w:r>
        <w:rPr>
          <w:rFonts w:hint="eastAsia"/>
        </w:rPr>
        <w:t>（三）负责该展会特装展位装修图纸的收集、整理、审核、内部消防报审及展位用电安装等工作（含特装展位施工管理费及电费的收取工作）。在布撤展期间需由专人负责对现场所属区域的所有施工单位的安全责任管理，离场时开具放行条并监督所有施工单位场地清洁管理等工作。</w:t>
      </w:r>
    </w:p>
    <w:p>
      <w:pPr>
        <w:pStyle w:val="32"/>
        <w:tabs>
          <w:tab w:val="left" w:pos="420"/>
        </w:tabs>
        <w:ind w:firstLine="0" w:firstLineChars="0"/>
      </w:pPr>
      <w:r>
        <w:rPr>
          <w:rFonts w:hint="eastAsia"/>
        </w:rPr>
        <w:t>（四）承接该展会其他相关项目的施工（如桌椅板凳租赁，喷绘等）。</w:t>
      </w:r>
    </w:p>
    <w:p>
      <w:pPr>
        <w:pStyle w:val="32"/>
        <w:widowControl/>
        <w:spacing w:line="360" w:lineRule="auto"/>
        <w:ind w:firstLine="0" w:firstLineChars="0"/>
        <w:jc w:val="left"/>
        <w:rPr>
          <w:rFonts w:ascii="宋体" w:hAnsi="宋体" w:cs="Arial"/>
          <w:lang w:val="zh-CN"/>
        </w:rPr>
      </w:pPr>
      <w:r>
        <w:rPr>
          <w:rFonts w:hint="eastAsia" w:ascii="宋体" w:hAnsi="宋体" w:cs="仿宋_GB2312"/>
        </w:rPr>
        <w:t>2.</w:t>
      </w:r>
      <w:r>
        <w:rPr>
          <w:rFonts w:hint="eastAsia" w:ascii="宋体" w:hAnsi="宋体" w:cs="Arial"/>
          <w:lang w:val="zh-CN"/>
        </w:rPr>
        <w:t>本项目的施工范围包括：</w:t>
      </w:r>
    </w:p>
    <w:p>
      <w:pPr>
        <w:widowControl/>
        <w:spacing w:line="360" w:lineRule="auto"/>
        <w:jc w:val="left"/>
      </w:pPr>
      <w:r>
        <w:rPr>
          <w:rFonts w:hint="eastAsia" w:ascii="宋体" w:hAnsi="宋体" w:cs="Arial"/>
        </w:rPr>
        <w:t>（一）</w:t>
      </w:r>
      <w:r>
        <w:t>施工前，招标人和中标人应进行施工现场交接。项目竣工验收前，中标人应清理施工现场全部垃圾。</w:t>
      </w:r>
    </w:p>
    <w:p>
      <w:pPr>
        <w:widowControl/>
        <w:spacing w:line="360" w:lineRule="auto"/>
        <w:jc w:val="left"/>
        <w:rPr>
          <w:rFonts w:ascii="宋体" w:hAnsi="宋体" w:cs="Arial"/>
        </w:rPr>
      </w:pPr>
      <w:r>
        <w:rPr>
          <w:rFonts w:hint="eastAsia" w:ascii="宋体" w:hAnsi="宋体" w:cs="Arial"/>
        </w:rPr>
        <w:t>（二）</w:t>
      </w:r>
      <w:r>
        <w:t>施工前，中标人须到相关部门办理正式开工手续。进出施工场所的所有施工人员须到相关部门办理出入手续。</w:t>
      </w:r>
    </w:p>
    <w:p>
      <w:pPr>
        <w:widowControl/>
        <w:spacing w:line="360" w:lineRule="auto"/>
        <w:jc w:val="left"/>
        <w:rPr>
          <w:rFonts w:ascii="宋体" w:hAnsi="宋体" w:cs="Arial"/>
        </w:rPr>
      </w:pPr>
      <w:r>
        <w:rPr>
          <w:rFonts w:hint="eastAsia" w:ascii="宋体" w:hAnsi="宋体" w:cs="Arial"/>
        </w:rPr>
        <w:t>（三）</w:t>
      </w:r>
      <w:r>
        <w:t>各种主材进场后须经招标人和监理单位验收，经同意后方可使用。</w:t>
      </w:r>
    </w:p>
    <w:p>
      <w:pPr>
        <w:widowControl/>
        <w:spacing w:line="360" w:lineRule="auto"/>
        <w:jc w:val="left"/>
        <w:rPr>
          <w:rFonts w:ascii="宋体" w:hAnsi="宋体" w:cs="Arial"/>
        </w:rPr>
      </w:pPr>
      <w:r>
        <w:rPr>
          <w:rFonts w:hint="eastAsia" w:ascii="宋体" w:hAnsi="宋体" w:cs="Arial"/>
        </w:rPr>
        <w:t>（四）</w:t>
      </w:r>
      <w:r>
        <w:t>材料现场抽检、隐蔽工程验收、涉及结构及使用安全的特殊检验试验须通知招标人和监理单位参与，现场检验或验收通过后方可使用。</w:t>
      </w:r>
    </w:p>
    <w:p>
      <w:pPr>
        <w:widowControl/>
        <w:spacing w:line="360" w:lineRule="auto"/>
        <w:jc w:val="left"/>
        <w:rPr>
          <w:rFonts w:ascii="宋体" w:hAnsi="宋体" w:cs="Arial"/>
        </w:rPr>
      </w:pPr>
      <w:r>
        <w:rPr>
          <w:rFonts w:hint="eastAsia" w:ascii="宋体" w:hAnsi="宋体" w:cs="Arial"/>
        </w:rPr>
        <w:t>（五）</w:t>
      </w:r>
      <w:r>
        <w:t>施工时，中标人不得破坏施工现场原有的墙体和地面结构，必须保证原有及完工建筑装饰的保护、恢复和施工垃圾清理工作。</w:t>
      </w:r>
    </w:p>
    <w:p>
      <w:pPr>
        <w:widowControl/>
        <w:spacing w:line="360" w:lineRule="auto"/>
        <w:jc w:val="left"/>
        <w:rPr>
          <w:rFonts w:ascii="宋体" w:hAnsi="宋体" w:cs="Arial"/>
        </w:rPr>
      </w:pPr>
      <w:r>
        <w:rPr>
          <w:rFonts w:hint="eastAsia" w:ascii="宋体" w:hAnsi="宋体" w:cs="Arial"/>
        </w:rPr>
        <w:t>（六）</w:t>
      </w:r>
      <w:r>
        <w:t>因招标人单位性质的特殊性，中标人应充分考虑年度内人工、材料、机械等单价变化的风险及节假日施工的影响，结算时投标单价不予调增。</w:t>
      </w:r>
    </w:p>
    <w:p>
      <w:pPr>
        <w:widowControl/>
        <w:spacing w:line="360" w:lineRule="auto"/>
        <w:jc w:val="left"/>
        <w:rPr>
          <w:rFonts w:ascii="宋体" w:hAnsi="宋体" w:cs="Arial"/>
        </w:rPr>
      </w:pPr>
      <w:r>
        <w:rPr>
          <w:rFonts w:hint="eastAsia" w:ascii="宋体" w:hAnsi="宋体" w:cs="Arial"/>
        </w:rPr>
        <w:t>（七）</w:t>
      </w:r>
      <w:r>
        <w:t>中标人不得拖欠民工工资。如因发生劳资纠纷或对招标人的声誉及正常的医疗、工作秩序构成影响的，一切责任由中标人负责，直至终止合同。</w:t>
      </w:r>
    </w:p>
    <w:p>
      <w:pPr>
        <w:widowControl/>
        <w:spacing w:line="360" w:lineRule="auto"/>
        <w:jc w:val="left"/>
        <w:rPr>
          <w:rFonts w:ascii="宋体" w:hAnsi="宋体" w:cs="Arial"/>
        </w:rPr>
      </w:pPr>
      <w:r>
        <w:rPr>
          <w:rFonts w:hint="eastAsia" w:ascii="宋体" w:hAnsi="宋体" w:cs="Arial"/>
        </w:rPr>
        <w:t>（八）</w:t>
      </w:r>
      <w:r>
        <w:t>施工单位在施工中偷工减料的，使用不合格的建筑材料、建筑构配件和设备的，或者有不按照工程设计图纸或者施工组织设计进行施工的其他行为的，责令改正，每次罚款5000元；造成工程质量不符合规定的质量标准的，负责返工、修理，并赔偿因此造成的损失</w:t>
      </w:r>
      <w:r>
        <w:rPr>
          <w:rFonts w:hint="eastAsia"/>
        </w:rPr>
        <w:t>。</w:t>
      </w:r>
    </w:p>
    <w:p>
      <w:pPr>
        <w:widowControl/>
        <w:spacing w:line="360" w:lineRule="auto"/>
        <w:jc w:val="left"/>
        <w:rPr>
          <w:rFonts w:ascii="宋体" w:hAnsi="宋体" w:cs="Arial"/>
        </w:rPr>
      </w:pPr>
      <w:r>
        <w:rPr>
          <w:rFonts w:hint="eastAsia" w:ascii="宋体" w:hAnsi="宋体" w:cs="Arial"/>
        </w:rPr>
        <w:t>（九）</w:t>
      </w:r>
      <w:r>
        <w:t>材料质量承诺：材料品牌符合招标文件中要求品牌，材料的各项技术指标符合设计要求及合同要求，材料使用环保产品，满足GB18580-2001有毒气体排放及放射性污染标准要求。材料达不到上述要求的自动退场更换，并按相应材料价格的5%向招标人支付材料质量违约金</w:t>
      </w:r>
    </w:p>
    <w:p>
      <w:pPr>
        <w:widowControl/>
        <w:spacing w:line="360" w:lineRule="auto"/>
        <w:jc w:val="left"/>
        <w:rPr>
          <w:rFonts w:ascii="宋体" w:hAnsi="宋体" w:cs="Arial"/>
        </w:rPr>
      </w:pPr>
      <w:r>
        <w:rPr>
          <w:rFonts w:hint="eastAsia" w:ascii="宋体" w:hAnsi="宋体" w:cs="Arial"/>
        </w:rPr>
        <w:t>（十）</w:t>
      </w:r>
      <w:r>
        <w:t>安全生产、文明施工承诺：文明施工需达到文明施工优良工地标准、安全生产达到安全施工现场优良工程标准。若未达到标准，</w:t>
      </w:r>
      <w:r>
        <w:rPr>
          <w:rFonts w:hint="eastAsia"/>
        </w:rPr>
        <w:t>中标人</w:t>
      </w:r>
      <w:r>
        <w:t>愿按合同总价的1%承担违约责任。</w:t>
      </w:r>
    </w:p>
    <w:p>
      <w:pPr>
        <w:widowControl/>
        <w:spacing w:line="360" w:lineRule="auto"/>
        <w:jc w:val="left"/>
        <w:rPr>
          <w:rFonts w:ascii="宋体" w:hAnsi="宋体" w:cs="Arial"/>
        </w:rPr>
      </w:pPr>
      <w:r>
        <w:rPr>
          <w:rFonts w:hint="eastAsia" w:ascii="宋体" w:hAnsi="宋体" w:cs="Arial"/>
        </w:rPr>
        <w:t>（十一）</w:t>
      </w:r>
      <w:r>
        <w:t>主动配合招标人的工作，服从招标人、监理单位治理</w:t>
      </w:r>
      <w:r>
        <w:rPr>
          <w:rFonts w:hint="eastAsia" w:ascii="宋体" w:hAnsi="宋体" w:cs="Arial"/>
        </w:rPr>
        <w:t>（十二）</w:t>
      </w:r>
    </w:p>
    <w:p>
      <w:pPr>
        <w:widowControl/>
        <w:spacing w:line="360" w:lineRule="auto"/>
        <w:jc w:val="left"/>
        <w:rPr>
          <w:rFonts w:ascii="宋体" w:hAnsi="宋体" w:cs="Arial"/>
        </w:rPr>
      </w:pPr>
      <w:r>
        <w:rPr>
          <w:rFonts w:hint="eastAsia" w:ascii="宋体" w:hAnsi="宋体" w:cs="Arial"/>
        </w:rPr>
        <w:t>（十二）</w:t>
      </w:r>
      <w:r>
        <w:rPr>
          <w:rFonts w:hint="eastAsia"/>
        </w:rPr>
        <w:t>施工初验后按招标人要求做好拓荒工作，交付招标人。</w:t>
      </w:r>
    </w:p>
    <w:p>
      <w:pPr>
        <w:widowControl/>
        <w:spacing w:line="360" w:lineRule="auto"/>
        <w:jc w:val="left"/>
        <w:rPr>
          <w:rFonts w:ascii="宋体" w:hAnsi="宋体" w:cs="Arial"/>
        </w:rPr>
      </w:pPr>
      <w:r>
        <w:rPr>
          <w:rFonts w:hint="eastAsia" w:ascii="宋体" w:hAnsi="宋体" w:cs="Arial"/>
        </w:rPr>
        <w:t>（十三）</w:t>
      </w:r>
      <w:r>
        <w:rPr>
          <w:rFonts w:hint="eastAsia"/>
        </w:rPr>
        <w:t>投标人必须提供24小时现场施工及工程危机处理服务。</w:t>
      </w:r>
    </w:p>
    <w:p>
      <w:pPr>
        <w:pStyle w:val="32"/>
        <w:spacing w:line="360" w:lineRule="auto"/>
        <w:ind w:firstLine="0" w:firstLineChars="0"/>
        <w:jc w:val="left"/>
        <w:rPr>
          <w:rFonts w:ascii="宋体" w:hAnsi="宋体" w:cs="Arial"/>
        </w:rPr>
      </w:pPr>
      <w:r>
        <w:rPr>
          <w:rFonts w:ascii="宋体" w:hAnsi="宋体" w:cs="Arial"/>
        </w:rPr>
        <w:t>3.</w:t>
      </w:r>
      <w:r>
        <w:rPr>
          <w:rFonts w:hint="eastAsia" w:ascii="宋体" w:hAnsi="宋体" w:cs="Arial"/>
          <w:lang w:val="zh-CN"/>
        </w:rPr>
        <w:t>承包方式</w:t>
      </w:r>
      <w:r>
        <w:rPr>
          <w:rFonts w:hint="eastAsia" w:ascii="宋体" w:hAnsi="宋体" w:cs="Arial"/>
        </w:rPr>
        <w:t>：</w:t>
      </w:r>
    </w:p>
    <w:p>
      <w:pPr>
        <w:pStyle w:val="32"/>
        <w:spacing w:line="360" w:lineRule="auto"/>
        <w:jc w:val="left"/>
        <w:rPr>
          <w:b/>
        </w:rPr>
      </w:pPr>
      <w:r>
        <w:rPr>
          <w:rFonts w:hint="eastAsia" w:ascii="宋体" w:hAnsi="宋体" w:cs="Arial"/>
          <w:lang w:val="zh-CN"/>
        </w:rPr>
        <w:t xml:space="preserve">固定总价承包，乙方包工、包材料（见附件：材料清单）、包安全。 </w:t>
      </w:r>
      <w:r>
        <w:rPr>
          <w:rFonts w:hint="eastAsia"/>
          <w:lang w:val="zh-CN"/>
        </w:rPr>
        <w:t>（含税）</w:t>
      </w:r>
    </w:p>
    <w:p>
      <w:pPr>
        <w:rPr>
          <w:b/>
          <w:highlight w:val="yellow"/>
        </w:rPr>
      </w:pPr>
    </w:p>
    <w:p>
      <w:pPr>
        <w:pStyle w:val="32"/>
        <w:numPr>
          <w:ilvl w:val="0"/>
          <w:numId w:val="4"/>
        </w:numPr>
        <w:ind w:firstLineChars="0"/>
        <w:rPr>
          <w:b/>
        </w:rPr>
      </w:pPr>
      <w:r>
        <w:rPr>
          <w:rFonts w:hint="eastAsia" w:ascii="宋体" w:hAnsi="宋体" w:cs="宋体"/>
          <w:b/>
          <w:bCs/>
          <w:sz w:val="24"/>
          <w:lang w:val="zh-CN"/>
        </w:rPr>
        <w:t>★</w:t>
      </w:r>
      <w:r>
        <w:rPr>
          <w:rFonts w:hint="eastAsia"/>
          <w:b/>
        </w:rPr>
        <w:t>技术服务要求</w:t>
      </w:r>
    </w:p>
    <w:p>
      <w:pPr>
        <w:spacing w:line="360" w:lineRule="auto"/>
        <w:ind w:firstLine="420" w:firstLineChars="200"/>
        <w:rPr>
          <w:rFonts w:ascii="宋体" w:hAnsi="宋体"/>
          <w:bCs/>
          <w:szCs w:val="21"/>
        </w:rPr>
      </w:pPr>
      <w:r>
        <w:rPr>
          <w:rFonts w:hint="eastAsia" w:ascii="宋体" w:hAnsi="宋体"/>
          <w:bCs/>
          <w:szCs w:val="21"/>
        </w:rPr>
        <w:t>1.所有应标材料等必须是稳定、成熟、能满足项目要求的产品。</w:t>
      </w:r>
    </w:p>
    <w:p>
      <w:pPr>
        <w:spacing w:line="360" w:lineRule="auto"/>
        <w:ind w:firstLine="420" w:firstLineChars="200"/>
        <w:rPr>
          <w:rFonts w:ascii="宋体" w:hAnsi="宋体"/>
          <w:bCs/>
          <w:szCs w:val="21"/>
        </w:rPr>
      </w:pPr>
      <w:r>
        <w:rPr>
          <w:rFonts w:hint="eastAsia" w:ascii="宋体" w:hAnsi="宋体"/>
          <w:bCs/>
          <w:szCs w:val="21"/>
        </w:rPr>
        <w:t>2.中标方提供的所有货物必须是正规注册制造商制造的原装合格产品，货物的包装也应为制造商出厂时的原包装；货物包装箱内必须附有详细的装箱清单以及制造商或代理商提供的正规保修凭证。外购配件也应提供相关技术资料以及合格证、说明书、检验证、保修证等文件。</w:t>
      </w:r>
    </w:p>
    <w:p>
      <w:pPr>
        <w:spacing w:line="360" w:lineRule="auto"/>
        <w:ind w:firstLine="440" w:firstLineChars="200"/>
        <w:rPr>
          <w:rFonts w:ascii="宋体"/>
          <w:sz w:val="22"/>
        </w:rPr>
      </w:pPr>
      <w:r>
        <w:rPr>
          <w:rFonts w:hint="eastAsia" w:ascii="宋体" w:hAnsi="宋体"/>
          <w:sz w:val="22"/>
        </w:rPr>
        <w:t>3.本工程质量应达到国家、深圳市或专业的质量检验标准、设计标准或双方约定的其他标准。</w:t>
      </w:r>
    </w:p>
    <w:p>
      <w:pPr>
        <w:spacing w:line="360" w:lineRule="auto"/>
        <w:ind w:firstLine="440" w:firstLineChars="200"/>
        <w:rPr>
          <w:rFonts w:ascii="宋体"/>
          <w:sz w:val="22"/>
        </w:rPr>
      </w:pPr>
      <w:r>
        <w:rPr>
          <w:rFonts w:hint="eastAsia" w:ascii="宋体" w:hAnsi="宋体"/>
          <w:sz w:val="22"/>
        </w:rPr>
        <w:t>4.室内环境约定标准：《民用建筑工程室内环境污染控制规范》（</w:t>
      </w:r>
      <w:r>
        <w:rPr>
          <w:rFonts w:ascii="宋体" w:hAnsi="宋体"/>
          <w:sz w:val="22"/>
        </w:rPr>
        <w:t>GB50325-2001)</w:t>
      </w:r>
      <w:r>
        <w:rPr>
          <w:rFonts w:hint="eastAsia" w:ascii="宋体" w:hAnsi="宋体"/>
          <w:sz w:val="22"/>
        </w:rPr>
        <w:t>。</w:t>
      </w:r>
    </w:p>
    <w:p>
      <w:pPr>
        <w:spacing w:line="360" w:lineRule="auto"/>
        <w:rPr>
          <w:rFonts w:ascii="宋体" w:hAnsi="宋体"/>
          <w:bCs/>
          <w:szCs w:val="21"/>
        </w:rPr>
      </w:pPr>
      <w:r>
        <w:rPr>
          <w:rFonts w:hint="eastAsia" w:ascii="宋体" w:hAnsi="宋体"/>
          <w:sz w:val="22"/>
        </w:rPr>
        <w:t>施工质量验收标准：《建筑工程施工质量验收统一标准》（</w:t>
      </w:r>
      <w:r>
        <w:rPr>
          <w:rFonts w:ascii="宋体" w:hAnsi="宋体"/>
          <w:sz w:val="22"/>
        </w:rPr>
        <w:t>GB50300-2001</w:t>
      </w:r>
      <w:r>
        <w:rPr>
          <w:rFonts w:hint="eastAsia" w:ascii="宋体" w:hAnsi="宋体"/>
          <w:sz w:val="22"/>
        </w:rPr>
        <w:t>）以及相配套的相关工程质量验收规范、标准。</w:t>
      </w:r>
    </w:p>
    <w:p>
      <w:pPr>
        <w:pStyle w:val="32"/>
        <w:ind w:left="420" w:firstLine="0" w:firstLineChars="0"/>
        <w:rPr>
          <w:highlight w:val="yellow"/>
        </w:rPr>
      </w:pPr>
    </w:p>
    <w:p>
      <w:pPr>
        <w:pStyle w:val="32"/>
        <w:numPr>
          <w:ilvl w:val="0"/>
          <w:numId w:val="4"/>
        </w:numPr>
        <w:ind w:firstLineChars="0"/>
        <w:rPr>
          <w:b/>
        </w:rPr>
      </w:pPr>
      <w:r>
        <w:rPr>
          <w:rFonts w:hint="eastAsia" w:ascii="宋体" w:hAnsi="宋体" w:cs="宋体"/>
          <w:b/>
          <w:bCs/>
          <w:sz w:val="24"/>
          <w:lang w:val="zh-CN"/>
        </w:rPr>
        <w:t>★</w:t>
      </w:r>
      <w:r>
        <w:rPr>
          <w:rFonts w:hint="eastAsia"/>
          <w:b/>
        </w:rPr>
        <w:t>售后服务</w:t>
      </w:r>
      <w:r>
        <w:rPr>
          <w:b/>
        </w:rPr>
        <w:t>要求</w:t>
      </w:r>
    </w:p>
    <w:p>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1.项目需提供一年的免费维保期。维保期和技术支持自供需双方代表在设备验收单上签字之日起计算。</w:t>
      </w:r>
    </w:p>
    <w:p>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2.保修期内，中标方提供24小时热线支持。</w:t>
      </w:r>
    </w:p>
    <w:p>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3.</w:t>
      </w:r>
      <w:r>
        <w:rPr>
          <w:rFonts w:ascii="宋体" w:hAnsi="宋体" w:cs="Arial"/>
          <w:color w:val="000000" w:themeColor="text1"/>
          <w:szCs w:val="21"/>
        </w:rPr>
        <w:t>保修期内，所有设备维修均为上门服务，即由</w:t>
      </w:r>
      <w:r>
        <w:rPr>
          <w:rFonts w:hint="eastAsia" w:ascii="宋体" w:hAnsi="宋体" w:cs="Arial"/>
          <w:color w:val="000000" w:themeColor="text1"/>
          <w:szCs w:val="21"/>
        </w:rPr>
        <w:t>中标方</w:t>
      </w:r>
      <w:r>
        <w:rPr>
          <w:rFonts w:ascii="宋体" w:hAnsi="宋体" w:cs="Arial"/>
          <w:color w:val="000000" w:themeColor="text1"/>
          <w:szCs w:val="21"/>
        </w:rPr>
        <w:t>派人员到招标方现场维修，由此产生的费用均由</w:t>
      </w:r>
      <w:r>
        <w:rPr>
          <w:rFonts w:hint="eastAsia" w:ascii="宋体" w:hAnsi="宋体" w:cs="Arial"/>
          <w:color w:val="000000" w:themeColor="text1"/>
          <w:szCs w:val="21"/>
        </w:rPr>
        <w:t>中标方</w:t>
      </w:r>
      <w:r>
        <w:rPr>
          <w:rFonts w:ascii="宋体" w:hAnsi="宋体" w:cs="Arial"/>
          <w:color w:val="000000" w:themeColor="text1"/>
          <w:szCs w:val="21"/>
        </w:rPr>
        <w:t>负担。</w:t>
      </w:r>
    </w:p>
    <w:p>
      <w:pPr>
        <w:spacing w:line="360" w:lineRule="auto"/>
        <w:ind w:left="735" w:leftChars="350"/>
        <w:rPr>
          <w:rFonts w:ascii="宋体" w:hAnsi="宋体" w:cs="Arial"/>
          <w:color w:val="000000" w:themeColor="text1"/>
          <w:szCs w:val="21"/>
          <w:highlight w:val="yellow"/>
        </w:rPr>
      </w:pPr>
    </w:p>
    <w:p>
      <w:pPr>
        <w:pStyle w:val="32"/>
        <w:numPr>
          <w:ilvl w:val="0"/>
          <w:numId w:val="4"/>
        </w:numPr>
        <w:ind w:firstLineChars="0"/>
        <w:rPr>
          <w:color w:val="000000"/>
        </w:rPr>
      </w:pPr>
      <w:r>
        <w:rPr>
          <w:rFonts w:hint="eastAsia" w:ascii="宋体" w:hAnsi="宋体" w:cs="宋体"/>
          <w:b/>
          <w:bCs/>
          <w:sz w:val="24"/>
          <w:lang w:val="zh-CN"/>
        </w:rPr>
        <w:t>★</w:t>
      </w:r>
      <w:r>
        <w:rPr>
          <w:rFonts w:hint="eastAsia"/>
          <w:b/>
        </w:rPr>
        <w:t>报价</w:t>
      </w:r>
      <w:r>
        <w:rPr>
          <w:b/>
        </w:rPr>
        <w:t>要求</w:t>
      </w:r>
    </w:p>
    <w:p>
      <w:pPr>
        <w:autoSpaceDE w:val="0"/>
        <w:autoSpaceDN w:val="0"/>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rPr>
        <w:t>★</w:t>
      </w:r>
      <w:r>
        <w:rPr>
          <w:rFonts w:hint="eastAsia" w:ascii="宋体" w:hAnsi="宋体" w:cs="宋体"/>
          <w:b/>
          <w:szCs w:val="21"/>
          <w:u w:val="single"/>
        </w:rPr>
        <w:t xml:space="preserve">本项目最高限价： </w:t>
      </w:r>
    </w:p>
    <w:p>
      <w:pPr>
        <w:autoSpaceDE w:val="0"/>
        <w:autoSpaceDN w:val="0"/>
        <w:adjustRightInd w:val="0"/>
        <w:spacing w:line="360" w:lineRule="auto"/>
        <w:ind w:firstLine="420" w:firstLineChars="200"/>
        <w:rPr>
          <w:rFonts w:ascii="宋体" w:hAnsi="宋体" w:cs="宋体"/>
          <w:b/>
          <w:kern w:val="0"/>
          <w:szCs w:val="21"/>
          <w:u w:val="single"/>
        </w:rPr>
      </w:pPr>
      <w:r>
        <w:rPr>
          <w:rFonts w:hint="eastAsia" w:ascii="宋体" w:hAnsi="宋体" w:cs="宋体"/>
          <w:kern w:val="0"/>
          <w:szCs w:val="21"/>
          <w:lang w:val="zh-CN"/>
        </w:rPr>
        <w:t>小写：RMB</w:t>
      </w:r>
      <w:r>
        <w:rPr>
          <w:rFonts w:hint="eastAsia" w:ascii="宋体" w:hAnsi="宋体" w:cs="宋体"/>
          <w:kern w:val="0"/>
          <w:szCs w:val="21"/>
          <w:u w:val="single"/>
        </w:rPr>
        <w:t>130000</w:t>
      </w:r>
      <w:r>
        <w:rPr>
          <w:rFonts w:hint="eastAsia" w:ascii="宋体" w:hAnsi="宋体" w:cs="宋体"/>
          <w:kern w:val="0"/>
          <w:szCs w:val="21"/>
          <w:lang w:val="zh-CN"/>
        </w:rPr>
        <w:t>元    大写：人民币</w:t>
      </w:r>
      <w:r>
        <w:rPr>
          <w:rFonts w:hint="eastAsia" w:ascii="宋体" w:hAnsi="宋体" w:cs="宋体"/>
          <w:b/>
          <w:bCs/>
          <w:kern w:val="0"/>
          <w:szCs w:val="21"/>
          <w:u w:val="single"/>
        </w:rPr>
        <w:t>壹拾三万元</w:t>
      </w:r>
      <w:r>
        <w:rPr>
          <w:rFonts w:hint="eastAsia" w:ascii="宋体" w:hAnsi="宋体" w:cs="宋体"/>
          <w:b/>
          <w:kern w:val="0"/>
          <w:szCs w:val="21"/>
          <w:u w:val="single"/>
          <w:lang w:val="zh-CN"/>
        </w:rPr>
        <w:t>整</w:t>
      </w:r>
    </w:p>
    <w:p>
      <w:pPr>
        <w:autoSpaceDE w:val="0"/>
        <w:autoSpaceDN w:val="0"/>
        <w:adjustRightInd w:val="0"/>
        <w:spacing w:line="360" w:lineRule="auto"/>
        <w:ind w:firstLine="420" w:firstLineChars="200"/>
        <w:rPr>
          <w:rFonts w:ascii="宋体" w:hAnsi="宋体" w:cs="宋体"/>
          <w:b/>
          <w:szCs w:val="21"/>
        </w:rPr>
      </w:pPr>
      <w:r>
        <w:rPr>
          <w:rFonts w:hint="eastAsia" w:ascii="宋体" w:hAnsi="宋体" w:cs="宋体"/>
          <w:bCs/>
          <w:kern w:val="0"/>
          <w:szCs w:val="21"/>
          <w:lang w:val="zh-CN"/>
        </w:rPr>
        <w:t>投标人</w:t>
      </w:r>
      <w:r>
        <w:rPr>
          <w:rFonts w:hint="eastAsia" w:ascii="宋体" w:hAnsi="宋体" w:cs="宋体"/>
          <w:kern w:val="0"/>
          <w:szCs w:val="21"/>
          <w:lang w:val="zh-CN"/>
        </w:rPr>
        <w:t>报价应包括</w:t>
      </w:r>
      <w:r>
        <w:rPr>
          <w:rFonts w:hint="eastAsia" w:ascii="宋体" w:hAnsi="宋体" w:cs="宋体"/>
          <w:bCs/>
          <w:kern w:val="0"/>
          <w:szCs w:val="21"/>
          <w:lang w:val="zh-CN"/>
        </w:rPr>
        <w:t>完成本项目所需的一切费用，超出此预算控制金额的投标报价将导致其投标无效。投标人开具的发票为增值税专用发票。</w:t>
      </w:r>
    </w:p>
    <w:p>
      <w:pPr>
        <w:spacing w:line="360" w:lineRule="auto"/>
        <w:ind w:left="735" w:leftChars="350"/>
        <w:rPr>
          <w:rFonts w:ascii="宋体" w:hAnsi="宋体" w:cs="Arial"/>
          <w:color w:val="000000" w:themeColor="text1"/>
          <w:szCs w:val="21"/>
        </w:rPr>
      </w:pPr>
    </w:p>
    <w:p>
      <w:pPr>
        <w:pStyle w:val="32"/>
        <w:numPr>
          <w:ilvl w:val="0"/>
          <w:numId w:val="4"/>
        </w:numPr>
        <w:ind w:firstLineChars="0"/>
        <w:rPr>
          <w:b/>
        </w:rPr>
      </w:pPr>
      <w:r>
        <w:rPr>
          <w:rFonts w:hint="eastAsia" w:ascii="宋体" w:hAnsi="宋体" w:cs="宋体"/>
          <w:b/>
          <w:bCs/>
          <w:sz w:val="24"/>
          <w:lang w:val="zh-CN"/>
        </w:rPr>
        <w:t>★</w:t>
      </w:r>
      <w:r>
        <w:rPr>
          <w:rFonts w:hint="eastAsia"/>
          <w:b/>
        </w:rPr>
        <w:t>付款方式</w:t>
      </w:r>
    </w:p>
    <w:p>
      <w:pPr>
        <w:spacing w:line="360" w:lineRule="auto"/>
        <w:ind w:firstLine="420" w:firstLineChars="200"/>
        <w:jc w:val="left"/>
        <w:rPr>
          <w:rFonts w:ascii="宋体" w:hAnsi="宋体" w:cs="宋体"/>
          <w:bCs/>
          <w:kern w:val="0"/>
          <w:szCs w:val="21"/>
          <w:lang w:val="zh-CN"/>
        </w:rPr>
      </w:pPr>
      <w:r>
        <w:rPr>
          <w:rFonts w:hint="eastAsia" w:ascii="宋体" w:hAnsi="宋体" w:cs="宋体"/>
          <w:bCs/>
          <w:kern w:val="0"/>
          <w:szCs w:val="21"/>
          <w:lang w:val="zh-CN"/>
        </w:rPr>
        <w:t xml:space="preserve">合同签署后十个工作日内支付 </w:t>
      </w:r>
      <w:r>
        <w:rPr>
          <w:rFonts w:hint="eastAsia" w:ascii="宋体" w:hAnsi="宋体" w:cs="宋体"/>
          <w:bCs/>
          <w:kern w:val="0"/>
          <w:szCs w:val="21"/>
        </w:rPr>
        <w:t>1</w:t>
      </w:r>
      <w:r>
        <w:rPr>
          <w:rFonts w:hint="eastAsia" w:ascii="宋体" w:hAnsi="宋体" w:cs="宋体"/>
          <w:bCs/>
          <w:kern w:val="0"/>
          <w:szCs w:val="21"/>
          <w:lang w:val="zh-CN"/>
        </w:rPr>
        <w:t>0%，项目开始前五个工作日内支付 50%，项目完成后，经甲方验收及履约评价考核后（具体履约评价要求见附件）书面签字确认，十五个工作日内，根据履约考核情况，向乙方支付对应的合同尾款。</w:t>
      </w:r>
    </w:p>
    <w:p>
      <w:pPr>
        <w:spacing w:line="360" w:lineRule="auto"/>
        <w:ind w:firstLine="420" w:firstLineChars="200"/>
        <w:jc w:val="left"/>
        <w:rPr>
          <w:rFonts w:ascii="宋体" w:hAnsi="宋体" w:cs="宋体"/>
          <w:bCs/>
          <w:kern w:val="0"/>
          <w:szCs w:val="21"/>
          <w:lang w:val="zh-CN"/>
        </w:rPr>
      </w:pPr>
      <w:r>
        <w:rPr>
          <w:rFonts w:hint="eastAsia" w:ascii="宋体" w:hAnsi="宋体" w:cs="宋体"/>
          <w:bCs/>
          <w:kern w:val="0"/>
          <w:szCs w:val="21"/>
          <w:lang w:val="zh-CN"/>
        </w:rPr>
        <w:t>（必需提供增值税专用发票）</w:t>
      </w:r>
    </w:p>
    <w:p>
      <w:pPr>
        <w:spacing w:line="360" w:lineRule="auto"/>
        <w:ind w:left="735" w:leftChars="350"/>
        <w:rPr>
          <w:rFonts w:ascii="宋体" w:hAnsi="宋体" w:cs="Arial"/>
          <w:color w:val="000000" w:themeColor="text1"/>
          <w:szCs w:val="21"/>
        </w:rPr>
      </w:pPr>
    </w:p>
    <w:p>
      <w:pPr>
        <w:pStyle w:val="32"/>
        <w:numPr>
          <w:ilvl w:val="0"/>
          <w:numId w:val="4"/>
        </w:numPr>
        <w:ind w:firstLineChars="0"/>
        <w:rPr>
          <w:b/>
        </w:rPr>
      </w:pPr>
      <w:r>
        <w:rPr>
          <w:rFonts w:hint="eastAsia" w:ascii="宋体" w:hAnsi="宋体" w:cs="宋体"/>
          <w:b/>
          <w:bCs/>
          <w:sz w:val="24"/>
          <w:lang w:val="zh-CN"/>
        </w:rPr>
        <w:t>★</w:t>
      </w:r>
      <w:r>
        <w:rPr>
          <w:rFonts w:hint="eastAsia"/>
          <w:b/>
        </w:rPr>
        <w:t>履约评价考核</w:t>
      </w:r>
    </w:p>
    <w:p>
      <w:pPr>
        <w:pStyle w:val="16"/>
        <w:numPr>
          <w:ilvl w:val="0"/>
          <w:numId w:val="6"/>
        </w:numPr>
        <w:spacing w:line="360" w:lineRule="auto"/>
        <w:jc w:val="both"/>
        <w:rPr>
          <w:rStyle w:val="24"/>
          <w:rFonts w:ascii="宋体" w:hAnsi="宋体" w:eastAsia="宋体" w:cs="宋体"/>
          <w:b/>
          <w:bCs/>
        </w:rPr>
      </w:pPr>
      <w:r>
        <w:rPr>
          <w:rStyle w:val="24"/>
          <w:rFonts w:hint="eastAsia" w:ascii="宋体" w:hAnsi="宋体" w:eastAsia="宋体" w:cs="宋体"/>
          <w:b/>
          <w:bCs/>
        </w:rPr>
        <w:t>履约评价考核方式：</w:t>
      </w:r>
    </w:p>
    <w:p>
      <w:pPr>
        <w:pStyle w:val="16"/>
        <w:numPr>
          <w:ilvl w:val="255"/>
          <w:numId w:val="0"/>
        </w:numPr>
        <w:spacing w:line="360" w:lineRule="auto"/>
        <w:ind w:firstLine="420" w:firstLineChars="200"/>
        <w:jc w:val="both"/>
        <w:rPr>
          <w:rStyle w:val="24"/>
          <w:rFonts w:ascii="宋体" w:hAnsi="宋体" w:eastAsia="宋体" w:cs="宋体"/>
        </w:rPr>
      </w:pPr>
      <w:r>
        <w:rPr>
          <w:rStyle w:val="24"/>
          <w:rFonts w:hint="eastAsia" w:ascii="宋体" w:hAnsi="宋体" w:eastAsia="宋体" w:cs="宋体"/>
        </w:rPr>
        <w:t>乙方完成本合同项下全部服务事项后20个工作日内向甲方提交项目结算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16"/>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乙方履约评价考核按下表执行，其中履约评价考核得分在60分以下（不含本数）者为不合格：</w:t>
      </w:r>
    </w:p>
    <w:tbl>
      <w:tblPr>
        <w:tblStyle w:val="19"/>
        <w:tblW w:w="8663" w:type="dxa"/>
        <w:jc w:val="center"/>
        <w:tblLayout w:type="fixed"/>
        <w:tblCellMar>
          <w:top w:w="0" w:type="dxa"/>
          <w:left w:w="108" w:type="dxa"/>
          <w:bottom w:w="0" w:type="dxa"/>
          <w:right w:w="108" w:type="dxa"/>
        </w:tblCellMar>
      </w:tblPr>
      <w:tblGrid>
        <w:gridCol w:w="2129"/>
        <w:gridCol w:w="5222"/>
        <w:gridCol w:w="1312"/>
      </w:tblGrid>
      <w:tr>
        <w:tblPrEx>
          <w:tblCellMar>
            <w:top w:w="0" w:type="dxa"/>
            <w:left w:w="108" w:type="dxa"/>
            <w:bottom w:w="0" w:type="dxa"/>
            <w:right w:w="108" w:type="dxa"/>
          </w:tblCellMar>
        </w:tblPrEx>
        <w:trPr>
          <w:trHeight w:val="497" w:hRule="atLeast"/>
          <w:jc w:val="center"/>
        </w:trPr>
        <w:tc>
          <w:tcPr>
            <w:tcW w:w="1229"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履约评价得分</w:t>
            </w:r>
          </w:p>
        </w:tc>
        <w:tc>
          <w:tcPr>
            <w:tcW w:w="3013"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对应支付的合同尾款</w:t>
            </w:r>
          </w:p>
        </w:tc>
        <w:tc>
          <w:tcPr>
            <w:tcW w:w="757"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87" w:hRule="atLeast"/>
          <w:jc w:val="center"/>
        </w:trPr>
        <w:tc>
          <w:tcPr>
            <w:tcW w:w="1229"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80分以上（含80分）</w:t>
            </w:r>
          </w:p>
        </w:tc>
        <w:tc>
          <w:tcPr>
            <w:tcW w:w="3013"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剩余尾款全额支付</w:t>
            </w:r>
          </w:p>
        </w:tc>
        <w:tc>
          <w:tcPr>
            <w:tcW w:w="757"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965" w:hRule="atLeast"/>
          <w:jc w:val="center"/>
        </w:trPr>
        <w:tc>
          <w:tcPr>
            <w:tcW w:w="1229" w:type="pct"/>
            <w:tcBorders>
              <w:top w:val="single" w:color="000000" w:sz="4" w:space="0"/>
              <w:left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60分以上，80分以下</w:t>
            </w:r>
          </w:p>
        </w:tc>
        <w:tc>
          <w:tcPr>
            <w:tcW w:w="3013" w:type="pct"/>
            <w:tcBorders>
              <w:top w:val="single" w:color="000000" w:sz="4" w:space="0"/>
              <w:left w:val="nil"/>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以80分为基准，履约评价实际得分每少1分，对应扣减合同总价款的1%，扣除后结算余款</w:t>
            </w:r>
          </w:p>
        </w:tc>
        <w:tc>
          <w:tcPr>
            <w:tcW w:w="757"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w:t>
            </w:r>
          </w:p>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07" w:hRule="atLeast"/>
          <w:jc w:val="center"/>
        </w:trPr>
        <w:tc>
          <w:tcPr>
            <w:tcW w:w="1229"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60分以下</w:t>
            </w:r>
          </w:p>
        </w:tc>
        <w:tc>
          <w:tcPr>
            <w:tcW w:w="3013"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Fonts w:hint="eastAsia" w:ascii="宋体" w:hAnsi="宋体" w:cs="宋体"/>
                <w:szCs w:val="21"/>
              </w:rPr>
              <w:t>不付尾款（不合格）</w:t>
            </w:r>
          </w:p>
        </w:tc>
        <w:tc>
          <w:tcPr>
            <w:tcW w:w="757" w:type="pct"/>
            <w:tcBorders>
              <w:top w:val="single" w:color="000000" w:sz="4" w:space="0"/>
              <w:left w:val="nil"/>
              <w:bottom w:val="single" w:color="000000" w:sz="4" w:space="0"/>
              <w:right w:val="single" w:color="000000" w:sz="4" w:space="0"/>
            </w:tcBorders>
            <w:noWrap/>
            <w:vAlign w:val="center"/>
          </w:tcPr>
          <w:p>
            <w:pPr>
              <w:adjustRightInd w:val="0"/>
              <w:spacing w:line="360" w:lineRule="auto"/>
              <w:jc w:val="center"/>
              <w:rPr>
                <w:rFonts w:ascii="宋体" w:hAnsi="宋体" w:cs="宋体"/>
                <w:szCs w:val="21"/>
              </w:rPr>
            </w:pPr>
            <w:r>
              <w:rPr>
                <w:rStyle w:val="24"/>
                <w:rFonts w:hint="eastAsia" w:ascii="宋体" w:hAnsi="宋体" w:cs="宋体"/>
              </w:rPr>
              <w:t>并被剔除供应商库</w:t>
            </w:r>
          </w:p>
        </w:tc>
      </w:tr>
    </w:tbl>
    <w:p>
      <w:pPr>
        <w:pStyle w:val="16"/>
        <w:numPr>
          <w:ilvl w:val="255"/>
          <w:numId w:val="0"/>
        </w:numPr>
        <w:spacing w:line="360" w:lineRule="auto"/>
        <w:jc w:val="both"/>
        <w:rPr>
          <w:rStyle w:val="24"/>
          <w:rFonts w:ascii="宋体" w:hAnsi="宋体" w:eastAsia="宋体" w:cs="宋体"/>
          <w:b/>
          <w:bCs/>
        </w:rPr>
      </w:pPr>
    </w:p>
    <w:p>
      <w:pPr>
        <w:pStyle w:val="16"/>
        <w:numPr>
          <w:ilvl w:val="0"/>
          <w:numId w:val="6"/>
        </w:numPr>
        <w:spacing w:line="360" w:lineRule="auto"/>
        <w:jc w:val="both"/>
        <w:rPr>
          <w:rStyle w:val="24"/>
          <w:rFonts w:ascii="宋体" w:hAnsi="宋体" w:eastAsia="宋体" w:cs="宋体"/>
          <w:b/>
          <w:bCs/>
        </w:rPr>
      </w:pPr>
      <w:r>
        <w:rPr>
          <w:rStyle w:val="24"/>
          <w:rFonts w:hint="eastAsia" w:ascii="宋体" w:hAnsi="宋体" w:eastAsia="宋体" w:cs="宋体"/>
          <w:b/>
          <w:bCs/>
        </w:rPr>
        <w:t>履约评价管理办法：</w:t>
      </w:r>
    </w:p>
    <w:p>
      <w:pPr>
        <w:pStyle w:val="16"/>
        <w:spacing w:line="360" w:lineRule="auto"/>
        <w:ind w:firstLine="420" w:firstLineChars="200"/>
        <w:rPr>
          <w:rStyle w:val="24"/>
          <w:rFonts w:ascii="宋体" w:hAnsi="宋体" w:eastAsia="宋体" w:cs="宋体"/>
        </w:rPr>
      </w:pPr>
      <w:r>
        <w:rPr>
          <w:rStyle w:val="24"/>
          <w:rFonts w:hint="eastAsia" w:ascii="宋体" w:hAnsi="宋体" w:eastAsia="宋体" w:cs="宋体"/>
        </w:rPr>
        <w:t>第一条 根据得分（用字母“N”表示）情况，履约评价结果分为以下五个等级：</w:t>
      </w:r>
    </w:p>
    <w:p>
      <w:pPr>
        <w:pStyle w:val="16"/>
        <w:numPr>
          <w:ilvl w:val="0"/>
          <w:numId w:val="7"/>
        </w:numPr>
        <w:spacing w:line="360" w:lineRule="auto"/>
        <w:rPr>
          <w:rStyle w:val="24"/>
          <w:rFonts w:ascii="宋体" w:hAnsi="宋体" w:eastAsia="宋体" w:cs="宋体"/>
        </w:rPr>
      </w:pPr>
      <w:r>
        <w:rPr>
          <w:rStyle w:val="24"/>
          <w:rFonts w:hint="eastAsia" w:ascii="宋体" w:hAnsi="宋体" w:eastAsia="宋体" w:cs="宋体"/>
        </w:rPr>
        <w:t>当N≥90分时，评价结果为优秀；</w:t>
      </w:r>
    </w:p>
    <w:p>
      <w:pPr>
        <w:pStyle w:val="16"/>
        <w:numPr>
          <w:ilvl w:val="0"/>
          <w:numId w:val="7"/>
        </w:numPr>
        <w:spacing w:line="360" w:lineRule="auto"/>
        <w:rPr>
          <w:rStyle w:val="24"/>
          <w:rFonts w:ascii="宋体" w:hAnsi="宋体" w:eastAsia="宋体" w:cs="宋体"/>
        </w:rPr>
      </w:pPr>
      <w:r>
        <w:rPr>
          <w:rStyle w:val="24"/>
          <w:rFonts w:hint="eastAsia" w:ascii="宋体" w:hAnsi="宋体" w:eastAsia="宋体" w:cs="宋体"/>
        </w:rPr>
        <w:t>当80≤N＜90分时，评价结果为良好；</w:t>
      </w:r>
    </w:p>
    <w:p>
      <w:pPr>
        <w:pStyle w:val="16"/>
        <w:numPr>
          <w:ilvl w:val="0"/>
          <w:numId w:val="7"/>
        </w:numPr>
        <w:spacing w:line="360" w:lineRule="auto"/>
        <w:rPr>
          <w:rStyle w:val="24"/>
          <w:rFonts w:ascii="宋体" w:hAnsi="宋体" w:eastAsia="宋体" w:cs="宋体"/>
        </w:rPr>
      </w:pPr>
      <w:r>
        <w:rPr>
          <w:rStyle w:val="24"/>
          <w:rFonts w:hint="eastAsia" w:ascii="宋体" w:hAnsi="宋体" w:eastAsia="宋体" w:cs="宋体"/>
        </w:rPr>
        <w:t>当70≤N＜80分时，评价结果为中等；</w:t>
      </w:r>
    </w:p>
    <w:p>
      <w:pPr>
        <w:pStyle w:val="16"/>
        <w:numPr>
          <w:ilvl w:val="0"/>
          <w:numId w:val="7"/>
        </w:numPr>
        <w:spacing w:line="360" w:lineRule="auto"/>
        <w:rPr>
          <w:rStyle w:val="24"/>
          <w:rFonts w:ascii="宋体" w:hAnsi="宋体" w:eastAsia="宋体" w:cs="宋体"/>
        </w:rPr>
      </w:pPr>
      <w:r>
        <w:rPr>
          <w:rStyle w:val="24"/>
          <w:rFonts w:hint="eastAsia" w:ascii="宋体" w:hAnsi="宋体" w:eastAsia="宋体" w:cs="宋体"/>
        </w:rPr>
        <w:t>当60≤N＜70分时，评价结果为合格；</w:t>
      </w:r>
    </w:p>
    <w:p>
      <w:pPr>
        <w:pStyle w:val="16"/>
        <w:numPr>
          <w:ilvl w:val="0"/>
          <w:numId w:val="7"/>
        </w:numPr>
        <w:spacing w:line="360" w:lineRule="auto"/>
      </w:pPr>
      <w:r>
        <w:rPr>
          <w:rStyle w:val="24"/>
          <w:rFonts w:hint="eastAsia" w:ascii="宋体" w:hAnsi="宋体" w:eastAsia="宋体" w:cs="宋体"/>
        </w:rPr>
        <w:t>当N＜60分时，评价结果为不合格。</w:t>
      </w:r>
    </w:p>
    <w:p>
      <w:pPr>
        <w:pStyle w:val="16"/>
        <w:spacing w:line="360" w:lineRule="auto"/>
        <w:rPr>
          <w:rStyle w:val="24"/>
          <w:rFonts w:ascii="宋体" w:hAnsi="宋体" w:eastAsia="宋体" w:cs="宋体"/>
        </w:rPr>
      </w:pPr>
      <w:r>
        <w:rPr>
          <w:rStyle w:val="24"/>
          <w:rFonts w:hint="eastAsia" w:ascii="宋体" w:hAnsi="宋体" w:eastAsia="宋体" w:cs="宋体"/>
        </w:rPr>
        <w:t>　　第二条 有下列情形之一的，供应商/承包商履约评价不得被评为优秀、良好等级，履约评价得分不得高于79分：</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因自身原因拖延合同工期6个月以上的；</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项目管理班子未按投标承诺配备或者不到位的；</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经认定使用假冒伪劣材料或偷工减料的；</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因自身原因造成工程发生一般质量安全事故的；</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因设计原因导致工程变更超过施工合同价5%的（仅限设计合同）;</w:t>
      </w:r>
    </w:p>
    <w:p>
      <w:pPr>
        <w:pStyle w:val="16"/>
        <w:numPr>
          <w:ilvl w:val="0"/>
          <w:numId w:val="8"/>
        </w:numPr>
        <w:spacing w:line="360" w:lineRule="auto"/>
        <w:rPr>
          <w:rStyle w:val="24"/>
          <w:rFonts w:ascii="宋体" w:hAnsi="宋体" w:eastAsia="宋体" w:cs="宋体"/>
        </w:rPr>
      </w:pPr>
      <w:r>
        <w:rPr>
          <w:rStyle w:val="24"/>
          <w:rFonts w:hint="eastAsia" w:ascii="宋体" w:hAnsi="宋体" w:eastAsia="宋体" w:cs="宋体"/>
        </w:rPr>
        <w:t>招标文件或者合同文件中列明的其他情形。</w:t>
      </w:r>
    </w:p>
    <w:p>
      <w:pPr>
        <w:pStyle w:val="16"/>
        <w:spacing w:line="360" w:lineRule="auto"/>
        <w:rPr>
          <w:rStyle w:val="24"/>
          <w:rFonts w:ascii="宋体" w:hAnsi="宋体" w:eastAsia="宋体" w:cs="宋体"/>
        </w:rPr>
      </w:pPr>
      <w:r>
        <w:rPr>
          <w:rStyle w:val="24"/>
          <w:rFonts w:hint="eastAsia" w:ascii="宋体" w:hAnsi="宋体" w:eastAsia="宋体" w:cs="宋体"/>
        </w:rPr>
        <w:t>　　第三条 有下列情形之一的，供应商/承包商履约评价直接被评为“不合格”，得分不得高于59分，并被剔除供应商库：</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因自身原因拖延合同工期12个月以上的；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因拖欠工人工资或分包商工程款，引发群体性上访事件的；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因自身原因未按合同约定提交项目结算报告的；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经认定使用假冒伪劣材料或偷工减料，情节恶劣或者情形严重的；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因自身原因造成工程发生较大及以上质量安全事故的；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因该工程存在串通投标、转包、以他人名义投标、违法分包或者弄虚作假等违法行为，被行政监督部门行政处罚的；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经纪检监察机关或者有关部门认定，存在贿赂政府部门公职人员的行为的；</w:t>
      </w:r>
    </w:p>
    <w:p>
      <w:pPr>
        <w:pStyle w:val="16"/>
        <w:numPr>
          <w:ilvl w:val="0"/>
          <w:numId w:val="9"/>
        </w:numPr>
        <w:spacing w:line="360" w:lineRule="auto"/>
        <w:rPr>
          <w:rStyle w:val="24"/>
          <w:rFonts w:ascii="宋体" w:hAnsi="宋体" w:eastAsia="宋体" w:cs="宋体"/>
        </w:rPr>
      </w:pPr>
      <w:r>
        <w:rPr>
          <w:rStyle w:val="24"/>
          <w:rFonts w:hint="eastAsia" w:ascii="宋体" w:hAnsi="宋体" w:eastAsia="宋体" w:cs="宋体"/>
        </w:rPr>
        <w:t>招标文件或者合同文件中列明的其他情形。</w:t>
      </w:r>
    </w:p>
    <w:p>
      <w:pPr>
        <w:spacing w:line="360" w:lineRule="auto"/>
        <w:ind w:left="735" w:leftChars="350"/>
        <w:rPr>
          <w:rFonts w:ascii="宋体" w:hAnsi="宋体" w:cs="Arial"/>
          <w:color w:val="000000" w:themeColor="text1"/>
          <w:szCs w:val="21"/>
        </w:rPr>
      </w:pPr>
    </w:p>
    <w:p>
      <w:pPr>
        <w:spacing w:line="360" w:lineRule="auto"/>
        <w:ind w:left="735" w:leftChars="350"/>
        <w:rPr>
          <w:rFonts w:ascii="宋体" w:hAnsi="宋体" w:cs="Arial"/>
          <w:color w:val="000000" w:themeColor="text1"/>
          <w:szCs w:val="21"/>
        </w:rPr>
      </w:pPr>
    </w:p>
    <w:p>
      <w:pPr>
        <w:spacing w:line="360" w:lineRule="auto"/>
        <w:ind w:firstLine="420" w:firstLineChars="200"/>
        <w:rPr>
          <w:rFonts w:ascii="宋体" w:hAnsi="宋体" w:cs="宋体"/>
          <w:bCs/>
          <w:szCs w:val="21"/>
        </w:rPr>
      </w:pPr>
      <w:r>
        <w:rPr>
          <w:rFonts w:hint="eastAsia" w:ascii="宋体" w:hAnsi="宋体" w:cs="宋体"/>
          <w:bCs/>
          <w:szCs w:val="21"/>
        </w:rPr>
        <w:t>注：1.本招标项目要求中凡标有“★”号条款均为重要的要求，不可偏离。</w:t>
      </w:r>
    </w:p>
    <w:p>
      <w:pPr>
        <w:spacing w:line="360" w:lineRule="auto"/>
        <w:ind w:firstLine="840" w:firstLineChars="400"/>
        <w:rPr>
          <w:rFonts w:ascii="宋体" w:hAnsi="宋体" w:cs="宋体"/>
          <w:bCs/>
          <w:szCs w:val="21"/>
        </w:rPr>
      </w:pPr>
      <w:r>
        <w:rPr>
          <w:rFonts w:hint="eastAsia" w:ascii="宋体" w:hAnsi="宋体" w:cs="宋体"/>
          <w:bCs/>
          <w:szCs w:val="21"/>
        </w:rPr>
        <w:t>2.招标方在本招标文件中所列举的各类需求应视为保证本项目开展所需的最低要求，如有遗漏，投标方应予以补充，否则一旦中标将认为投标方认同遗漏部分并免费提供。</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pStyle w:val="3"/>
        <w:jc w:val="center"/>
      </w:pPr>
      <w:bookmarkStart w:id="21" w:name="_Toc12236"/>
      <w:r>
        <w:rPr>
          <w:rFonts w:hint="eastAsia"/>
        </w:rPr>
        <w:t>招标文件第二册</w:t>
      </w:r>
      <w:bookmarkEnd w:id="21"/>
    </w:p>
    <w:p>
      <w:pPr>
        <w:jc w:val="center"/>
        <w:rPr>
          <w:rFonts w:ascii="黑体" w:eastAsia="黑体"/>
          <w:sz w:val="44"/>
          <w:szCs w:val="44"/>
        </w:rPr>
      </w:pPr>
    </w:p>
    <w:p>
      <w:pPr>
        <w:widowControl/>
        <w:jc w:val="left"/>
        <w:rPr>
          <w:rFonts w:ascii="黑体" w:eastAsia="黑体"/>
          <w:sz w:val="44"/>
          <w:szCs w:val="44"/>
        </w:rPr>
      </w:pPr>
      <w:r>
        <w:rPr>
          <w:rFonts w:ascii="黑体" w:eastAsia="黑体"/>
          <w:sz w:val="44"/>
          <w:szCs w:val="44"/>
        </w:rPr>
        <w:br w:type="page"/>
      </w:r>
    </w:p>
    <w:p>
      <w:pPr>
        <w:widowControl/>
        <w:numPr>
          <w:ilvl w:val="0"/>
          <w:numId w:val="1"/>
        </w:numPr>
        <w:spacing w:beforeLines="100" w:afterLines="100"/>
        <w:ind w:firstLine="402"/>
        <w:jc w:val="center"/>
        <w:outlineLvl w:val="0"/>
        <w:rPr>
          <w:rFonts w:ascii="黑体" w:eastAsia="黑体"/>
          <w:sz w:val="44"/>
          <w:szCs w:val="44"/>
        </w:rPr>
      </w:pPr>
      <w:bookmarkStart w:id="22" w:name="_Toc17444"/>
      <w:r>
        <w:rPr>
          <w:rFonts w:hint="eastAsia" w:ascii="黑体" w:eastAsia="黑体"/>
          <w:sz w:val="44"/>
          <w:szCs w:val="44"/>
        </w:rPr>
        <w:t>投标人须知</w:t>
      </w:r>
      <w:bookmarkEnd w:id="22"/>
    </w:p>
    <w:p>
      <w:pPr>
        <w:jc w:val="center"/>
        <w:rPr>
          <w:rFonts w:ascii="黑体" w:eastAsia="黑体"/>
          <w:sz w:val="32"/>
          <w:szCs w:val="32"/>
        </w:rPr>
      </w:pPr>
      <w:r>
        <w:rPr>
          <w:rFonts w:hint="eastAsia" w:ascii="黑体" w:eastAsia="黑体"/>
          <w:sz w:val="32"/>
          <w:szCs w:val="32"/>
        </w:rPr>
        <w:t>一、说明</w:t>
      </w:r>
    </w:p>
    <w:p/>
    <w:p>
      <w:pPr>
        <w:numPr>
          <w:ilvl w:val="0"/>
          <w:numId w:val="10"/>
        </w:numPr>
        <w:rPr>
          <w:rFonts w:ascii="黑体" w:eastAsia="黑体"/>
          <w:b/>
        </w:rPr>
      </w:pPr>
      <w:r>
        <w:rPr>
          <w:rFonts w:hint="eastAsia" w:ascii="黑体" w:eastAsia="黑体"/>
          <w:b/>
        </w:rPr>
        <w:t>招标人及资金来源</w:t>
      </w:r>
    </w:p>
    <w:p>
      <w:pPr>
        <w:numPr>
          <w:ilvl w:val="1"/>
          <w:numId w:val="10"/>
        </w:numPr>
        <w:outlineLvl w:val="0"/>
      </w:pPr>
      <w:bookmarkStart w:id="23" w:name="_Ref179620493"/>
      <w:bookmarkStart w:id="24" w:name="_Toc24637"/>
      <w:bookmarkStart w:id="25" w:name="_Toc17232"/>
      <w:bookmarkStart w:id="26" w:name="_Toc17274"/>
      <w:r>
        <w:rPr>
          <w:rFonts w:hint="eastAsia"/>
        </w:rPr>
        <w:t>招标人名称</w:t>
      </w:r>
      <w:bookmarkEnd w:id="23"/>
      <w:r>
        <w:rPr>
          <w:rFonts w:hint="eastAsia"/>
        </w:rPr>
        <w:t xml:space="preserve">: </w:t>
      </w:r>
      <w:r>
        <w:rPr>
          <w:rFonts w:hint="eastAsia" w:ascii="宋体" w:hAnsi="宋体" w:cs="仿宋_GB2312"/>
          <w:color w:val="000000" w:themeColor="text1"/>
        </w:rPr>
        <w:t>深圳市设计之都运营发展有限公司</w:t>
      </w:r>
      <w:bookmarkEnd w:id="24"/>
      <w:bookmarkEnd w:id="25"/>
      <w:bookmarkEnd w:id="26"/>
    </w:p>
    <w:p>
      <w:pPr>
        <w:numPr>
          <w:ilvl w:val="1"/>
          <w:numId w:val="10"/>
        </w:numPr>
      </w:pPr>
      <w:bookmarkStart w:id="27" w:name="_Ref179620507"/>
      <w:r>
        <w:rPr>
          <w:rFonts w:hint="eastAsia"/>
        </w:rPr>
        <w:t>招标人已拥有一笔资金/贷款。招标人计划将一部分资金/贷款用于支付本次招标后所签订合同项下的款项，资金来源为自有资金。</w:t>
      </w:r>
      <w:bookmarkEnd w:id="27"/>
    </w:p>
    <w:p>
      <w:pPr>
        <w:ind w:left="907"/>
        <w:rPr>
          <w:color w:val="000000" w:themeColor="text1"/>
        </w:rPr>
      </w:pPr>
    </w:p>
    <w:p>
      <w:pPr>
        <w:numPr>
          <w:ilvl w:val="0"/>
          <w:numId w:val="10"/>
        </w:numPr>
        <w:rPr>
          <w:rFonts w:ascii="黑体" w:eastAsia="黑体"/>
          <w:b/>
          <w:color w:val="000000" w:themeColor="text1"/>
        </w:rPr>
      </w:pPr>
      <w:bookmarkStart w:id="28" w:name="_Ref179620057"/>
      <w:r>
        <w:rPr>
          <w:rFonts w:hint="eastAsia" w:ascii="黑体" w:eastAsia="黑体"/>
          <w:b/>
          <w:color w:val="000000" w:themeColor="text1"/>
        </w:rPr>
        <w:t>合格的投标人</w:t>
      </w:r>
      <w:bookmarkEnd w:id="28"/>
    </w:p>
    <w:p>
      <w:pPr>
        <w:numPr>
          <w:ilvl w:val="1"/>
          <w:numId w:val="10"/>
        </w:numPr>
        <w:rPr>
          <w:color w:val="000000" w:themeColor="text1"/>
        </w:rPr>
      </w:pPr>
      <w:r>
        <w:rPr>
          <w:rFonts w:hint="eastAsia"/>
          <w:color w:val="000000" w:themeColor="text1"/>
        </w:rPr>
        <w:t>除非下文另有规定，凡是在中华人民共和国境内注册且为人民币流通区域内的供货人均可投标。</w:t>
      </w:r>
    </w:p>
    <w:p>
      <w:pPr>
        <w:numPr>
          <w:ilvl w:val="1"/>
          <w:numId w:val="10"/>
        </w:numPr>
        <w:rPr>
          <w:color w:val="000000" w:themeColor="text1"/>
        </w:rPr>
      </w:pPr>
      <w:r>
        <w:rPr>
          <w:rFonts w:hint="eastAsia" w:ascii="宋体" w:hAnsi="宋体"/>
          <w:color w:val="000000" w:themeColor="text1"/>
        </w:rPr>
        <w:t>近两年来无深圳地区任何招投标中心的不良记录，不得有任何违反《深圳经济特区政府采购条例》；</w:t>
      </w:r>
    </w:p>
    <w:p>
      <w:pPr>
        <w:numPr>
          <w:ilvl w:val="1"/>
          <w:numId w:val="10"/>
        </w:numPr>
        <w:rPr>
          <w:color w:val="000000" w:themeColor="text1"/>
        </w:rPr>
      </w:pPr>
      <w:r>
        <w:rPr>
          <w:rFonts w:hint="eastAsia"/>
          <w:color w:val="000000" w:themeColor="text1"/>
        </w:rPr>
        <w:t>只有在法律上和财务上独立、合法运作并独立于招标人和招标机构的供货人才能参加投标。</w:t>
      </w:r>
    </w:p>
    <w:p>
      <w:pPr>
        <w:numPr>
          <w:ilvl w:val="1"/>
          <w:numId w:val="10"/>
        </w:numPr>
        <w:rPr>
          <w:color w:val="000000" w:themeColor="text1"/>
        </w:rPr>
      </w:pPr>
      <w:r>
        <w:rPr>
          <w:rFonts w:hint="eastAsia"/>
          <w:color w:val="000000" w:themeColor="text1"/>
        </w:rPr>
        <w:t>投标人不得直接或间接地与招标人为采购本次招标的货物进行设计、编制规范和其他文件所委托的咨询公司或其附属机构有任何关联。</w:t>
      </w:r>
    </w:p>
    <w:p>
      <w:pPr>
        <w:numPr>
          <w:ilvl w:val="1"/>
          <w:numId w:val="10"/>
        </w:numPr>
        <w:rPr>
          <w:color w:val="000000" w:themeColor="text1"/>
        </w:rPr>
      </w:pPr>
      <w:r>
        <w:rPr>
          <w:rFonts w:hint="eastAsia" w:ascii="宋体" w:hAnsi="宋体"/>
          <w:color w:val="000000" w:themeColor="text1"/>
        </w:rPr>
        <w:t>本项目不接受联合体投标</w:t>
      </w:r>
      <w:r>
        <w:rPr>
          <w:rFonts w:hint="eastAsia"/>
          <w:color w:val="000000" w:themeColor="text1"/>
        </w:rPr>
        <w:t>。</w:t>
      </w:r>
    </w:p>
    <w:p>
      <w:pPr>
        <w:numPr>
          <w:ilvl w:val="1"/>
          <w:numId w:val="10"/>
        </w:numPr>
        <w:rPr>
          <w:rFonts w:ascii="宋体" w:hAnsi="宋体"/>
          <w:color w:val="000000" w:themeColor="text1"/>
        </w:rPr>
      </w:pPr>
      <w:r>
        <w:rPr>
          <w:rFonts w:hint="eastAsia" w:ascii="宋体" w:hAnsi="宋体"/>
          <w:color w:val="000000" w:themeColor="text1"/>
        </w:rPr>
        <w:t>投标资料表要求的其他条件。</w:t>
      </w:r>
    </w:p>
    <w:p/>
    <w:p/>
    <w:p>
      <w:pPr>
        <w:jc w:val="center"/>
        <w:rPr>
          <w:rFonts w:ascii="黑体" w:eastAsia="黑体"/>
          <w:sz w:val="32"/>
          <w:szCs w:val="32"/>
        </w:rPr>
      </w:pPr>
      <w:r>
        <w:rPr>
          <w:rFonts w:hint="eastAsia" w:ascii="黑体" w:eastAsia="黑体"/>
          <w:sz w:val="32"/>
          <w:szCs w:val="32"/>
        </w:rPr>
        <w:t>二、招标文件</w:t>
      </w:r>
    </w:p>
    <w:p>
      <w:pPr>
        <w:ind w:firstLine="420" w:firstLineChars="200"/>
      </w:pPr>
    </w:p>
    <w:p>
      <w:pPr>
        <w:numPr>
          <w:ilvl w:val="0"/>
          <w:numId w:val="10"/>
        </w:numPr>
        <w:rPr>
          <w:rFonts w:ascii="黑体" w:eastAsia="黑体"/>
          <w:b/>
        </w:rPr>
      </w:pPr>
      <w:r>
        <w:rPr>
          <w:rFonts w:hint="eastAsia" w:ascii="黑体" w:eastAsia="黑体"/>
          <w:b/>
        </w:rPr>
        <w:t>招标文件的构成</w:t>
      </w:r>
    </w:p>
    <w:p>
      <w:pPr>
        <w:numPr>
          <w:ilvl w:val="1"/>
          <w:numId w:val="10"/>
        </w:numPr>
        <w:rPr>
          <w:color w:val="000000" w:themeColor="text1"/>
        </w:rPr>
      </w:pPr>
      <w:r>
        <w:rPr>
          <w:rFonts w:hint="eastAsia"/>
          <w:color w:val="000000" w:themeColor="text1"/>
        </w:rPr>
        <w:t>要求提供的货物、招标过程和合同条件在招标文件中均有说明。</w:t>
      </w:r>
    </w:p>
    <w:p>
      <w:pPr>
        <w:ind w:left="899" w:leftChars="428"/>
        <w:rPr>
          <w:color w:val="000000" w:themeColor="text1"/>
        </w:rPr>
      </w:pPr>
      <w:r>
        <w:rPr>
          <w:rFonts w:hint="eastAsia"/>
          <w:color w:val="000000" w:themeColor="text1"/>
        </w:rPr>
        <w:t>招标文件共六章，分两册。第一册的内容是对具体招标项目的说明、补充、完善和对第二册的修改等，第二册是招标文件的通用条款，第一册与第二册内容如有差异，以第一册内容为准。</w:t>
      </w:r>
    </w:p>
    <w:p>
      <w:pPr>
        <w:ind w:left="899" w:leftChars="428"/>
        <w:rPr>
          <w:color w:val="000000" w:themeColor="text1"/>
        </w:rPr>
      </w:pPr>
      <w:r>
        <w:rPr>
          <w:rFonts w:hint="eastAsia"/>
          <w:color w:val="000000" w:themeColor="text1"/>
        </w:rPr>
        <w:t>各册的内容如下：</w:t>
      </w:r>
    </w:p>
    <w:p>
      <w:pPr>
        <w:ind w:firstLine="420" w:firstLineChars="200"/>
        <w:rPr>
          <w:color w:val="000000" w:themeColor="text1"/>
        </w:rPr>
      </w:pPr>
    </w:p>
    <w:p>
      <w:pPr>
        <w:ind w:left="899" w:leftChars="428"/>
        <w:rPr>
          <w:b/>
          <w:color w:val="000000" w:themeColor="text1"/>
        </w:rPr>
      </w:pPr>
      <w:r>
        <w:rPr>
          <w:rFonts w:hint="eastAsia"/>
          <w:b/>
          <w:color w:val="000000" w:themeColor="text1"/>
        </w:rPr>
        <w:t>第一册</w:t>
      </w:r>
    </w:p>
    <w:p>
      <w:pPr>
        <w:ind w:left="899" w:leftChars="428"/>
        <w:rPr>
          <w:color w:val="000000" w:themeColor="text1"/>
        </w:rPr>
      </w:pPr>
      <w:r>
        <w:rPr>
          <w:rFonts w:hint="eastAsia"/>
          <w:color w:val="000000" w:themeColor="text1"/>
        </w:rPr>
        <w:t>第一章 投标邀请</w:t>
      </w:r>
    </w:p>
    <w:p>
      <w:pPr>
        <w:ind w:left="899" w:leftChars="428"/>
        <w:rPr>
          <w:color w:val="000000" w:themeColor="text1"/>
        </w:rPr>
      </w:pPr>
      <w:r>
        <w:rPr>
          <w:rFonts w:hint="eastAsia"/>
          <w:color w:val="000000" w:themeColor="text1"/>
        </w:rPr>
        <w:t>第二章 投标资料表</w:t>
      </w:r>
    </w:p>
    <w:p>
      <w:pPr>
        <w:ind w:left="899" w:leftChars="428"/>
        <w:rPr>
          <w:color w:val="000000" w:themeColor="text1"/>
        </w:rPr>
      </w:pPr>
      <w:r>
        <w:rPr>
          <w:rFonts w:hint="eastAsia"/>
          <w:color w:val="000000" w:themeColor="text1"/>
        </w:rPr>
        <w:t>第三章 用户需求书</w:t>
      </w:r>
    </w:p>
    <w:p>
      <w:pPr>
        <w:ind w:left="899" w:leftChars="428"/>
        <w:rPr>
          <w:color w:val="000000" w:themeColor="text1"/>
        </w:rPr>
      </w:pPr>
    </w:p>
    <w:p>
      <w:pPr>
        <w:ind w:left="899" w:leftChars="428"/>
        <w:rPr>
          <w:b/>
          <w:color w:val="000000" w:themeColor="text1"/>
        </w:rPr>
      </w:pPr>
      <w:r>
        <w:rPr>
          <w:rFonts w:hint="eastAsia"/>
          <w:b/>
          <w:color w:val="000000" w:themeColor="text1"/>
        </w:rPr>
        <w:t>第二册</w:t>
      </w:r>
    </w:p>
    <w:p>
      <w:pPr>
        <w:ind w:left="899" w:leftChars="428"/>
        <w:rPr>
          <w:color w:val="000000" w:themeColor="text1"/>
        </w:rPr>
      </w:pPr>
      <w:r>
        <w:rPr>
          <w:rFonts w:hint="eastAsia"/>
          <w:color w:val="000000" w:themeColor="text1"/>
        </w:rPr>
        <w:t>第四章 投标人须知</w:t>
      </w:r>
    </w:p>
    <w:p>
      <w:pPr>
        <w:ind w:left="899" w:leftChars="428"/>
        <w:rPr>
          <w:color w:val="000000" w:themeColor="text1"/>
        </w:rPr>
      </w:pPr>
      <w:r>
        <w:rPr>
          <w:rFonts w:hint="eastAsia"/>
          <w:color w:val="000000" w:themeColor="text1"/>
        </w:rPr>
        <w:t>第五章 合同条款</w:t>
      </w:r>
    </w:p>
    <w:p>
      <w:pPr>
        <w:ind w:left="899" w:leftChars="428"/>
        <w:rPr>
          <w:color w:val="000000" w:themeColor="text1"/>
        </w:rPr>
      </w:pPr>
      <w:r>
        <w:rPr>
          <w:rFonts w:hint="eastAsia"/>
          <w:color w:val="000000" w:themeColor="text1"/>
        </w:rPr>
        <w:t>第六章 附件</w:t>
      </w:r>
    </w:p>
    <w:p/>
    <w:p>
      <w:pPr>
        <w:numPr>
          <w:ilvl w:val="1"/>
          <w:numId w:val="10"/>
        </w:numPr>
      </w:pPr>
      <w:r>
        <w:rPr>
          <w:rFonts w:hint="eastAsia"/>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
      <w:pPr>
        <w:numPr>
          <w:ilvl w:val="0"/>
          <w:numId w:val="10"/>
        </w:numPr>
        <w:rPr>
          <w:rFonts w:ascii="黑体" w:eastAsia="黑体"/>
          <w:b/>
        </w:rPr>
      </w:pPr>
      <w:r>
        <w:rPr>
          <w:rFonts w:hint="eastAsia" w:ascii="黑体" w:eastAsia="黑体"/>
          <w:b/>
        </w:rPr>
        <w:t>招标文件的询问、质疑或澄清</w:t>
      </w:r>
    </w:p>
    <w:p>
      <w:pPr>
        <w:numPr>
          <w:ilvl w:val="1"/>
          <w:numId w:val="10"/>
        </w:numPr>
      </w:pPr>
      <w:r>
        <w:rPr>
          <w:rFonts w:hint="eastAsia"/>
        </w:rPr>
        <w:t>投标人如对本项目招标文件的所有内容（包括澄清，以及所有已提供的参考资料和有关附件）存在疑问，请在递交投标文件时间截止前向招标人提出询问或质疑。逾期将不再受理。</w:t>
      </w:r>
    </w:p>
    <w:p>
      <w:pPr>
        <w:numPr>
          <w:ilvl w:val="1"/>
          <w:numId w:val="10"/>
        </w:numPr>
      </w:pPr>
      <w:r>
        <w:rPr>
          <w:rFonts w:hint="eastAsia"/>
        </w:rPr>
        <w:t>询问或质疑应于递交投标文件截止时间前以书面形式（须加盖投标人公章）向招标人提出并送至招标人，逾期则视为接受招标文件所有内容。</w:t>
      </w:r>
    </w:p>
    <w:p>
      <w:pPr>
        <w:numPr>
          <w:ilvl w:val="1"/>
          <w:numId w:val="10"/>
        </w:numPr>
      </w:pPr>
      <w:r>
        <w:rPr>
          <w:rFonts w:hint="eastAsia"/>
        </w:rPr>
        <w:t>招标人对在递交投标文件截止时间前收到的对招标文件的询问或质疑均以书面形式予以答复，同时将书面答复以投标人须知5.2所述方式发给每个报名参与的投标人（答复中不包括问题的来源)；如有需要，招标人可专门组织招标文件答疑会议。</w:t>
      </w:r>
    </w:p>
    <w:p/>
    <w:p>
      <w:pPr>
        <w:numPr>
          <w:ilvl w:val="0"/>
          <w:numId w:val="10"/>
        </w:numPr>
        <w:rPr>
          <w:rFonts w:ascii="黑体" w:eastAsia="黑体"/>
          <w:b/>
        </w:rPr>
      </w:pPr>
      <w:bookmarkStart w:id="29" w:name="_Ref179619612"/>
      <w:r>
        <w:rPr>
          <w:rFonts w:hint="eastAsia" w:ascii="黑体" w:eastAsia="黑体"/>
          <w:b/>
        </w:rPr>
        <w:t>招标文件的修改</w:t>
      </w:r>
      <w:bookmarkEnd w:id="29"/>
    </w:p>
    <w:p>
      <w:pPr>
        <w:numPr>
          <w:ilvl w:val="1"/>
          <w:numId w:val="10"/>
        </w:numPr>
      </w:pPr>
      <w:r>
        <w:rPr>
          <w:rFonts w:hint="eastAsia"/>
          <w:szCs w:val="21"/>
          <w:lang w:val="zh-CN"/>
        </w:rPr>
        <w:t>在递交投标文件截止日期前的任何时候，无论何故，招标人可主动地或在答复投标人提出澄清的问题时对招标文件进行修改。</w:t>
      </w:r>
    </w:p>
    <w:p>
      <w:pPr>
        <w:numPr>
          <w:ilvl w:val="1"/>
          <w:numId w:val="10"/>
        </w:numPr>
      </w:pPr>
      <w:bookmarkStart w:id="30" w:name="_Ref179619147"/>
      <w:r>
        <w:rPr>
          <w:rFonts w:hint="eastAsia"/>
        </w:rPr>
        <w:t>招标文件的修改是招标文件的组成部分，招标文件的修改均在</w:t>
      </w:r>
      <w:r>
        <w:rPr>
          <w:rFonts w:hint="eastAsia" w:ascii="宋体" w:hAnsi="宋体" w:cs="宋体"/>
        </w:rPr>
        <w:t>深广电采购网</w:t>
      </w:r>
      <w:r>
        <w:fldChar w:fldCharType="begin"/>
      </w:r>
      <w:r>
        <w:instrText xml:space="preserve"> HYPERLINK "http://cg.szmg.com.cn/"</w:instrText>
      </w:r>
      <w:r>
        <w:fldChar w:fldCharType="separate"/>
      </w:r>
      <w:r>
        <w:rPr>
          <w:rStyle w:val="22"/>
        </w:rPr>
        <w:t>http://cg.szmg.com.cn/</w:t>
      </w:r>
      <w:r>
        <w:rPr>
          <w:rStyle w:val="23"/>
        </w:rPr>
        <w:fldChar w:fldCharType="end"/>
      </w:r>
      <w:r>
        <w:rPr>
          <w:rStyle w:val="23"/>
          <w:rFonts w:hint="eastAsia"/>
        </w:rPr>
        <w:t>或设计之都公司官网https://www.designcities.cn/</w:t>
      </w:r>
      <w:r>
        <w:rPr>
          <w:rFonts w:hint="eastAsia"/>
        </w:rPr>
        <w:t>以网上公告形式发布，并对投标人具有约束力，招标期间，投标人有义务上网查看，公告一经上网发布，即视为送达。</w:t>
      </w:r>
      <w:bookmarkEnd w:id="30"/>
    </w:p>
    <w:p>
      <w:pPr>
        <w:numPr>
          <w:ilvl w:val="1"/>
          <w:numId w:val="10"/>
        </w:numPr>
      </w:pPr>
      <w:r>
        <w:rPr>
          <w:rFonts w:hint="eastAsia"/>
        </w:rPr>
        <w:t>为使投标人准备投标时有充分时间对招标文件的修改部分进行研究，招标人可适当推迟投标截止期。</w:t>
      </w:r>
    </w:p>
    <w:p>
      <w:pPr>
        <w:ind w:firstLine="420" w:firstLineChars="200"/>
      </w:pPr>
    </w:p>
    <w:p>
      <w:pPr>
        <w:jc w:val="center"/>
        <w:rPr>
          <w:rFonts w:ascii="黑体" w:eastAsia="黑体"/>
          <w:sz w:val="32"/>
          <w:szCs w:val="32"/>
        </w:rPr>
      </w:pPr>
      <w:r>
        <w:rPr>
          <w:rFonts w:hint="eastAsia" w:ascii="黑体" w:eastAsia="黑体"/>
          <w:sz w:val="32"/>
          <w:szCs w:val="32"/>
        </w:rPr>
        <w:t>三、投标文件的编制</w:t>
      </w:r>
    </w:p>
    <w:p>
      <w:pPr>
        <w:ind w:firstLine="420" w:firstLineChars="200"/>
      </w:pPr>
    </w:p>
    <w:p>
      <w:pPr>
        <w:numPr>
          <w:ilvl w:val="0"/>
          <w:numId w:val="10"/>
        </w:numPr>
        <w:rPr>
          <w:rFonts w:ascii="黑体" w:eastAsia="黑体"/>
          <w:b/>
        </w:rPr>
      </w:pPr>
      <w:r>
        <w:rPr>
          <w:rFonts w:hint="eastAsia" w:ascii="黑体" w:eastAsia="黑体"/>
          <w:b/>
        </w:rPr>
        <w:t>投标的语言</w:t>
      </w:r>
    </w:p>
    <w:p>
      <w:pPr>
        <w:numPr>
          <w:ilvl w:val="1"/>
          <w:numId w:val="10"/>
        </w:numPr>
      </w:pPr>
      <w:r>
        <w:rPr>
          <w:rFonts w:hint="eastAsia"/>
        </w:rPr>
        <w:t>投标人提交的投标文件以及投标人与招标人就有关投标的所有来往函件均应使用简体中文书写。对于任何非中文的资料，都应提供简体中文翻译本，在解释时以简体中文翻译本为准。</w:t>
      </w:r>
    </w:p>
    <w:p/>
    <w:p>
      <w:pPr>
        <w:numPr>
          <w:ilvl w:val="0"/>
          <w:numId w:val="10"/>
        </w:numPr>
        <w:rPr>
          <w:rFonts w:ascii="黑体" w:eastAsia="黑体"/>
          <w:b/>
        </w:rPr>
      </w:pPr>
      <w:r>
        <w:rPr>
          <w:rFonts w:hint="eastAsia" w:ascii="黑体" w:eastAsia="黑体"/>
          <w:b/>
        </w:rPr>
        <w:t>投标范围及投标文件中计量单位的使用</w:t>
      </w:r>
    </w:p>
    <w:p>
      <w:pPr>
        <w:numPr>
          <w:ilvl w:val="1"/>
          <w:numId w:val="10"/>
        </w:numPr>
      </w:pPr>
      <w:r>
        <w:rPr>
          <w:rFonts w:hint="eastAsia"/>
        </w:rPr>
        <w:t>投标人可对招标文件中“用户需求书”中所述的所有货物进行投标，也可以只对其中一包或几包货物进行投标，但不得将一包中的内容拆开投标。</w:t>
      </w:r>
    </w:p>
    <w:p>
      <w:pPr>
        <w:numPr>
          <w:ilvl w:val="1"/>
          <w:numId w:val="10"/>
        </w:numPr>
      </w:pPr>
      <w:r>
        <w:rPr>
          <w:rFonts w:hint="eastAsia"/>
        </w:rPr>
        <w:t>投标文件中所使用的计量单位，除招标文件中有特殊要求外，应采用中华人民共和国法定计量单位。</w:t>
      </w:r>
    </w:p>
    <w:p>
      <w:pPr>
        <w:numPr>
          <w:ilvl w:val="1"/>
          <w:numId w:val="10"/>
        </w:numPr>
      </w:pPr>
      <w:r>
        <w:rPr>
          <w:rFonts w:hint="eastAsia"/>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
      <w:pPr>
        <w:numPr>
          <w:ilvl w:val="0"/>
          <w:numId w:val="10"/>
        </w:numPr>
        <w:rPr>
          <w:rFonts w:ascii="黑体" w:eastAsia="黑体"/>
          <w:b/>
        </w:rPr>
      </w:pPr>
      <w:r>
        <w:rPr>
          <w:rFonts w:hint="eastAsia" w:ascii="黑体" w:eastAsia="黑体"/>
          <w:b/>
        </w:rPr>
        <w:t>投标文件的构成</w:t>
      </w:r>
    </w:p>
    <w:p>
      <w:pPr>
        <w:numPr>
          <w:ilvl w:val="1"/>
          <w:numId w:val="10"/>
        </w:numPr>
        <w:rPr>
          <w:color w:val="000000" w:themeColor="text1"/>
        </w:rPr>
      </w:pPr>
      <w:r>
        <w:rPr>
          <w:rFonts w:hint="eastAsia"/>
          <w:color w:val="000000" w:themeColor="text1"/>
        </w:rPr>
        <w:t>投标人应完整地按招标文件提供的投标文件格式制作投标文件。投标文件应包括下列部分：</w:t>
      </w:r>
    </w:p>
    <w:p>
      <w:pPr>
        <w:ind w:firstLine="2125" w:firstLineChars="1012"/>
        <w:jc w:val="left"/>
        <w:rPr>
          <w:color w:val="000000" w:themeColor="text1"/>
        </w:rPr>
      </w:pPr>
      <w:r>
        <w:rPr>
          <w:rFonts w:hint="eastAsia"/>
          <w:color w:val="000000" w:themeColor="text1"/>
        </w:rPr>
        <w:t>第一章　投标书（格式见附件1）</w:t>
      </w:r>
    </w:p>
    <w:p>
      <w:pPr>
        <w:ind w:firstLine="2125" w:firstLineChars="1012"/>
        <w:jc w:val="left"/>
        <w:rPr>
          <w:color w:val="000000" w:themeColor="text1"/>
        </w:rPr>
      </w:pPr>
      <w:r>
        <w:rPr>
          <w:rFonts w:hint="eastAsia"/>
          <w:color w:val="000000" w:themeColor="text1"/>
        </w:rPr>
        <w:t>第二章　投标分项报价表（格式见附件3）</w:t>
      </w:r>
    </w:p>
    <w:p>
      <w:pPr>
        <w:ind w:firstLine="2125" w:firstLineChars="1012"/>
        <w:jc w:val="left"/>
        <w:rPr>
          <w:color w:val="000000" w:themeColor="text1"/>
        </w:rPr>
      </w:pPr>
      <w:r>
        <w:rPr>
          <w:rFonts w:hint="eastAsia"/>
          <w:color w:val="000000" w:themeColor="text1"/>
        </w:rPr>
        <w:t>第三章　技术方案（格式见附件4）</w:t>
      </w:r>
    </w:p>
    <w:p>
      <w:pPr>
        <w:ind w:firstLine="2125" w:firstLineChars="1012"/>
        <w:jc w:val="left"/>
        <w:rPr>
          <w:color w:val="000000" w:themeColor="text1"/>
        </w:rPr>
      </w:pPr>
      <w:r>
        <w:rPr>
          <w:rFonts w:hint="eastAsia"/>
          <w:color w:val="000000" w:themeColor="text1"/>
        </w:rPr>
        <w:t>第四章　服务方案（格式见附件5）</w:t>
      </w:r>
    </w:p>
    <w:p>
      <w:pPr>
        <w:ind w:firstLine="2125" w:firstLineChars="1012"/>
        <w:jc w:val="left"/>
        <w:rPr>
          <w:color w:val="000000" w:themeColor="text1"/>
        </w:rPr>
      </w:pPr>
      <w:r>
        <w:rPr>
          <w:rFonts w:hint="eastAsia"/>
          <w:color w:val="000000" w:themeColor="text1"/>
        </w:rPr>
        <w:t>第五章　技术规格偏离表（格式见附件6）</w:t>
      </w:r>
    </w:p>
    <w:p>
      <w:pPr>
        <w:ind w:firstLine="2125" w:firstLineChars="1012"/>
        <w:jc w:val="left"/>
        <w:rPr>
          <w:color w:val="000000" w:themeColor="text1"/>
        </w:rPr>
      </w:pPr>
      <w:r>
        <w:rPr>
          <w:rFonts w:hint="eastAsia"/>
          <w:color w:val="000000" w:themeColor="text1"/>
        </w:rPr>
        <w:t>第六章　商务条款偏离表（格式见附件7）</w:t>
      </w:r>
    </w:p>
    <w:p>
      <w:pPr>
        <w:ind w:firstLine="2125" w:firstLineChars="1012"/>
        <w:jc w:val="left"/>
        <w:rPr>
          <w:color w:val="000000" w:themeColor="text1"/>
        </w:rPr>
      </w:pPr>
      <w:r>
        <w:rPr>
          <w:rFonts w:hint="eastAsia"/>
          <w:color w:val="000000" w:themeColor="text1"/>
        </w:rPr>
        <w:t>第七章　资格证明文件（格式见附件8）</w:t>
      </w:r>
    </w:p>
    <w:p>
      <w:pPr>
        <w:ind w:left="899" w:leftChars="428"/>
        <w:rPr>
          <w:color w:val="000000" w:themeColor="text1"/>
        </w:rPr>
      </w:pPr>
      <w:r>
        <w:rPr>
          <w:rFonts w:hint="eastAsia"/>
          <w:color w:val="000000" w:themeColor="text1"/>
        </w:rPr>
        <w:t>上述文件须按顺序装订成册，并编制投标文件目录及注明页码。</w:t>
      </w:r>
    </w:p>
    <w:p>
      <w:pPr>
        <w:ind w:left="899" w:leftChars="428"/>
        <w:rPr>
          <w:color w:val="000000" w:themeColor="text1"/>
        </w:rPr>
      </w:pPr>
      <w:r>
        <w:rPr>
          <w:rFonts w:hint="eastAsia"/>
          <w:color w:val="000000" w:themeColor="text1"/>
        </w:rPr>
        <w:t>除上述文件资料外投标人还须按投标人须知的要求制作“开标文件”。“开标文件”作为投标文件的一部分，但须单独密封。</w:t>
      </w:r>
    </w:p>
    <w:p/>
    <w:p>
      <w:pPr>
        <w:numPr>
          <w:ilvl w:val="0"/>
          <w:numId w:val="10"/>
        </w:numPr>
        <w:rPr>
          <w:rFonts w:ascii="黑体" w:eastAsia="黑体"/>
          <w:b/>
        </w:rPr>
      </w:pPr>
      <w:r>
        <w:rPr>
          <w:rFonts w:hint="eastAsia" w:ascii="黑体" w:eastAsia="黑体"/>
          <w:b/>
        </w:rPr>
        <w:t>投标文件电子文档</w:t>
      </w:r>
    </w:p>
    <w:p>
      <w:pPr>
        <w:numPr>
          <w:ilvl w:val="1"/>
          <w:numId w:val="10"/>
        </w:numPr>
      </w:pPr>
      <w:r>
        <w:rPr>
          <w:rFonts w:hint="eastAsia"/>
        </w:rPr>
        <w:t>投标人在提交书面投标文件的同时，应提交该投标文件的电子文档。</w:t>
      </w:r>
    </w:p>
    <w:p>
      <w:pPr>
        <w:numPr>
          <w:ilvl w:val="1"/>
          <w:numId w:val="10"/>
        </w:numPr>
      </w:pPr>
      <w:r>
        <w:rPr>
          <w:rFonts w:hint="eastAsia"/>
        </w:rPr>
        <w:t>电子文档的格式要求：投标文件电子文档应统一使用OFFICE2000及以上版本软件制作，单独的图片文件应采用JPG格式，图纸文件应采用DWG格式或JPG格式。</w:t>
      </w:r>
    </w:p>
    <w:p>
      <w:pPr>
        <w:numPr>
          <w:ilvl w:val="1"/>
          <w:numId w:val="10"/>
        </w:numPr>
      </w:pPr>
      <w:r>
        <w:rPr>
          <w:rFonts w:hint="eastAsia"/>
        </w:rPr>
        <w:t>投标人提交的书面投标文件的实质内容应与提交的电子文档的实质内容完全一致。如果评标委员会发现两者的实质内容不一致，将按不利于投标人的原则予以处置。因此产生的一切责任均由投标人承担。</w:t>
      </w:r>
    </w:p>
    <w:p/>
    <w:p>
      <w:pPr>
        <w:numPr>
          <w:ilvl w:val="0"/>
          <w:numId w:val="10"/>
        </w:numPr>
        <w:rPr>
          <w:rFonts w:ascii="黑体" w:eastAsia="黑体"/>
          <w:b/>
        </w:rPr>
      </w:pPr>
      <w:r>
        <w:rPr>
          <w:rFonts w:hint="eastAsia" w:ascii="黑体" w:eastAsia="黑体"/>
          <w:b/>
        </w:rPr>
        <w:t>投标文件的编写</w:t>
      </w:r>
    </w:p>
    <w:p>
      <w:pPr>
        <w:numPr>
          <w:ilvl w:val="1"/>
          <w:numId w:val="10"/>
        </w:numPr>
      </w:pPr>
      <w:r>
        <w:rPr>
          <w:rFonts w:hint="eastAsia"/>
        </w:rPr>
        <w:t>投标人应按招标文件的规定，及附件要求的内容和格式完整地填写和提供资料，并保证所提供的全部资料的真实性。</w:t>
      </w:r>
    </w:p>
    <w:p/>
    <w:p>
      <w:pPr>
        <w:numPr>
          <w:ilvl w:val="0"/>
          <w:numId w:val="10"/>
        </w:numPr>
        <w:rPr>
          <w:rFonts w:ascii="黑体" w:eastAsia="黑体"/>
          <w:b/>
        </w:rPr>
      </w:pPr>
      <w:r>
        <w:rPr>
          <w:rFonts w:hint="eastAsia" w:ascii="黑体" w:eastAsia="黑体"/>
          <w:b/>
        </w:rPr>
        <w:t>投标报价</w:t>
      </w:r>
    </w:p>
    <w:p>
      <w:pPr>
        <w:numPr>
          <w:ilvl w:val="1"/>
          <w:numId w:val="10"/>
        </w:numPr>
      </w:pPr>
      <w:r>
        <w:rPr>
          <w:rFonts w:hint="eastAsia"/>
        </w:rPr>
        <w:t>所有投标均以人民币报价。投标人的投标报价应符合《中华人民共和国价格法》的有关规定。</w:t>
      </w:r>
    </w:p>
    <w:p>
      <w:pPr>
        <w:numPr>
          <w:ilvl w:val="1"/>
          <w:numId w:val="10"/>
        </w:numPr>
      </w:pPr>
      <w:bookmarkStart w:id="31" w:name="_Ref179619251"/>
      <w:r>
        <w:rPr>
          <w:rFonts w:hint="eastAsia"/>
        </w:rPr>
        <w:t>投标人应在投标分项报价表（附件3)上标明投标货物及相关服务的单价（如适用)和总价，并由法定代表人或其授权代表签署。投标总价中不得包含招标文件要求以外的内容，否则，在评标时不予核减。</w:t>
      </w:r>
      <w:bookmarkEnd w:id="31"/>
    </w:p>
    <w:p>
      <w:pPr>
        <w:numPr>
          <w:ilvl w:val="1"/>
          <w:numId w:val="10"/>
        </w:numPr>
      </w:pPr>
      <w:bookmarkStart w:id="32" w:name="_Ref179620595"/>
      <w:r>
        <w:rPr>
          <w:rFonts w:hint="eastAsia"/>
        </w:rPr>
        <w:t>投标人的投标报价，应完整的包含所有采购内容，且不得以任何理由重复，每一项目只允许有一个报价，任何有选择的报价将不予接受。</w:t>
      </w:r>
      <w:bookmarkEnd w:id="32"/>
    </w:p>
    <w:p>
      <w:pPr>
        <w:numPr>
          <w:ilvl w:val="1"/>
          <w:numId w:val="10"/>
        </w:numPr>
      </w:pPr>
      <w:r>
        <w:rPr>
          <w:rFonts w:hint="eastAsia"/>
        </w:rPr>
        <w:t>投标分项报价上的价格应按下列方式填写：</w:t>
      </w:r>
    </w:p>
    <w:p>
      <w:pPr>
        <w:numPr>
          <w:ilvl w:val="2"/>
          <w:numId w:val="10"/>
        </w:numPr>
      </w:pPr>
      <w:r>
        <w:rPr>
          <w:rFonts w:hint="eastAsia"/>
        </w:rPr>
        <w:t>投标货物包括标准附件、备品备件、专用工具等的出厂价（包括已在中国国内的进口货物完税后的仓库交货价、展室交货价或货架交货价)，投标货物安装、调试、检验、技术服务和培训等费用；</w:t>
      </w:r>
    </w:p>
    <w:p>
      <w:pPr>
        <w:numPr>
          <w:ilvl w:val="2"/>
          <w:numId w:val="10"/>
        </w:numPr>
      </w:pPr>
      <w:r>
        <w:rPr>
          <w:rFonts w:hint="eastAsia"/>
        </w:rPr>
        <w:t>货物运至最终目的地并安装调试完毕的运输费和保险费用和伴随货物交运的有关费用；</w:t>
      </w:r>
    </w:p>
    <w:p>
      <w:pPr>
        <w:numPr>
          <w:ilvl w:val="2"/>
          <w:numId w:val="10"/>
        </w:numPr>
      </w:pPr>
      <w:bookmarkStart w:id="33" w:name="_Ref179620755"/>
      <w:r>
        <w:rPr>
          <w:rFonts w:hint="eastAsia"/>
        </w:rPr>
        <w:t>报投标资料表中列出的其他伴随服务的费用（如果有的话)。</w:t>
      </w:r>
      <w:bookmarkEnd w:id="33"/>
    </w:p>
    <w:p>
      <w:pPr>
        <w:numPr>
          <w:ilvl w:val="1"/>
          <w:numId w:val="10"/>
        </w:numPr>
      </w:pPr>
      <w:r>
        <w:rPr>
          <w:rFonts w:hint="eastAsia"/>
        </w:rPr>
        <w:t>如果投标人对于采购文件或答疑文件中为满足技术要求中所提供的设备有未报价或漏报、错报、缺报等情况，可以视其为投标人予以采购人的投标优惠报价，中标后不予调整。如果投标人不接受对其错误的更正，其投标将被拒绝。</w:t>
      </w:r>
    </w:p>
    <w:p/>
    <w:p>
      <w:pPr>
        <w:numPr>
          <w:ilvl w:val="0"/>
          <w:numId w:val="10"/>
        </w:numPr>
        <w:rPr>
          <w:rFonts w:ascii="黑体" w:eastAsia="黑体"/>
          <w:b/>
        </w:rPr>
      </w:pPr>
      <w:r>
        <w:rPr>
          <w:rFonts w:hint="eastAsia" w:ascii="黑体" w:eastAsia="黑体"/>
          <w:b/>
        </w:rPr>
        <w:t xml:space="preserve">证明投标人合格和资格的文件 </w:t>
      </w:r>
    </w:p>
    <w:p>
      <w:pPr>
        <w:numPr>
          <w:ilvl w:val="1"/>
          <w:numId w:val="10"/>
        </w:numPr>
      </w:pPr>
      <w:r>
        <w:rPr>
          <w:rFonts w:hint="eastAsia"/>
        </w:rPr>
        <w:t>投标人应提交证明其有资格参加投标和中标后有能力履行合同的文件，并作为其投标文件的一部分。</w:t>
      </w:r>
    </w:p>
    <w:p>
      <w:pPr>
        <w:numPr>
          <w:ilvl w:val="1"/>
          <w:numId w:val="10"/>
        </w:numPr>
      </w:pPr>
      <w:r>
        <w:rPr>
          <w:rFonts w:hint="eastAsia"/>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numPr>
          <w:ilvl w:val="1"/>
          <w:numId w:val="10"/>
        </w:numPr>
      </w:pPr>
      <w:r>
        <w:rPr>
          <w:rFonts w:hint="eastAsia"/>
        </w:rPr>
        <w:t xml:space="preserve">投标人提交的证明其中标后能履行合同的资格证明文件应包括下列文件： </w:t>
      </w:r>
    </w:p>
    <w:p>
      <w:pPr>
        <w:numPr>
          <w:ilvl w:val="2"/>
          <w:numId w:val="10"/>
        </w:numPr>
      </w:pPr>
      <w:r>
        <w:rPr>
          <w:rFonts w:hint="eastAsia"/>
        </w:rPr>
        <w:t xml:space="preserve">证明投标人已具备履行合同所需的财务、技术和生产能力的文件； </w:t>
      </w:r>
    </w:p>
    <w:p>
      <w:pPr>
        <w:numPr>
          <w:ilvl w:val="2"/>
          <w:numId w:val="10"/>
        </w:numPr>
        <w:outlineLvl w:val="0"/>
      </w:pPr>
      <w:bookmarkStart w:id="34" w:name="_Toc32643"/>
      <w:bookmarkStart w:id="35" w:name="_Toc26654"/>
      <w:bookmarkStart w:id="36" w:name="_Toc18881"/>
      <w:r>
        <w:rPr>
          <w:rFonts w:hint="eastAsia"/>
        </w:rPr>
        <w:t>证明投标人满足招标文件业绩要求的文件；</w:t>
      </w:r>
      <w:bookmarkEnd w:id="34"/>
      <w:bookmarkEnd w:id="35"/>
      <w:bookmarkEnd w:id="36"/>
    </w:p>
    <w:p>
      <w:pPr>
        <w:numPr>
          <w:ilvl w:val="2"/>
          <w:numId w:val="10"/>
        </w:numPr>
      </w:pPr>
      <w:bookmarkStart w:id="37" w:name="_Ref179620846"/>
      <w:r>
        <w:rPr>
          <w:rFonts w:hint="eastAsia"/>
        </w:rPr>
        <w:t>投标资料</w:t>
      </w:r>
      <w:r>
        <w:rPr>
          <w:rFonts w:hint="eastAsia" w:eastAsia="黑体"/>
        </w:rPr>
        <w:t>表</w:t>
      </w:r>
      <w:r>
        <w:rPr>
          <w:rFonts w:hint="eastAsia"/>
        </w:rPr>
        <w:t>要求的其它资格证明文件。</w:t>
      </w:r>
      <w:bookmarkEnd w:id="37"/>
    </w:p>
    <w:p/>
    <w:p>
      <w:pPr>
        <w:numPr>
          <w:ilvl w:val="0"/>
          <w:numId w:val="10"/>
        </w:numPr>
        <w:rPr>
          <w:rFonts w:ascii="黑体" w:eastAsia="黑体"/>
          <w:b/>
        </w:rPr>
      </w:pPr>
      <w:r>
        <w:rPr>
          <w:rFonts w:hint="eastAsia" w:ascii="黑体" w:eastAsia="黑体"/>
          <w:b/>
        </w:rPr>
        <w:t>证明货物的合格性和符合招标文件规定的文件</w:t>
      </w:r>
    </w:p>
    <w:p>
      <w:pPr>
        <w:numPr>
          <w:ilvl w:val="1"/>
          <w:numId w:val="10"/>
        </w:numPr>
      </w:pPr>
      <w:r>
        <w:rPr>
          <w:rFonts w:hint="eastAsia"/>
        </w:rPr>
        <w:t>投标人应提交证明文件，证明其拟供的合同项下的货物和服务的合格性符合招标文件规定。该证明文件作为投标文件的一部分。</w:t>
      </w:r>
    </w:p>
    <w:p>
      <w:pPr>
        <w:numPr>
          <w:ilvl w:val="1"/>
          <w:numId w:val="10"/>
        </w:numPr>
      </w:pPr>
      <w:r>
        <w:rPr>
          <w:rFonts w:hint="eastAsia"/>
        </w:rPr>
        <w:t>上述所述的证明文件，可以是文字资料、图纸和数据，它包括：</w:t>
      </w:r>
    </w:p>
    <w:p>
      <w:pPr>
        <w:numPr>
          <w:ilvl w:val="2"/>
          <w:numId w:val="10"/>
        </w:numPr>
        <w:outlineLvl w:val="0"/>
      </w:pPr>
      <w:bookmarkStart w:id="38" w:name="_Toc22831"/>
      <w:bookmarkStart w:id="39" w:name="_Toc28042"/>
      <w:bookmarkStart w:id="40" w:name="_Toc14396"/>
      <w:r>
        <w:rPr>
          <w:rFonts w:hint="eastAsia"/>
        </w:rPr>
        <w:t>货物主要技术指标和性能的详细说明；</w:t>
      </w:r>
      <w:bookmarkEnd w:id="38"/>
      <w:bookmarkEnd w:id="39"/>
      <w:bookmarkEnd w:id="40"/>
    </w:p>
    <w:p>
      <w:pPr>
        <w:numPr>
          <w:ilvl w:val="2"/>
          <w:numId w:val="10"/>
        </w:numPr>
      </w:pPr>
      <w:r>
        <w:rPr>
          <w:rFonts w:hint="eastAsia"/>
        </w:rPr>
        <w:t>货物从招标人验收后开始使用至招标文件规定的保质期内正常、连续地使用所必须的备件和专用工具清单，包括备件和专用工具的货源及现行价格；</w:t>
      </w:r>
    </w:p>
    <w:p>
      <w:pPr>
        <w:numPr>
          <w:ilvl w:val="2"/>
          <w:numId w:val="10"/>
        </w:numPr>
      </w:pPr>
      <w:r>
        <w:rPr>
          <w:rFonts w:hint="eastAsia"/>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numPr>
          <w:ilvl w:val="1"/>
          <w:numId w:val="10"/>
        </w:numPr>
      </w:pPr>
      <w:r>
        <w:rPr>
          <w:rFonts w:hint="eastAsia" w:hAnsi="宋体"/>
        </w:rPr>
        <w:t>投标人在投标文件中须主动填报投标之前三年内有无受各级管理部分的处分或处罚（含其授权服务的子公司、分公司等)如果不主动填报而被事后发现的，将可能导致取消其投标资格，并按有关规定从重处理。</w:t>
      </w:r>
    </w:p>
    <w:p/>
    <w:p>
      <w:pPr>
        <w:numPr>
          <w:ilvl w:val="0"/>
          <w:numId w:val="10"/>
        </w:numPr>
        <w:rPr>
          <w:rFonts w:ascii="黑体" w:eastAsia="黑体"/>
          <w:b/>
        </w:rPr>
      </w:pPr>
      <w:r>
        <w:rPr>
          <w:rFonts w:hint="eastAsia" w:ascii="黑体" w:eastAsia="黑体"/>
          <w:b/>
        </w:rPr>
        <w:t>投标有效期</w:t>
      </w:r>
    </w:p>
    <w:p>
      <w:pPr>
        <w:numPr>
          <w:ilvl w:val="1"/>
          <w:numId w:val="10"/>
        </w:numPr>
      </w:pPr>
      <w:bookmarkStart w:id="41" w:name="_Ref179620893"/>
      <w:r>
        <w:rPr>
          <w:rFonts w:hint="eastAsia"/>
        </w:rPr>
        <w:t>投标应自投标资料表中规定的开标日起，并在投标资料表中所述期限内保持有效。投标有效期不足的投标将被视为非实质性响应，并予以拒绝。</w:t>
      </w:r>
      <w:bookmarkEnd w:id="41"/>
    </w:p>
    <w:p>
      <w:pPr>
        <w:numPr>
          <w:ilvl w:val="1"/>
          <w:numId w:val="10"/>
        </w:numPr>
      </w:pPr>
      <w:r>
        <w:rPr>
          <w:rFonts w:hint="eastAsia"/>
        </w:rPr>
        <w:t>特殊情况下，在原投标有效期截止之前，招标人可要求投标人延长投标有效期。该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
      <w:pPr>
        <w:numPr>
          <w:ilvl w:val="0"/>
          <w:numId w:val="10"/>
        </w:numPr>
        <w:rPr>
          <w:rFonts w:ascii="黑体" w:eastAsia="黑体"/>
          <w:b/>
        </w:rPr>
      </w:pPr>
      <w:r>
        <w:rPr>
          <w:rFonts w:hint="eastAsia" w:ascii="黑体" w:eastAsia="黑体"/>
          <w:b/>
        </w:rPr>
        <w:t>投标文件的式样和签署</w:t>
      </w:r>
    </w:p>
    <w:p>
      <w:pPr>
        <w:numPr>
          <w:ilvl w:val="1"/>
          <w:numId w:val="10"/>
        </w:numPr>
      </w:pPr>
      <w:bookmarkStart w:id="42" w:name="_Ref179620912"/>
      <w:r>
        <w:rPr>
          <w:rFonts w:hint="eastAsia"/>
        </w:rPr>
        <w:t>投标人应准备一份投标文件正本和投标资料表中规定数目的副本，每套投标文件须清楚地标明“正本”或“副本”。若副本与正本不符，以正本为准。</w:t>
      </w:r>
      <w:bookmarkEnd w:id="42"/>
    </w:p>
    <w:p>
      <w:pPr>
        <w:numPr>
          <w:ilvl w:val="1"/>
          <w:numId w:val="10"/>
        </w:numPr>
      </w:pPr>
      <w:r>
        <w:rPr>
          <w:rFonts w:hint="eastAsia"/>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pPr>
        <w:numPr>
          <w:ilvl w:val="1"/>
          <w:numId w:val="10"/>
        </w:numPr>
      </w:pPr>
      <w:r>
        <w:rPr>
          <w:rFonts w:hint="eastAsia"/>
        </w:rPr>
        <w:t>任何行间插字、涂改和增删，必须由投标文件签字人用姓或首字母在旁边签字或加盖投标单位公章才有效。</w:t>
      </w:r>
    </w:p>
    <w:p/>
    <w:p>
      <w:pPr>
        <w:jc w:val="center"/>
        <w:rPr>
          <w:rFonts w:ascii="黑体" w:eastAsia="黑体"/>
          <w:sz w:val="32"/>
          <w:szCs w:val="32"/>
        </w:rPr>
      </w:pPr>
      <w:r>
        <w:rPr>
          <w:rFonts w:hint="eastAsia" w:ascii="黑体" w:eastAsia="黑体"/>
          <w:sz w:val="32"/>
          <w:szCs w:val="32"/>
        </w:rPr>
        <w:t>四、投标文件的递交</w:t>
      </w:r>
    </w:p>
    <w:p>
      <w:pPr>
        <w:ind w:firstLine="420" w:firstLineChars="200"/>
      </w:pPr>
    </w:p>
    <w:p>
      <w:pPr>
        <w:numPr>
          <w:ilvl w:val="0"/>
          <w:numId w:val="10"/>
        </w:numPr>
        <w:rPr>
          <w:rFonts w:ascii="黑体" w:eastAsia="黑体"/>
          <w:b/>
        </w:rPr>
      </w:pPr>
      <w:r>
        <w:rPr>
          <w:rFonts w:hint="eastAsia" w:ascii="黑体" w:eastAsia="黑体"/>
          <w:b/>
        </w:rPr>
        <w:t>投标文件的密封和标记</w:t>
      </w:r>
    </w:p>
    <w:p>
      <w:pPr>
        <w:numPr>
          <w:ilvl w:val="1"/>
          <w:numId w:val="10"/>
        </w:numPr>
      </w:pPr>
      <w:r>
        <w:rPr>
          <w:rFonts w:hint="eastAsia"/>
        </w:rPr>
        <w:t>投标人应将投标文件正本和所有的副本分开密封装在单独的信封中，且在信封上标明“正本”“副本”字样。然后再将所有信封封装在一个外层信封中。</w:t>
      </w:r>
    </w:p>
    <w:p>
      <w:pPr>
        <w:numPr>
          <w:ilvl w:val="1"/>
          <w:numId w:val="10"/>
        </w:numPr>
      </w:pPr>
      <w:r>
        <w:rPr>
          <w:rFonts w:hint="eastAsia"/>
        </w:rPr>
        <w:t>为方便开标唱标，投标人应将开标一览表和授权委托书单独密封提交，并在信封上标明“开标文件”字样。投标人的法定代表人参加投标时，须开具法定代表人证明书，按上述要求与开标一览表一并密封提交。“开标文件”份数及签章等要求与投标文件正本相同。</w:t>
      </w:r>
    </w:p>
    <w:p>
      <w:pPr>
        <w:numPr>
          <w:ilvl w:val="1"/>
          <w:numId w:val="10"/>
        </w:numPr>
      </w:pPr>
      <w:bookmarkStart w:id="43" w:name="_Ref179620969"/>
      <w:r>
        <w:rPr>
          <w:rFonts w:hint="eastAsia"/>
        </w:rPr>
        <w:t>所有的信封均应：</w:t>
      </w:r>
      <w:bookmarkEnd w:id="43"/>
    </w:p>
    <w:p>
      <w:pPr>
        <w:ind w:left="899" w:leftChars="428"/>
      </w:pPr>
      <w:r>
        <w:rPr>
          <w:rFonts w:hint="eastAsia"/>
        </w:rPr>
        <w:t>1) 清楚标明递交至</w:t>
      </w:r>
      <w:r>
        <w:rPr>
          <w:rFonts w:hint="eastAsia" w:ascii="黑体" w:eastAsia="黑体"/>
          <w:b/>
        </w:rPr>
        <w:t>投标资料表</w:t>
      </w:r>
      <w:r>
        <w:rPr>
          <w:rFonts w:hint="eastAsia"/>
        </w:rPr>
        <w:t>中指明的地址。</w:t>
      </w:r>
    </w:p>
    <w:p>
      <w:pPr>
        <w:ind w:left="899" w:leftChars="428"/>
      </w:pPr>
      <w:r>
        <w:rPr>
          <w:rFonts w:hint="eastAsia"/>
        </w:rPr>
        <w:t>2) 清楚标明</w:t>
      </w:r>
      <w:r>
        <w:rPr>
          <w:rFonts w:hint="eastAsia" w:ascii="黑体" w:eastAsia="黑体"/>
          <w:b/>
        </w:rPr>
        <w:t>投标资料表</w:t>
      </w:r>
      <w:r>
        <w:rPr>
          <w:rFonts w:hint="eastAsia"/>
        </w:rPr>
        <w:t>中指明的项目名称、包号（如果分包的话）、招标编号和“在</w:t>
      </w:r>
      <w:r>
        <w:rPr>
          <w:rFonts w:hint="eastAsia"/>
          <w:i/>
          <w:u w:val="single"/>
        </w:rPr>
        <w:t>（开标日期、时间)</w:t>
      </w:r>
      <w:r>
        <w:rPr>
          <w:rFonts w:hint="eastAsia"/>
        </w:rPr>
        <w:t>之前不得启封”的字样，并填入</w:t>
      </w:r>
      <w:r>
        <w:rPr>
          <w:rFonts w:hint="eastAsia" w:ascii="黑体" w:eastAsia="黑体"/>
          <w:b/>
        </w:rPr>
        <w:t>投标资料表</w:t>
      </w:r>
      <w:r>
        <w:rPr>
          <w:rFonts w:hint="eastAsia"/>
        </w:rPr>
        <w:t>中规定的开标日期和时间。</w:t>
      </w:r>
    </w:p>
    <w:p>
      <w:pPr>
        <w:ind w:left="899" w:leftChars="428"/>
      </w:pPr>
      <w:r>
        <w:rPr>
          <w:rFonts w:hint="eastAsia"/>
        </w:rPr>
        <w:t>3) 清楚标明投标单位名称并在信封的封装处加盖投标人公章。</w:t>
      </w:r>
    </w:p>
    <w:p>
      <w:pPr>
        <w:numPr>
          <w:ilvl w:val="1"/>
          <w:numId w:val="10"/>
        </w:numPr>
      </w:pPr>
      <w:r>
        <w:rPr>
          <w:rFonts w:hint="eastAsia"/>
        </w:rPr>
        <w:t>内层信封应写明投标人名称和地址，以便将迟交的投标文件能原封退回。</w:t>
      </w:r>
    </w:p>
    <w:p>
      <w:pPr>
        <w:numPr>
          <w:ilvl w:val="1"/>
          <w:numId w:val="10"/>
        </w:numPr>
      </w:pPr>
      <w:r>
        <w:rPr>
          <w:rFonts w:hint="eastAsia"/>
        </w:rPr>
        <w:t>如果投标人未按本须知要求加写标记和密封，招标人对投标文件的误投或提前启封概不负责。</w:t>
      </w:r>
    </w:p>
    <w:p>
      <w:pPr>
        <w:numPr>
          <w:ilvl w:val="1"/>
          <w:numId w:val="10"/>
        </w:numPr>
      </w:pPr>
      <w:r>
        <w:rPr>
          <w:rFonts w:hint="eastAsia"/>
        </w:rPr>
        <w:t>投标人同时参加几个包投标时必须按招标文件要求按包号分别制作投标文件，分别密封递交。</w:t>
      </w:r>
    </w:p>
    <w:p/>
    <w:p>
      <w:pPr>
        <w:numPr>
          <w:ilvl w:val="0"/>
          <w:numId w:val="10"/>
        </w:numPr>
        <w:rPr>
          <w:rFonts w:ascii="黑体" w:eastAsia="黑体"/>
          <w:b/>
        </w:rPr>
      </w:pPr>
      <w:r>
        <w:rPr>
          <w:rFonts w:hint="eastAsia" w:ascii="黑体" w:eastAsia="黑体"/>
          <w:b/>
        </w:rPr>
        <w:t>投标样品</w:t>
      </w:r>
    </w:p>
    <w:p>
      <w:pPr>
        <w:numPr>
          <w:ilvl w:val="1"/>
          <w:numId w:val="10"/>
        </w:numPr>
      </w:pPr>
      <w:r>
        <w:rPr>
          <w:rFonts w:hint="eastAsia"/>
        </w:rPr>
        <w:t>如有必要，招标人可以要求投标人提供能反映货物材质或关键部分的极少部分的尺寸、价值不大的样品，投标人在投标时应提交《样品清单》。</w:t>
      </w:r>
    </w:p>
    <w:p>
      <w:pPr>
        <w:numPr>
          <w:ilvl w:val="1"/>
          <w:numId w:val="10"/>
        </w:numPr>
      </w:pPr>
      <w:r>
        <w:rPr>
          <w:rFonts w:hint="eastAsia"/>
        </w:rPr>
        <w:t>为方便评标，投标人在提供样品时，应使用透明的外包装或尽量少用外包装，但必须在所提供的样品表面显著位置标注投标人的名称、包号、样品名称、招标文件规定的货物编号。</w:t>
      </w:r>
    </w:p>
    <w:p>
      <w:pPr>
        <w:numPr>
          <w:ilvl w:val="1"/>
          <w:numId w:val="10"/>
        </w:numPr>
      </w:pPr>
      <w:r>
        <w:rPr>
          <w:rFonts w:hint="eastAsia"/>
        </w:rPr>
        <w:t>样品作为投标文件的一部分，</w:t>
      </w:r>
      <w:r>
        <w:rPr>
          <w:rFonts w:hint="eastAsia" w:ascii="宋体" w:hAnsi="宋体"/>
        </w:rPr>
        <w:t>除非另有说明，</w:t>
      </w:r>
      <w:r>
        <w:rPr>
          <w:rFonts w:hint="eastAsia"/>
        </w:rPr>
        <w:t>中标单位的样品不再退还，</w:t>
      </w:r>
      <w:r>
        <w:rPr>
          <w:rFonts w:hint="eastAsia" w:ascii="宋体" w:hAnsi="宋体"/>
        </w:rPr>
        <w:t>未中标单位须在中标公告发布后五个工作日内，前往招标人领取投标样品，逾期不领，招标人将不承担样品的保管责任，由此引发的样品丢失、毁损，招标人不予负责。</w:t>
      </w:r>
    </w:p>
    <w:p/>
    <w:p>
      <w:pPr>
        <w:numPr>
          <w:ilvl w:val="0"/>
          <w:numId w:val="10"/>
        </w:numPr>
        <w:rPr>
          <w:rFonts w:ascii="黑体" w:eastAsia="黑体"/>
          <w:b/>
        </w:rPr>
      </w:pPr>
      <w:bookmarkStart w:id="44" w:name="_Ref179619638"/>
      <w:r>
        <w:rPr>
          <w:rFonts w:hint="eastAsia" w:ascii="黑体" w:eastAsia="黑体"/>
          <w:b/>
        </w:rPr>
        <w:t>投标截止期</w:t>
      </w:r>
      <w:bookmarkEnd w:id="44"/>
    </w:p>
    <w:p>
      <w:pPr>
        <w:numPr>
          <w:ilvl w:val="1"/>
          <w:numId w:val="10"/>
        </w:numPr>
      </w:pPr>
      <w:bookmarkStart w:id="45" w:name="_Ref179621022"/>
      <w:r>
        <w:rPr>
          <w:rFonts w:hint="eastAsia"/>
        </w:rPr>
        <w:t>投标人应在不迟于</w:t>
      </w:r>
      <w:r>
        <w:rPr>
          <w:rFonts w:hint="eastAsia" w:ascii="黑体" w:eastAsia="黑体"/>
          <w:b/>
        </w:rPr>
        <w:t>投标资料表</w:t>
      </w:r>
      <w:r>
        <w:rPr>
          <w:rFonts w:hint="eastAsia"/>
        </w:rPr>
        <w:t>中规定的截止日期和时间将投标文件递交至招标机构，递交地点应是</w:t>
      </w:r>
      <w:r>
        <w:rPr>
          <w:rFonts w:hint="eastAsia" w:ascii="黑体" w:eastAsia="黑体"/>
          <w:b/>
        </w:rPr>
        <w:t>投标资料表</w:t>
      </w:r>
      <w:r>
        <w:rPr>
          <w:rFonts w:hint="eastAsia"/>
        </w:rPr>
        <w:t>中指明的地址。</w:t>
      </w:r>
      <w:bookmarkEnd w:id="45"/>
    </w:p>
    <w:p>
      <w:pPr>
        <w:numPr>
          <w:ilvl w:val="1"/>
          <w:numId w:val="10"/>
        </w:numPr>
      </w:pPr>
      <w:r>
        <w:rPr>
          <w:rFonts w:hint="eastAsia"/>
        </w:rPr>
        <w:t>招标人可以按本须知第4条规定，通过修改招标文件自行决定酌情推迟投标截止期。在此情况下，招标人和投标人受投标截止期制约的所有权利和义务均应延长至新的截止期。</w:t>
      </w:r>
    </w:p>
    <w:p/>
    <w:p>
      <w:pPr>
        <w:numPr>
          <w:ilvl w:val="0"/>
          <w:numId w:val="10"/>
        </w:numPr>
        <w:rPr>
          <w:rFonts w:ascii="黑体" w:eastAsia="黑体"/>
          <w:b/>
        </w:rPr>
      </w:pPr>
      <w:bookmarkStart w:id="46" w:name="_Ref179619679"/>
      <w:r>
        <w:rPr>
          <w:rFonts w:hint="eastAsia" w:ascii="黑体" w:eastAsia="黑体"/>
          <w:b/>
        </w:rPr>
        <w:t>迟交的投标文件</w:t>
      </w:r>
      <w:bookmarkEnd w:id="46"/>
    </w:p>
    <w:p>
      <w:pPr>
        <w:numPr>
          <w:ilvl w:val="1"/>
          <w:numId w:val="10"/>
        </w:numPr>
      </w:pPr>
      <w:r>
        <w:rPr>
          <w:rFonts w:hint="eastAsia"/>
        </w:rPr>
        <w:t>招标人将拒绝并原封退回在本须知第19条规定的截止期后收到的任何投标文件。</w:t>
      </w:r>
    </w:p>
    <w:p/>
    <w:p>
      <w:pPr>
        <w:numPr>
          <w:ilvl w:val="0"/>
          <w:numId w:val="10"/>
        </w:numPr>
        <w:rPr>
          <w:rFonts w:ascii="黑体" w:eastAsia="黑体"/>
          <w:b/>
        </w:rPr>
      </w:pPr>
      <w:bookmarkStart w:id="47" w:name="_Ref179619013"/>
      <w:r>
        <w:rPr>
          <w:rFonts w:hint="eastAsia" w:ascii="黑体" w:eastAsia="黑体"/>
          <w:b/>
        </w:rPr>
        <w:t>投标文件的修改与撤回</w:t>
      </w:r>
      <w:bookmarkEnd w:id="47"/>
    </w:p>
    <w:p>
      <w:pPr>
        <w:numPr>
          <w:ilvl w:val="1"/>
          <w:numId w:val="10"/>
        </w:numPr>
      </w:pPr>
      <w:r>
        <w:rPr>
          <w:rFonts w:hint="eastAsia"/>
        </w:rPr>
        <w:t>投标人在递交投标文件后，可以修改或撤回其投标，但投标人必须在规定的投标截止期之前将修改或撤回的书面通知递交到招标人。</w:t>
      </w:r>
    </w:p>
    <w:p>
      <w:pPr>
        <w:numPr>
          <w:ilvl w:val="1"/>
          <w:numId w:val="10"/>
        </w:numPr>
      </w:pPr>
      <w:r>
        <w:rPr>
          <w:rFonts w:hint="eastAsia"/>
        </w:rPr>
        <w:t>投标人的修改或撤回通知应按本须知规定编制、密封、标记和递交。</w:t>
      </w:r>
    </w:p>
    <w:p>
      <w:pPr>
        <w:numPr>
          <w:ilvl w:val="1"/>
          <w:numId w:val="10"/>
        </w:numPr>
      </w:pPr>
      <w:r>
        <w:rPr>
          <w:rFonts w:hint="eastAsia"/>
        </w:rPr>
        <w:t>在投标截止期之后，投标人不得对其投标做任何修改。</w:t>
      </w:r>
    </w:p>
    <w:p>
      <w:pPr>
        <w:numPr>
          <w:ilvl w:val="1"/>
          <w:numId w:val="10"/>
        </w:numPr>
      </w:pPr>
      <w:r>
        <w:rPr>
          <w:rFonts w:hint="eastAsia"/>
        </w:rPr>
        <w:t>从投标截止期至投标人在投标书中确定的投标有效期期满的这段时间内，投标人不得撤回其投标，否则其投标保证金将按照本须知的规定被没收。</w:t>
      </w:r>
    </w:p>
    <w:p/>
    <w:p>
      <w:pPr>
        <w:numPr>
          <w:ilvl w:val="0"/>
          <w:numId w:val="10"/>
        </w:numPr>
        <w:rPr>
          <w:rFonts w:ascii="黑体" w:eastAsia="黑体"/>
          <w:b/>
        </w:rPr>
      </w:pPr>
      <w:r>
        <w:rPr>
          <w:rFonts w:hint="eastAsia" w:ascii="黑体" w:eastAsia="黑体"/>
          <w:b/>
        </w:rPr>
        <w:t>投标文件的退还</w:t>
      </w:r>
    </w:p>
    <w:p>
      <w:pPr>
        <w:numPr>
          <w:ilvl w:val="1"/>
          <w:numId w:val="10"/>
        </w:numPr>
      </w:pPr>
      <w:r>
        <w:rPr>
          <w:rFonts w:hint="eastAsia"/>
        </w:rPr>
        <w:t>除非招标文件另有规定或说明，投标文件一律不予退还。</w:t>
      </w:r>
    </w:p>
    <w:p/>
    <w:p>
      <w:pPr>
        <w:jc w:val="center"/>
        <w:rPr>
          <w:rFonts w:ascii="黑体" w:eastAsia="黑体"/>
          <w:color w:val="000000" w:themeColor="text1"/>
          <w:sz w:val="32"/>
          <w:szCs w:val="32"/>
        </w:rPr>
      </w:pPr>
      <w:r>
        <w:rPr>
          <w:rFonts w:hint="eastAsia" w:ascii="黑体" w:eastAsia="黑体"/>
          <w:color w:val="000000" w:themeColor="text1"/>
          <w:sz w:val="32"/>
          <w:szCs w:val="32"/>
        </w:rPr>
        <w:t>五、开标与评标</w:t>
      </w:r>
    </w:p>
    <w:p>
      <w:pPr>
        <w:ind w:firstLine="420" w:firstLineChars="200"/>
        <w:rPr>
          <w:color w:val="FF0000"/>
        </w:rPr>
      </w:pPr>
    </w:p>
    <w:p>
      <w:pPr>
        <w:numPr>
          <w:ilvl w:val="0"/>
          <w:numId w:val="10"/>
        </w:numPr>
        <w:rPr>
          <w:rFonts w:ascii="黑体" w:eastAsia="黑体"/>
          <w:b/>
          <w:color w:val="000000" w:themeColor="text1"/>
        </w:rPr>
      </w:pPr>
      <w:r>
        <w:rPr>
          <w:rFonts w:hint="eastAsia" w:ascii="黑体" w:eastAsia="黑体"/>
          <w:b/>
          <w:color w:val="000000" w:themeColor="text1"/>
        </w:rPr>
        <w:t>开标</w:t>
      </w:r>
    </w:p>
    <w:p>
      <w:pPr>
        <w:numPr>
          <w:ilvl w:val="1"/>
          <w:numId w:val="10"/>
        </w:numPr>
        <w:rPr>
          <w:color w:val="000000" w:themeColor="text1"/>
        </w:rPr>
      </w:pPr>
      <w:bookmarkStart w:id="48" w:name="_Ref179621054"/>
      <w:r>
        <w:rPr>
          <w:rFonts w:hint="eastAsia"/>
          <w:color w:val="000000" w:themeColor="text1"/>
        </w:rPr>
        <w:t>招标人在</w:t>
      </w:r>
      <w:r>
        <w:rPr>
          <w:rFonts w:hint="eastAsia" w:ascii="黑体" w:eastAsia="黑体"/>
          <w:b/>
          <w:color w:val="000000" w:themeColor="text1"/>
        </w:rPr>
        <w:t>投标资料表</w:t>
      </w:r>
      <w:r>
        <w:rPr>
          <w:rFonts w:hint="eastAsia"/>
          <w:color w:val="000000" w:themeColor="text1"/>
        </w:rPr>
        <w:t>中规定的日期、时间和地点组织公开开标。投标人代表均须按时参加开标会。参加开标的投标人代表应签名报到以证明其出席。</w:t>
      </w:r>
      <w:bookmarkEnd w:id="48"/>
    </w:p>
    <w:p>
      <w:pPr>
        <w:numPr>
          <w:ilvl w:val="1"/>
          <w:numId w:val="10"/>
        </w:numPr>
        <w:rPr>
          <w:color w:val="000000" w:themeColor="text1"/>
        </w:rPr>
      </w:pPr>
      <w:r>
        <w:rPr>
          <w:rFonts w:hint="eastAsia"/>
          <w:color w:val="000000" w:themeColor="text1"/>
        </w:rPr>
        <w:t>开标时，招标人当众宣读投标人名称、修改和撤回投标的通知、投标价格、是否提交了投标保证金，以及招标人认为合适的其他内容。除了按照本须知第20条的规定原封退回迟到的投标之外，开标时将不得拒绝任何已购买招标文件的投标人的投标。</w:t>
      </w:r>
      <w:r>
        <w:rPr>
          <w:rFonts w:hint="eastAsia"/>
          <w:color w:val="000000" w:themeColor="text1"/>
          <w:szCs w:val="21"/>
          <w:lang w:val="zh-CN"/>
        </w:rPr>
        <w:t>若招标人宣读的结果与开标文件不符时，投标人有权在开标现场提出异议，经有关监督人员或公证人员当场核查确认之后，可重新宣读其开标文件。若投标人现场未提出异议，则视为投标人确认宣读的结果。</w:t>
      </w:r>
    </w:p>
    <w:p>
      <w:pPr>
        <w:numPr>
          <w:ilvl w:val="1"/>
          <w:numId w:val="10"/>
        </w:numPr>
        <w:rPr>
          <w:color w:val="000000" w:themeColor="text1"/>
        </w:rPr>
      </w:pPr>
      <w:r>
        <w:rPr>
          <w:rFonts w:hint="eastAsia"/>
          <w:color w:val="000000" w:themeColor="text1"/>
        </w:rPr>
        <w:t>在开标时没有启封和没有读出的投标文件（包括按照本须知第20条递交的修改书)，在评标时将不予考虑。没有启封和读出的投标文件将原封退回给投标人。</w:t>
      </w:r>
    </w:p>
    <w:p>
      <w:pPr>
        <w:numPr>
          <w:ilvl w:val="1"/>
          <w:numId w:val="10"/>
        </w:numPr>
        <w:rPr>
          <w:color w:val="000000" w:themeColor="text1"/>
        </w:rPr>
      </w:pPr>
      <w:r>
        <w:rPr>
          <w:rFonts w:hint="eastAsia"/>
          <w:color w:val="000000" w:themeColor="text1"/>
        </w:rPr>
        <w:t>招标人将做开标记录，并要求与会有关人员签字确认。</w:t>
      </w:r>
    </w:p>
    <w:p>
      <w:pPr>
        <w:rPr>
          <w:color w:val="FF0000"/>
        </w:rPr>
      </w:pPr>
    </w:p>
    <w:p>
      <w:pPr>
        <w:numPr>
          <w:ilvl w:val="0"/>
          <w:numId w:val="10"/>
        </w:numPr>
        <w:rPr>
          <w:rFonts w:ascii="黑体" w:eastAsia="黑体"/>
          <w:b/>
          <w:color w:val="000000" w:themeColor="text1"/>
        </w:rPr>
      </w:pPr>
      <w:r>
        <w:rPr>
          <w:rFonts w:hint="eastAsia" w:ascii="黑体" w:eastAsia="黑体"/>
          <w:b/>
          <w:color w:val="000000" w:themeColor="text1"/>
        </w:rPr>
        <w:t>评标委员会和评标方法</w:t>
      </w:r>
    </w:p>
    <w:p>
      <w:pPr>
        <w:numPr>
          <w:ilvl w:val="1"/>
          <w:numId w:val="10"/>
        </w:numPr>
        <w:rPr>
          <w:color w:val="000000" w:themeColor="text1"/>
        </w:rPr>
      </w:pPr>
      <w:r>
        <w:rPr>
          <w:rFonts w:hint="eastAsia"/>
          <w:color w:val="000000" w:themeColor="text1"/>
        </w:rPr>
        <w:t>评标委员会依法组建，负责评标工作。评标委员会由招标人代表和有关技术、经济等方面的专家组成，成员人数为五人或五人以上单数。</w:t>
      </w:r>
    </w:p>
    <w:p>
      <w:pPr>
        <w:numPr>
          <w:ilvl w:val="1"/>
          <w:numId w:val="10"/>
        </w:numPr>
        <w:rPr>
          <w:color w:val="000000" w:themeColor="text1"/>
        </w:rPr>
      </w:pPr>
      <w:bookmarkStart w:id="49" w:name="_Ref179621079"/>
      <w:r>
        <w:rPr>
          <w:rFonts w:hint="eastAsia"/>
          <w:color w:val="000000" w:themeColor="text1"/>
        </w:rPr>
        <w:t>依照有关规定，货物或服务招标采购的评标方法分为最低评标价法、综合评分法和性价比法三种基本方法。评标委员会将按照</w:t>
      </w:r>
      <w:r>
        <w:rPr>
          <w:rFonts w:hint="eastAsia" w:ascii="黑体" w:eastAsia="黑体"/>
          <w:b/>
          <w:color w:val="000000" w:themeColor="text1"/>
        </w:rPr>
        <w:t>投标资料表</w:t>
      </w:r>
      <w:r>
        <w:rPr>
          <w:rFonts w:hint="eastAsia"/>
          <w:color w:val="000000" w:themeColor="text1"/>
        </w:rPr>
        <w:t>中所确定的评标方法进行评审。</w:t>
      </w:r>
      <w:bookmarkEnd w:id="49"/>
    </w:p>
    <w:p>
      <w:pPr>
        <w:numPr>
          <w:ilvl w:val="1"/>
          <w:numId w:val="10"/>
        </w:numPr>
        <w:rPr>
          <w:color w:val="000000" w:themeColor="text1"/>
        </w:rPr>
      </w:pPr>
      <w:r>
        <w:rPr>
          <w:rFonts w:hint="eastAsia"/>
          <w:color w:val="000000" w:themeColor="text1"/>
        </w:rPr>
        <w:t>评标委员会对投标文件的评审内容，分为商务评议、技术评议和价格评议/综合评议。评审流程包括资格性检查、符合性检查、澄清问题、比较与评价、推荐中标候选人或确定中标人、编写评标报告等步骤。</w:t>
      </w:r>
    </w:p>
    <w:p>
      <w:pPr>
        <w:numPr>
          <w:ilvl w:val="1"/>
          <w:numId w:val="10"/>
        </w:numPr>
        <w:rPr>
          <w:color w:val="000000" w:themeColor="text1"/>
        </w:rPr>
      </w:pPr>
      <w:bookmarkStart w:id="50" w:name="_Ref179619857"/>
      <w:r>
        <w:rPr>
          <w:rFonts w:hint="eastAsia"/>
          <w:color w:val="000000" w:themeColor="text1"/>
        </w:rPr>
        <w:t>在评标期间，评标委员会可要求投标人对其投标文件进行澄清，但不得寻求、提供或允许对投标价格等实质性内容做任何更改。有关澄清的要求和答复均应以书面形式提交。</w:t>
      </w:r>
      <w:bookmarkEnd w:id="50"/>
    </w:p>
    <w:p>
      <w:pPr>
        <w:ind w:firstLine="420" w:firstLineChars="200"/>
        <w:rPr>
          <w:color w:val="000000" w:themeColor="text1"/>
        </w:rPr>
      </w:pPr>
    </w:p>
    <w:p>
      <w:pPr>
        <w:numPr>
          <w:ilvl w:val="0"/>
          <w:numId w:val="10"/>
        </w:numPr>
        <w:rPr>
          <w:rFonts w:ascii="黑体" w:eastAsia="黑体"/>
          <w:b/>
          <w:color w:val="000000" w:themeColor="text1"/>
        </w:rPr>
      </w:pPr>
      <w:r>
        <w:rPr>
          <w:rFonts w:hint="eastAsia" w:ascii="黑体" w:eastAsia="黑体"/>
          <w:b/>
          <w:color w:val="000000" w:themeColor="text1"/>
        </w:rPr>
        <w:t>投标文件的初审</w:t>
      </w:r>
    </w:p>
    <w:p>
      <w:pPr>
        <w:numPr>
          <w:ilvl w:val="1"/>
          <w:numId w:val="10"/>
        </w:numPr>
        <w:rPr>
          <w:color w:val="000000" w:themeColor="text1"/>
        </w:rPr>
      </w:pPr>
      <w:r>
        <w:rPr>
          <w:rFonts w:hint="eastAsia"/>
          <w:color w:val="000000" w:themeColor="text1"/>
        </w:rPr>
        <w:t>评标委员会将审查投标文件是否完整、总体编排是否有序、文件签署是否合格、投标人是否提交了投标保证金、有无计算上的错误等。</w:t>
      </w:r>
    </w:p>
    <w:p>
      <w:pPr>
        <w:numPr>
          <w:ilvl w:val="1"/>
          <w:numId w:val="10"/>
        </w:numPr>
        <w:rPr>
          <w:color w:val="000000" w:themeColor="text1"/>
        </w:rPr>
      </w:pPr>
      <w:r>
        <w:rPr>
          <w:rFonts w:hint="eastAsia"/>
          <w:color w:val="000000" w:themeColor="text1"/>
          <w:szCs w:val="21"/>
          <w:lang w:val="zh-CN"/>
        </w:rPr>
        <w:t>投标文件中开标一览表内容与投标文件中明细表内容不一致的，以开标一览表为准。投标文件的投标报价大写金额和小写金额不一致的，以大写金额为准；总价金额与按单价汇总金额不一致的，以单价金额计算结果为准；单价金额小数点有明显错位的，应以总价为准，并修改单价</w:t>
      </w:r>
      <w:r>
        <w:rPr>
          <w:rFonts w:hint="eastAsia"/>
          <w:color w:val="000000" w:themeColor="text1"/>
        </w:rPr>
        <w:t>。如果投标人不接受对其错误的更正，其投标将被拒绝。</w:t>
      </w:r>
    </w:p>
    <w:p>
      <w:pPr>
        <w:numPr>
          <w:ilvl w:val="1"/>
          <w:numId w:val="10"/>
        </w:numPr>
        <w:rPr>
          <w:color w:val="000000" w:themeColor="text1"/>
        </w:rPr>
      </w:pPr>
      <w:r>
        <w:rPr>
          <w:rFonts w:hint="eastAsia"/>
          <w:color w:val="000000" w:themeColor="text1"/>
        </w:rPr>
        <w:t>对于投标文件中不构成实质性偏差的不正规、不一致或不规则，评标委员会可以接受，但这种接受不能损害或影响任何投标人的相对排序。</w:t>
      </w:r>
    </w:p>
    <w:p>
      <w:pPr>
        <w:numPr>
          <w:ilvl w:val="1"/>
          <w:numId w:val="10"/>
        </w:numPr>
        <w:rPr>
          <w:color w:val="000000" w:themeColor="text1"/>
        </w:rPr>
      </w:pPr>
      <w:r>
        <w:rPr>
          <w:rFonts w:hint="eastAsia"/>
          <w:color w:val="000000" w:themeColor="text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pPr>
        <w:numPr>
          <w:ilvl w:val="1"/>
          <w:numId w:val="10"/>
        </w:numPr>
        <w:rPr>
          <w:color w:val="000000" w:themeColor="text1"/>
        </w:rPr>
      </w:pPr>
      <w:bookmarkStart w:id="51" w:name="_Ref179619330"/>
      <w:r>
        <w:rPr>
          <w:rFonts w:hint="eastAsia"/>
          <w:color w:val="000000" w:themeColor="text1"/>
        </w:rPr>
        <w:t>实质上没有响应招标文件要求的投标将被作废标处理。投标人不得通过修正或撤销不合要求的偏离或保留从而使其投标成为实质上响应的投标。评标委员会评审中，发现下列情况之一的，其投标将作废标处理：</w:t>
      </w:r>
      <w:bookmarkEnd w:id="51"/>
    </w:p>
    <w:p>
      <w:pPr>
        <w:numPr>
          <w:ilvl w:val="2"/>
          <w:numId w:val="10"/>
        </w:numPr>
        <w:outlineLvl w:val="0"/>
      </w:pPr>
      <w:bookmarkStart w:id="52" w:name="_Toc28411"/>
      <w:bookmarkStart w:id="53" w:name="_Toc32364"/>
      <w:bookmarkStart w:id="54" w:name="_Toc31685"/>
      <w:r>
        <w:rPr>
          <w:rFonts w:hint="eastAsia"/>
        </w:rPr>
        <w:t>资格性检查</w:t>
      </w:r>
      <w:bookmarkEnd w:id="52"/>
      <w:bookmarkEnd w:id="53"/>
      <w:bookmarkEnd w:id="54"/>
    </w:p>
    <w:p>
      <w:pPr>
        <w:ind w:left="899" w:leftChars="428"/>
        <w:outlineLvl w:val="0"/>
        <w:rPr>
          <w:rFonts w:ascii="黑体" w:eastAsia="黑体"/>
          <w:b/>
        </w:rPr>
      </w:pPr>
      <w:bookmarkStart w:id="55" w:name="_Toc7244"/>
      <w:bookmarkStart w:id="56" w:name="_Toc19474"/>
      <w:bookmarkStart w:id="57" w:name="_Toc32488"/>
      <w:r>
        <w:rPr>
          <w:rFonts w:hint="eastAsia" w:ascii="黑体" w:eastAsia="黑体"/>
          <w:b/>
        </w:rPr>
        <w:t>1) 资格瑕疵</w:t>
      </w:r>
      <w:bookmarkEnd w:id="55"/>
      <w:bookmarkEnd w:id="56"/>
      <w:bookmarkEnd w:id="57"/>
    </w:p>
    <w:p>
      <w:pPr>
        <w:ind w:left="899" w:leftChars="428"/>
      </w:pPr>
      <w:r>
        <w:rPr>
          <w:rFonts w:hint="eastAsia"/>
        </w:rPr>
        <w:t>包括但不限于：①资格证明文件未提供或不符合招标文件要求的；②投标人及其制造商与招标人、招标机构有利害关系的。</w:t>
      </w:r>
    </w:p>
    <w:p>
      <w:pPr>
        <w:ind w:left="899" w:leftChars="428"/>
        <w:outlineLvl w:val="0"/>
        <w:rPr>
          <w:rFonts w:ascii="黑体" w:eastAsia="黑体"/>
          <w:b/>
        </w:rPr>
      </w:pPr>
      <w:bookmarkStart w:id="58" w:name="_Toc11389"/>
      <w:bookmarkStart w:id="59" w:name="_Toc2862"/>
      <w:bookmarkStart w:id="60" w:name="_Toc7772"/>
      <w:r>
        <w:rPr>
          <w:rFonts w:hint="eastAsia" w:ascii="黑体" w:eastAsia="黑体"/>
          <w:b/>
        </w:rPr>
        <w:t>2) 投标保证金瑕疵</w:t>
      </w:r>
      <w:bookmarkEnd w:id="58"/>
      <w:bookmarkEnd w:id="59"/>
      <w:bookmarkEnd w:id="60"/>
    </w:p>
    <w:p>
      <w:pPr>
        <w:ind w:left="899" w:leftChars="428"/>
      </w:pPr>
      <w:r>
        <w:rPr>
          <w:rFonts w:hint="eastAsia"/>
        </w:rPr>
        <w:t>包括但不限于：①投标人未提交投标保证金或金额不足；②提交方式、提交时间不符合招标要求；③投标保证金有效期不符合招标要求的。</w:t>
      </w:r>
    </w:p>
    <w:p>
      <w:pPr>
        <w:numPr>
          <w:ilvl w:val="2"/>
          <w:numId w:val="10"/>
        </w:numPr>
        <w:outlineLvl w:val="0"/>
      </w:pPr>
      <w:bookmarkStart w:id="61" w:name="_Toc20796"/>
      <w:bookmarkStart w:id="62" w:name="_Toc24077"/>
      <w:bookmarkStart w:id="63" w:name="_Ref179621189"/>
      <w:bookmarkStart w:id="64" w:name="_Toc345"/>
      <w:r>
        <w:rPr>
          <w:rFonts w:hint="eastAsia"/>
        </w:rPr>
        <w:t>符合性检查</w:t>
      </w:r>
      <w:bookmarkEnd w:id="61"/>
      <w:bookmarkEnd w:id="62"/>
      <w:bookmarkEnd w:id="63"/>
      <w:bookmarkEnd w:id="64"/>
    </w:p>
    <w:p>
      <w:pPr>
        <w:ind w:left="899" w:leftChars="428"/>
        <w:outlineLvl w:val="0"/>
        <w:rPr>
          <w:rFonts w:ascii="黑体" w:eastAsia="黑体"/>
          <w:b/>
        </w:rPr>
      </w:pPr>
      <w:bookmarkStart w:id="65" w:name="_Toc8324"/>
      <w:bookmarkStart w:id="66" w:name="_Toc8551"/>
      <w:bookmarkStart w:id="67" w:name="_Toc1058"/>
      <w:r>
        <w:rPr>
          <w:rFonts w:hint="eastAsia" w:ascii="黑体" w:eastAsia="黑体"/>
          <w:b/>
        </w:rPr>
        <w:t>1) 投标人代表身份审查</w:t>
      </w:r>
      <w:bookmarkEnd w:id="65"/>
      <w:bookmarkEnd w:id="66"/>
      <w:bookmarkEnd w:id="67"/>
    </w:p>
    <w:p>
      <w:pPr>
        <w:ind w:left="899" w:leftChars="428"/>
      </w:pPr>
      <w:r>
        <w:rPr>
          <w:rFonts w:hint="eastAsia"/>
        </w:rPr>
        <w:t>包括但不限于：①投标人代表未参加开标会；②投标人代表无有效授权；③核对投标人代表身份时，不能提供相应的身份证明或不相符。</w:t>
      </w:r>
    </w:p>
    <w:p>
      <w:pPr>
        <w:ind w:left="899" w:leftChars="428"/>
        <w:outlineLvl w:val="0"/>
        <w:rPr>
          <w:rFonts w:ascii="黑体" w:eastAsia="黑体"/>
          <w:b/>
        </w:rPr>
      </w:pPr>
      <w:bookmarkStart w:id="68" w:name="_Toc25734"/>
      <w:bookmarkStart w:id="69" w:name="_Toc10634"/>
      <w:bookmarkStart w:id="70" w:name="_Toc31384"/>
      <w:r>
        <w:rPr>
          <w:rFonts w:hint="eastAsia" w:ascii="黑体" w:eastAsia="黑体"/>
          <w:b/>
        </w:rPr>
        <w:t>2) 投标文件的有效性、完整性瑕疵</w:t>
      </w:r>
      <w:bookmarkEnd w:id="68"/>
      <w:bookmarkEnd w:id="69"/>
      <w:bookmarkEnd w:id="70"/>
    </w:p>
    <w:p>
      <w:pPr>
        <w:ind w:left="899" w:leftChars="428"/>
      </w:pPr>
      <w:r>
        <w:rPr>
          <w:rFonts w:hint="eastAsia"/>
        </w:rPr>
        <w:t>包括但不限于：①投标文件的数量、制作、密封、标记不符合要求；②投标文件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pPr>
        <w:ind w:left="899" w:leftChars="428"/>
        <w:outlineLvl w:val="0"/>
        <w:rPr>
          <w:rFonts w:ascii="黑体" w:eastAsia="黑体"/>
          <w:b/>
        </w:rPr>
      </w:pPr>
      <w:bookmarkStart w:id="71" w:name="_Toc16347"/>
      <w:bookmarkStart w:id="72" w:name="_Toc24083"/>
      <w:bookmarkStart w:id="73" w:name="_Toc670"/>
      <w:r>
        <w:rPr>
          <w:rFonts w:hint="eastAsia" w:ascii="黑体" w:eastAsia="黑体"/>
          <w:b/>
        </w:rPr>
        <w:t>3) 技术响应瑕疵</w:t>
      </w:r>
      <w:bookmarkEnd w:id="71"/>
      <w:bookmarkEnd w:id="72"/>
      <w:bookmarkEnd w:id="73"/>
    </w:p>
    <w:p>
      <w:pPr>
        <w:ind w:left="899" w:leftChars="428"/>
      </w:pPr>
      <w:r>
        <w:rPr>
          <w:rFonts w:hint="eastAsia"/>
        </w:rPr>
        <w:t>包括但不限于：①投标文件不满足招标文件中加注星号（</w:t>
      </w:r>
      <w:r>
        <w:rPr>
          <w:rFonts w:hint="eastAsia" w:ascii="宋体" w:hAnsi="宋体"/>
          <w:szCs w:val="21"/>
        </w:rPr>
        <w:t>※）</w:t>
      </w:r>
      <w:r>
        <w:rPr>
          <w:rFonts w:hint="eastAsia"/>
        </w:rPr>
        <w:t>的主要参数要求或加注星号的主要参数无技术资料支持的；②一般参数超出允许偏离的最大范围或最高项数的；③投标文件技术响应与事实不符或虚假投标的；④投标人复制招标文件的技术规格相关部分内容作为其投标文件的一部分的；⑤《技术规格偏离表》填写不明或不实的；⑥将一个包中的内容拆开投标的；⑦投标人对同一货物或服务投标时，同时提供两套或两套以上的投标方案的；⑧明显不符合技术规格、技术标准要求的；⑨其他未实质性响应招标文件技术要求的。</w:t>
      </w:r>
    </w:p>
    <w:p>
      <w:pPr>
        <w:ind w:left="899" w:leftChars="428"/>
        <w:outlineLvl w:val="0"/>
        <w:rPr>
          <w:rFonts w:ascii="黑体" w:eastAsia="黑体"/>
          <w:b/>
        </w:rPr>
      </w:pPr>
      <w:bookmarkStart w:id="74" w:name="_Toc13245"/>
      <w:bookmarkStart w:id="75" w:name="_Toc2072"/>
      <w:bookmarkStart w:id="76" w:name="_Toc1274"/>
      <w:r>
        <w:rPr>
          <w:rFonts w:hint="eastAsia" w:ascii="黑体" w:eastAsia="黑体"/>
          <w:b/>
        </w:rPr>
        <w:t>4) 商务响应瑕疵</w:t>
      </w:r>
      <w:bookmarkEnd w:id="74"/>
      <w:bookmarkEnd w:id="75"/>
      <w:bookmarkEnd w:id="76"/>
    </w:p>
    <w:p>
      <w:pPr>
        <w:ind w:left="899" w:leftChars="428"/>
      </w:pPr>
      <w:r>
        <w:rPr>
          <w:rFonts w:hint="eastAsia"/>
        </w:rPr>
        <w:t>包括但不限于：①招标文件加注星号（</w:t>
      </w:r>
      <w:r>
        <w:rPr>
          <w:rFonts w:hint="eastAsia" w:ascii="宋体" w:hAnsi="宋体"/>
          <w:szCs w:val="21"/>
        </w:rPr>
        <w:t>※）</w:t>
      </w:r>
      <w:r>
        <w:rPr>
          <w:rFonts w:hint="eastAsia"/>
        </w:rPr>
        <w:t>的商务要求负偏离的；②招标项目完成期未满足招标文件要求的；③投标文件载明的货物包装方式、检验标准和方法不符合招标文件要求的；④投标报价超出委托金额上限的。⑤《商务条款偏离表》填写不明或不实的；⑥投标文件附有招标人不能接受的条件的；⑦其他未实质性响应招标文件商务要求的。</w:t>
      </w:r>
    </w:p>
    <w:p>
      <w:pPr>
        <w:ind w:firstLine="843" w:firstLineChars="400"/>
      </w:pPr>
      <w:r>
        <w:rPr>
          <w:rFonts w:hint="eastAsia" w:ascii="黑体" w:eastAsia="黑体"/>
          <w:b/>
        </w:rPr>
        <w:t>5)投标报价</w:t>
      </w:r>
      <w:r>
        <w:rPr>
          <w:rFonts w:hint="eastAsia"/>
        </w:rPr>
        <w:t>：如招标文件中有明确提出项目标底的，投标报价不得高于标底价。</w:t>
      </w:r>
    </w:p>
    <w:p>
      <w:pPr>
        <w:ind w:firstLine="843" w:firstLineChars="400"/>
        <w:outlineLvl w:val="0"/>
        <w:rPr>
          <w:rFonts w:ascii="黑体" w:eastAsia="黑体"/>
          <w:b/>
        </w:rPr>
      </w:pPr>
      <w:bookmarkStart w:id="77" w:name="_Toc22697"/>
      <w:bookmarkStart w:id="78" w:name="_Toc20442"/>
      <w:bookmarkStart w:id="79" w:name="_Toc10893"/>
      <w:r>
        <w:rPr>
          <w:rFonts w:hint="eastAsia" w:ascii="黑体" w:eastAsia="黑体"/>
          <w:b/>
        </w:rPr>
        <w:t>6)违规行为</w:t>
      </w:r>
      <w:bookmarkEnd w:id="77"/>
      <w:bookmarkEnd w:id="78"/>
      <w:bookmarkEnd w:id="79"/>
    </w:p>
    <w:p>
      <w:pPr>
        <w:ind w:left="840" w:leftChars="400"/>
      </w:pPr>
      <w:r>
        <w:rPr>
          <w:rFonts w:hint="eastAsia"/>
        </w:rPr>
        <w:t>包括但不限于：①以他人的名义投标、串通投标、以行贿手段谋取中标或者以其他弄虚作假方式投标的；②拒不按照要求对投标文件进行澄清、说明或者补正的；③扰乱开标、评标秩序，干扰招标工作正常进行的。</w:t>
      </w:r>
    </w:p>
    <w:p>
      <w:pPr>
        <w:ind w:firstLine="843" w:firstLineChars="400"/>
      </w:pPr>
      <w:r>
        <w:rPr>
          <w:rFonts w:hint="eastAsia" w:ascii="黑体" w:eastAsia="黑体"/>
          <w:b/>
        </w:rPr>
        <w:t>7)法律法规及招标文件中规定的其它情形</w:t>
      </w:r>
      <w:r>
        <w:rPr>
          <w:rFonts w:hint="eastAsia"/>
        </w:rPr>
        <w:t>。</w:t>
      </w:r>
    </w:p>
    <w:p>
      <w:pPr>
        <w:numPr>
          <w:ilvl w:val="2"/>
          <w:numId w:val="10"/>
        </w:numPr>
        <w:rPr>
          <w:color w:val="000000" w:themeColor="text1"/>
        </w:rPr>
      </w:pPr>
      <w:r>
        <w:rPr>
          <w:rFonts w:hint="eastAsia"/>
          <w:color w:val="000000" w:themeColor="text1"/>
        </w:rPr>
        <w:t>根据项目情况，评标委员会有权决定招标文件中“可能导致废标”或“可能导致其投标被拒绝”等具体条款是否实施“废标”或“投标被拒绝”，但对同一条款的裁决应适用于每个投标人。</w:t>
      </w:r>
    </w:p>
    <w:p>
      <w:pPr>
        <w:ind w:firstLine="420" w:firstLineChars="200"/>
        <w:rPr>
          <w:color w:val="000000" w:themeColor="text1"/>
        </w:rPr>
      </w:pPr>
    </w:p>
    <w:p>
      <w:pPr>
        <w:numPr>
          <w:ilvl w:val="0"/>
          <w:numId w:val="10"/>
        </w:numPr>
        <w:rPr>
          <w:rFonts w:ascii="黑体" w:eastAsia="黑体"/>
          <w:color w:val="000000" w:themeColor="text1"/>
        </w:rPr>
      </w:pPr>
      <w:r>
        <w:rPr>
          <w:rFonts w:hint="eastAsia" w:ascii="黑体" w:eastAsia="黑体"/>
          <w:color w:val="000000" w:themeColor="text1"/>
        </w:rPr>
        <w:t>评标方法和定标原则</w:t>
      </w:r>
    </w:p>
    <w:p>
      <w:pPr>
        <w:numPr>
          <w:ilvl w:val="1"/>
          <w:numId w:val="10"/>
        </w:numPr>
      </w:pPr>
      <w:r>
        <w:rPr>
          <w:rFonts w:hint="eastAsia"/>
          <w:color w:val="000000" w:themeColor="text1"/>
        </w:rPr>
        <w:t>综合评估法定标（见第二章投标资料表中附表）</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六、授予合同</w:t>
      </w:r>
    </w:p>
    <w:p>
      <w:pPr>
        <w:ind w:firstLine="420" w:firstLineChars="200"/>
      </w:pPr>
    </w:p>
    <w:p>
      <w:pPr>
        <w:numPr>
          <w:ilvl w:val="0"/>
          <w:numId w:val="10"/>
        </w:numPr>
        <w:rPr>
          <w:rFonts w:ascii="黑体" w:eastAsia="黑体"/>
          <w:b/>
        </w:rPr>
      </w:pPr>
      <w:r>
        <w:rPr>
          <w:rFonts w:hint="eastAsia" w:ascii="黑体" w:eastAsia="黑体"/>
          <w:b/>
        </w:rPr>
        <w:t>最终审查</w:t>
      </w:r>
    </w:p>
    <w:p>
      <w:pPr>
        <w:numPr>
          <w:ilvl w:val="1"/>
          <w:numId w:val="10"/>
        </w:numPr>
      </w:pPr>
      <w:r>
        <w:rPr>
          <w:rFonts w:hint="eastAsia"/>
        </w:rPr>
        <w:t>招标人将根据本须知列出的标准审查第一中标候选人是否有能力圆满地履行合同。</w:t>
      </w:r>
    </w:p>
    <w:p>
      <w:pPr>
        <w:numPr>
          <w:ilvl w:val="1"/>
          <w:numId w:val="10"/>
        </w:numPr>
      </w:pPr>
      <w:r>
        <w:rPr>
          <w:rFonts w:hint="eastAsia"/>
        </w:rPr>
        <w:t>授标决定时还将考虑投标人的财务、技术和生产能力在招标期间是否有实质性变化。其基础是审查投标人按照本须知规定提交的资格证明文件和招标人认为必要的、合适的其它资料。</w:t>
      </w:r>
    </w:p>
    <w:p>
      <w:pPr>
        <w:numPr>
          <w:ilvl w:val="1"/>
          <w:numId w:val="10"/>
        </w:numPr>
      </w:pPr>
      <w:r>
        <w:rPr>
          <w:rFonts w:hint="eastAsia"/>
        </w:rPr>
        <w:t>如果审查通过，招标人将把合同授予该投标人；如果审查没有通过，招标人将拒绝其投标，并对下一个中标候选人能否令人满意地履行合同作类似的审查。</w:t>
      </w:r>
    </w:p>
    <w:p/>
    <w:p>
      <w:pPr>
        <w:numPr>
          <w:ilvl w:val="0"/>
          <w:numId w:val="10"/>
        </w:numPr>
        <w:rPr>
          <w:rFonts w:ascii="黑体" w:eastAsia="黑体"/>
          <w:b/>
        </w:rPr>
      </w:pPr>
      <w:r>
        <w:rPr>
          <w:rFonts w:hint="eastAsia" w:ascii="黑体" w:eastAsia="黑体"/>
          <w:b/>
        </w:rPr>
        <w:t>合同授予标准</w:t>
      </w:r>
    </w:p>
    <w:p>
      <w:pPr>
        <w:numPr>
          <w:ilvl w:val="1"/>
          <w:numId w:val="10"/>
        </w:numPr>
      </w:pPr>
      <w:r>
        <w:rPr>
          <w:rFonts w:hint="eastAsia"/>
        </w:rPr>
        <w:t>除第31条的规定之外，招标人将把合同授予被确定为实质上响应招标文件的要求并有履行合同能力的投标人。</w:t>
      </w:r>
    </w:p>
    <w:p/>
    <w:p>
      <w:pPr>
        <w:numPr>
          <w:ilvl w:val="0"/>
          <w:numId w:val="10"/>
        </w:numPr>
        <w:rPr>
          <w:rFonts w:ascii="黑体" w:eastAsia="黑体"/>
          <w:b/>
        </w:rPr>
      </w:pPr>
      <w:r>
        <w:rPr>
          <w:rFonts w:hint="eastAsia" w:ascii="黑体" w:eastAsia="黑体"/>
          <w:b/>
        </w:rPr>
        <w:t>授标时更改采购货物数量的权力</w:t>
      </w:r>
    </w:p>
    <w:p>
      <w:pPr>
        <w:numPr>
          <w:ilvl w:val="1"/>
          <w:numId w:val="10"/>
        </w:numPr>
      </w:pPr>
      <w:bookmarkStart w:id="80" w:name="_Ref179621665"/>
      <w:r>
        <w:rPr>
          <w:rFonts w:hint="eastAsia"/>
        </w:rPr>
        <w:t>招标人在授予合同时有权在</w:t>
      </w:r>
      <w:r>
        <w:rPr>
          <w:rFonts w:hint="eastAsia" w:ascii="黑体" w:eastAsia="黑体"/>
          <w:b/>
        </w:rPr>
        <w:t>投标资料表</w:t>
      </w:r>
      <w:r>
        <w:rPr>
          <w:rFonts w:hint="eastAsia"/>
        </w:rPr>
        <w:t>规定的幅度内对“用户需求书”中规定的货物数量和服务予以增加或减少，但不得对单价或其它的条款和条件做任何改变。</w:t>
      </w:r>
      <w:bookmarkEnd w:id="80"/>
    </w:p>
    <w:p/>
    <w:p>
      <w:pPr>
        <w:numPr>
          <w:ilvl w:val="0"/>
          <w:numId w:val="10"/>
        </w:numPr>
        <w:rPr>
          <w:rFonts w:ascii="黑体" w:eastAsia="黑体"/>
          <w:b/>
        </w:rPr>
      </w:pPr>
      <w:r>
        <w:rPr>
          <w:rFonts w:hint="eastAsia" w:ascii="黑体" w:eastAsia="黑体"/>
          <w:b/>
        </w:rPr>
        <w:t>中标结果公示</w:t>
      </w:r>
    </w:p>
    <w:p>
      <w:pPr>
        <w:numPr>
          <w:ilvl w:val="1"/>
          <w:numId w:val="10"/>
        </w:numPr>
        <w:rPr>
          <w:color w:val="000000" w:themeColor="text1"/>
        </w:rPr>
      </w:pPr>
      <w:r>
        <w:rPr>
          <w:rFonts w:hint="eastAsia"/>
          <w:color w:val="000000" w:themeColor="text1"/>
        </w:rPr>
        <w:t>为体现“公开、公平、公正”的原则，评标结束后，将在</w:t>
      </w:r>
      <w:r>
        <w:rPr>
          <w:rFonts w:hint="eastAsia" w:ascii="宋体" w:hAnsi="宋体" w:cs="宋体"/>
        </w:rPr>
        <w:t>“深广电采购网</w:t>
      </w:r>
      <w:r>
        <w:fldChar w:fldCharType="begin"/>
      </w:r>
      <w:r>
        <w:instrText xml:space="preserve"> HYPERLINK "http://cg.szmg.com.cn/"</w:instrText>
      </w:r>
      <w:r>
        <w:fldChar w:fldCharType="separate"/>
      </w:r>
      <w:r>
        <w:rPr>
          <w:rStyle w:val="23"/>
        </w:rPr>
        <w:t>http://cg.szmg.com.cn/</w:t>
      </w:r>
      <w:r>
        <w:rPr>
          <w:rStyle w:val="23"/>
        </w:rPr>
        <w:fldChar w:fldCharType="end"/>
      </w:r>
      <w:r>
        <w:rPr>
          <w:rFonts w:hint="eastAsia" w:ascii="宋体" w:hAnsi="宋体" w:cs="宋体"/>
        </w:rPr>
        <w:t>”</w:t>
      </w:r>
      <w:r>
        <w:rPr>
          <w:rStyle w:val="23"/>
          <w:rFonts w:hint="eastAsia"/>
        </w:rPr>
        <w:t>或设计之都公司官网https://www.designcities.cn/</w:t>
      </w:r>
      <w:r>
        <w:rPr>
          <w:rFonts w:hint="eastAsia"/>
          <w:color w:val="000000" w:themeColor="text1"/>
        </w:rPr>
        <w:t>进行中标结果公示。投标人如对评标结果有异议，应于中标公示之日起3日内以书面形式提出。若未提出异议，则视为无异议或放弃异议权。</w:t>
      </w:r>
    </w:p>
    <w:p>
      <w:pPr>
        <w:numPr>
          <w:ilvl w:val="1"/>
          <w:numId w:val="10"/>
        </w:numPr>
        <w:rPr>
          <w:color w:val="000000" w:themeColor="text1"/>
        </w:rPr>
      </w:pPr>
      <w:r>
        <w:rPr>
          <w:rFonts w:hint="eastAsia"/>
          <w:color w:val="000000" w:themeColor="text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
      <w:pPr>
        <w:numPr>
          <w:ilvl w:val="0"/>
          <w:numId w:val="10"/>
        </w:numPr>
        <w:rPr>
          <w:rFonts w:ascii="黑体" w:eastAsia="黑体"/>
          <w:b/>
        </w:rPr>
      </w:pPr>
      <w:bookmarkStart w:id="81" w:name="_Ref179619923"/>
      <w:r>
        <w:rPr>
          <w:rFonts w:hint="eastAsia" w:ascii="黑体" w:eastAsia="黑体"/>
          <w:b/>
        </w:rPr>
        <w:t>接受和拒绝任何或所有投标的权力</w:t>
      </w:r>
      <w:bookmarkEnd w:id="81"/>
    </w:p>
    <w:p>
      <w:pPr>
        <w:numPr>
          <w:ilvl w:val="1"/>
          <w:numId w:val="10"/>
        </w:numPr>
      </w:pPr>
      <w:r>
        <w:rPr>
          <w:rFonts w:hint="eastAsia"/>
        </w:rPr>
        <w:t>在法律法规允许的特殊情况下，招标人保留在授标之前拒绝任何投标以及宣布招标程序无效或拒绝所有投标的权力，且对受影响的投标人不承担任何责任，</w:t>
      </w:r>
      <w:r>
        <w:rPr>
          <w:rFonts w:hint="eastAsia" w:ascii="宋体" w:hAnsi="宋体"/>
        </w:rPr>
        <w:t>也无义务向受影响的投标人解释采取这一行动的理由。</w:t>
      </w:r>
    </w:p>
    <w:p/>
    <w:p>
      <w:pPr>
        <w:numPr>
          <w:ilvl w:val="0"/>
          <w:numId w:val="10"/>
        </w:numPr>
        <w:rPr>
          <w:rFonts w:ascii="黑体" w:eastAsia="黑体"/>
          <w:b/>
        </w:rPr>
      </w:pPr>
      <w:r>
        <w:rPr>
          <w:rFonts w:hint="eastAsia" w:ascii="黑体" w:eastAsia="黑体"/>
          <w:b/>
        </w:rPr>
        <w:t>中标通知书</w:t>
      </w:r>
    </w:p>
    <w:p>
      <w:pPr>
        <w:numPr>
          <w:ilvl w:val="1"/>
          <w:numId w:val="10"/>
        </w:numPr>
      </w:pPr>
      <w:r>
        <w:rPr>
          <w:rFonts w:hint="eastAsia"/>
        </w:rPr>
        <w:t>中标结果公示后三个工作日内，中标供应商须提供营业执照、税务登记证以及在投标文件中提供的资质证明文件、合同等主要证明文件的原件进行核对，经核对无误后才能向中标供应商发出中标通知书。如授权其分支机构进行项目实施或提供售后服务的，亦应提供其与分支机构关系的法律证明材料。</w:t>
      </w:r>
    </w:p>
    <w:p>
      <w:pPr>
        <w:numPr>
          <w:ilvl w:val="1"/>
          <w:numId w:val="10"/>
        </w:numPr>
      </w:pPr>
      <w:r>
        <w:rPr>
          <w:rFonts w:hint="eastAsia"/>
        </w:rPr>
        <w:t>《中标通知书》是合同的一个组成部分。中标人如在中标结果公示后15日内不按规定提交相关资料及领取中标通知书的，则视为自动放弃中标资格进行处理。</w:t>
      </w:r>
    </w:p>
    <w:p/>
    <w:p>
      <w:pPr>
        <w:numPr>
          <w:ilvl w:val="0"/>
          <w:numId w:val="10"/>
        </w:numPr>
        <w:rPr>
          <w:rFonts w:ascii="黑体" w:eastAsia="黑体"/>
          <w:b/>
        </w:rPr>
      </w:pPr>
      <w:bookmarkStart w:id="82" w:name="_Ref179619520"/>
      <w:r>
        <w:rPr>
          <w:rFonts w:hint="eastAsia" w:ascii="黑体" w:eastAsia="黑体"/>
          <w:b/>
        </w:rPr>
        <w:t>签订合同</w:t>
      </w:r>
      <w:bookmarkEnd w:id="82"/>
    </w:p>
    <w:p>
      <w:pPr>
        <w:numPr>
          <w:ilvl w:val="1"/>
          <w:numId w:val="10"/>
        </w:numPr>
      </w:pPr>
      <w:r>
        <w:rPr>
          <w:rFonts w:hint="eastAsia"/>
        </w:rPr>
        <w:t>《中标通知书》发出后30 日内，中标人应按照招标文件和中标人的投标文件订立书面合同。中标人不得与招标人再订立背离合同实质性内容的其他协议。</w:t>
      </w:r>
    </w:p>
    <w:p>
      <w:pPr>
        <w:numPr>
          <w:ilvl w:val="1"/>
          <w:numId w:val="10"/>
        </w:numPr>
      </w:pPr>
      <w:r>
        <w:rPr>
          <w:rFonts w:hint="eastAsia"/>
        </w:rPr>
        <w:t>招标文件、中标人的投标文件及其澄清文件等，均为签订合同的依据。</w:t>
      </w:r>
    </w:p>
    <w:p>
      <w:pPr>
        <w:numPr>
          <w:ilvl w:val="1"/>
          <w:numId w:val="10"/>
        </w:numPr>
      </w:pPr>
      <w:r>
        <w:rPr>
          <w:rFonts w:hint="eastAsia"/>
        </w:rPr>
        <w:t>合同签订后5个工作日内，中标人须将合同副本（合同复印件加盖中标人公章，原件核验)送招标机构存档备案。</w:t>
      </w:r>
    </w:p>
    <w:p/>
    <w:p>
      <w:pPr>
        <w:numPr>
          <w:ilvl w:val="0"/>
          <w:numId w:val="10"/>
        </w:numPr>
        <w:rPr>
          <w:rFonts w:ascii="黑体" w:eastAsia="黑体"/>
          <w:b/>
        </w:rPr>
      </w:pPr>
      <w:r>
        <w:rPr>
          <w:rFonts w:hint="eastAsia" w:ascii="黑体" w:eastAsia="黑体"/>
          <w:b/>
        </w:rPr>
        <w:t>履约保证金</w:t>
      </w:r>
    </w:p>
    <w:p>
      <w:pPr>
        <w:numPr>
          <w:ilvl w:val="1"/>
          <w:numId w:val="10"/>
        </w:numPr>
        <w:rPr>
          <w:color w:val="000000" w:themeColor="text1"/>
        </w:rPr>
      </w:pPr>
      <w:r>
        <w:rPr>
          <w:rFonts w:hint="eastAsia"/>
          <w:color w:val="000000" w:themeColor="text1"/>
        </w:rPr>
        <w:t>中标人投标前递交的投标保证金直接转为合同履约金。如中标人未按合同履约，招标人有权终止合同</w:t>
      </w:r>
      <w:r>
        <w:rPr>
          <w:rFonts w:hint="eastAsia" w:cs="Arial"/>
          <w:color w:val="000000" w:themeColor="text1"/>
        </w:rPr>
        <w:t>，并没收其</w:t>
      </w:r>
      <w:r>
        <w:rPr>
          <w:rFonts w:hint="eastAsia"/>
          <w:color w:val="000000" w:themeColor="text1"/>
        </w:rPr>
        <w:t>合同履约金</w:t>
      </w:r>
      <w:r>
        <w:rPr>
          <w:rFonts w:hint="eastAsia" w:cs="Arial"/>
          <w:color w:val="000000" w:themeColor="text1"/>
        </w:rPr>
        <w:t>。给招标人造成的损失超过</w:t>
      </w:r>
      <w:r>
        <w:rPr>
          <w:rFonts w:hint="eastAsia"/>
          <w:color w:val="000000" w:themeColor="text1"/>
        </w:rPr>
        <w:t>合同履约金</w:t>
      </w:r>
      <w:r>
        <w:rPr>
          <w:rFonts w:hint="eastAsia" w:cs="Arial"/>
          <w:color w:val="000000" w:themeColor="text1"/>
        </w:rPr>
        <w:t>数额的，还应当由其对超过部分予以赔偿，并依法追究其责任。</w:t>
      </w:r>
    </w:p>
    <w:p>
      <w:pPr>
        <w:numPr>
          <w:ilvl w:val="1"/>
          <w:numId w:val="10"/>
        </w:numPr>
        <w:rPr>
          <w:rFonts w:cs="Arial"/>
          <w:color w:val="000000" w:themeColor="text1"/>
        </w:rPr>
      </w:pPr>
      <w:r>
        <w:rPr>
          <w:rFonts w:cs="Arial"/>
          <w:color w:val="000000" w:themeColor="text1"/>
        </w:rPr>
        <w:t>下列任何情况发生时，</w:t>
      </w:r>
      <w:r>
        <w:rPr>
          <w:rFonts w:hint="eastAsia" w:cs="Arial"/>
          <w:color w:val="000000" w:themeColor="text1"/>
        </w:rPr>
        <w:t>履约</w:t>
      </w:r>
      <w:r>
        <w:rPr>
          <w:rFonts w:cs="Arial"/>
          <w:color w:val="000000" w:themeColor="text1"/>
        </w:rPr>
        <w:t>保证金将被没收：</w:t>
      </w:r>
    </w:p>
    <w:p>
      <w:pPr>
        <w:numPr>
          <w:ilvl w:val="2"/>
          <w:numId w:val="10"/>
        </w:numPr>
        <w:rPr>
          <w:rFonts w:cs="Arial"/>
          <w:color w:val="000000" w:themeColor="text1"/>
        </w:rPr>
      </w:pPr>
      <w:r>
        <w:rPr>
          <w:rFonts w:hint="eastAsia" w:cs="Arial"/>
          <w:color w:val="000000" w:themeColor="text1"/>
        </w:rPr>
        <w:t>中标人将本项目转让给他人，或者在投标文件中未说明，且未经招采购人同意，将中标项目分包给他人的，采购人可依法没收其履约保证金。</w:t>
      </w:r>
    </w:p>
    <w:p>
      <w:pPr>
        <w:numPr>
          <w:ilvl w:val="2"/>
          <w:numId w:val="10"/>
        </w:numPr>
        <w:rPr>
          <w:rFonts w:cs="Arial"/>
          <w:color w:val="000000" w:themeColor="text1"/>
        </w:rPr>
      </w:pPr>
      <w:r>
        <w:rPr>
          <w:rFonts w:hint="eastAsia" w:cs="Arial"/>
          <w:color w:val="000000" w:themeColor="text1"/>
        </w:rPr>
        <w:t>中标人将本项目转让给他人，或者在投标文件中未说明，且未经招采购人同意，将中标项目分包给他人的，采购人可依法没收其履约保证金。</w:t>
      </w:r>
    </w:p>
    <w:p>
      <w:pPr>
        <w:numPr>
          <w:ilvl w:val="1"/>
          <w:numId w:val="10"/>
        </w:numPr>
        <w:rPr>
          <w:color w:val="000000" w:themeColor="text1"/>
        </w:rPr>
      </w:pPr>
      <w:r>
        <w:rPr>
          <w:rFonts w:hint="eastAsia"/>
          <w:color w:val="000000" w:themeColor="text1"/>
        </w:rPr>
        <w:t>如果中标人没有按照上述规定执行，招标人将取消该中标决定，并没收其投标保证金。在此情况下，招标机构和招标人可将合同授予下一个中标候选人，或重新招标。</w:t>
      </w:r>
    </w:p>
    <w:p>
      <w:pPr>
        <w:rPr>
          <w:rFonts w:ascii="黑体" w:eastAsia="黑体"/>
          <w:b/>
        </w:rPr>
      </w:pPr>
    </w:p>
    <w:p>
      <w:pPr>
        <w:numPr>
          <w:ilvl w:val="0"/>
          <w:numId w:val="10"/>
        </w:numPr>
        <w:rPr>
          <w:rFonts w:ascii="黑体" w:eastAsia="黑体"/>
          <w:b/>
        </w:rPr>
      </w:pPr>
      <w:r>
        <w:rPr>
          <w:rFonts w:hint="eastAsia" w:ascii="黑体" w:eastAsia="黑体"/>
          <w:b/>
        </w:rPr>
        <w:t>解释权</w:t>
      </w:r>
    </w:p>
    <w:p>
      <w:pPr>
        <w:numPr>
          <w:ilvl w:val="1"/>
          <w:numId w:val="10"/>
        </w:numPr>
      </w:pPr>
      <w:r>
        <w:rPr>
          <w:rFonts w:hint="eastAsia"/>
        </w:rPr>
        <w:t>本采购文件是根据国家有关法律、法规以及政府采购管理有关规定和参照国际惯例编制，解释权属本采购招标人。</w:t>
      </w:r>
    </w:p>
    <w:p>
      <w:pPr>
        <w:jc w:val="center"/>
        <w:rPr>
          <w:rFonts w:ascii="黑体" w:eastAsia="黑体"/>
          <w:sz w:val="44"/>
          <w:szCs w:val="44"/>
        </w:rPr>
      </w:pPr>
    </w:p>
    <w:p>
      <w:pPr>
        <w:jc w:val="center"/>
        <w:rPr>
          <w:rFonts w:ascii="黑体" w:eastAsia="黑体"/>
          <w:sz w:val="44"/>
          <w:szCs w:val="44"/>
        </w:rPr>
      </w:pPr>
    </w:p>
    <w:p>
      <w:pPr>
        <w:rPr>
          <w:rFonts w:ascii="黑体" w:eastAsia="黑体"/>
          <w:sz w:val="44"/>
          <w:szCs w:val="44"/>
        </w:rPr>
      </w:pPr>
    </w:p>
    <w:p>
      <w:pPr>
        <w:jc w:val="center"/>
        <w:rPr>
          <w:rFonts w:ascii="黑体" w:eastAsia="黑体"/>
          <w:sz w:val="44"/>
          <w:szCs w:val="44"/>
        </w:rPr>
      </w:pPr>
    </w:p>
    <w:p>
      <w:pPr>
        <w:widowControl/>
        <w:numPr>
          <w:ilvl w:val="0"/>
          <w:numId w:val="1"/>
        </w:numPr>
        <w:spacing w:beforeLines="100" w:afterLines="100"/>
        <w:ind w:firstLine="402"/>
        <w:jc w:val="center"/>
        <w:outlineLvl w:val="0"/>
        <w:rPr>
          <w:rFonts w:ascii="黑体" w:eastAsia="黑体"/>
          <w:sz w:val="44"/>
          <w:szCs w:val="44"/>
        </w:rPr>
      </w:pPr>
      <w:bookmarkStart w:id="83" w:name="_Toc15172"/>
      <w:r>
        <w:rPr>
          <w:rFonts w:hint="eastAsia" w:ascii="黑体" w:eastAsia="黑体"/>
          <w:sz w:val="44"/>
          <w:szCs w:val="44"/>
        </w:rPr>
        <w:t>合同条款</w:t>
      </w:r>
      <w:bookmarkEnd w:id="83"/>
    </w:p>
    <w:p>
      <w:pPr>
        <w:jc w:val="center"/>
        <w:rPr>
          <w:rFonts w:ascii="黑体" w:eastAsia="黑体"/>
          <w:color w:val="000000" w:themeColor="text1"/>
          <w:sz w:val="32"/>
          <w:szCs w:val="32"/>
        </w:rPr>
      </w:pPr>
      <w:r>
        <w:rPr>
          <w:rFonts w:hint="eastAsia" w:ascii="黑体" w:eastAsia="黑体"/>
          <w:color w:val="000000" w:themeColor="text1"/>
          <w:sz w:val="32"/>
          <w:szCs w:val="32"/>
        </w:rPr>
        <w:t>(另行订立)</w:t>
      </w:r>
    </w:p>
    <w:p>
      <w:pPr>
        <w:widowControl/>
        <w:jc w:val="left"/>
        <w:rPr>
          <w:rFonts w:ascii="黑体" w:eastAsia="黑体"/>
          <w:sz w:val="44"/>
          <w:szCs w:val="44"/>
        </w:rPr>
      </w:pPr>
      <w:r>
        <w:rPr>
          <w:rFonts w:ascii="黑体" w:eastAsia="黑体"/>
          <w:sz w:val="44"/>
          <w:szCs w:val="44"/>
        </w:rPr>
        <w:br w:type="page"/>
      </w:r>
    </w:p>
    <w:p>
      <w:pPr>
        <w:widowControl/>
        <w:numPr>
          <w:ilvl w:val="0"/>
          <w:numId w:val="1"/>
        </w:numPr>
        <w:spacing w:beforeLines="100" w:afterLines="100"/>
        <w:ind w:firstLine="402"/>
        <w:jc w:val="center"/>
        <w:outlineLvl w:val="0"/>
        <w:rPr>
          <w:rFonts w:ascii="黑体" w:eastAsia="黑体"/>
          <w:sz w:val="44"/>
          <w:szCs w:val="44"/>
        </w:rPr>
      </w:pPr>
      <w:bookmarkStart w:id="84" w:name="_Toc28843"/>
      <w:r>
        <w:rPr>
          <w:rFonts w:hint="eastAsia" w:ascii="黑体" w:eastAsia="黑体"/>
          <w:sz w:val="44"/>
          <w:szCs w:val="44"/>
        </w:rPr>
        <w:t>附件－投标文件格式</w:t>
      </w:r>
      <w:bookmarkEnd w:id="84"/>
    </w:p>
    <w:p>
      <w:pPr>
        <w:rPr>
          <w:rFonts w:ascii="楷体_GB2312" w:eastAsia="楷体_GB2312"/>
          <w:sz w:val="24"/>
        </w:rPr>
      </w:pPr>
      <w:r>
        <w:rPr>
          <w:rFonts w:hint="eastAsia" w:ascii="楷体_GB2312" w:eastAsia="楷体_GB2312"/>
          <w:sz w:val="24"/>
        </w:rPr>
        <w:t>附件1. 投标书格式</w:t>
      </w:r>
    </w:p>
    <w:p>
      <w:pPr>
        <w:rPr>
          <w:rFonts w:ascii="楷体_GB2312" w:eastAsia="楷体_GB2312"/>
          <w:sz w:val="24"/>
        </w:rPr>
      </w:pPr>
    </w:p>
    <w:p>
      <w:pPr>
        <w:widowControl/>
        <w:jc w:val="center"/>
      </w:pPr>
      <w:r>
        <w:rPr>
          <w:rFonts w:hint="eastAsia" w:ascii="黑体" w:eastAsia="黑体"/>
          <w:b/>
          <w:sz w:val="32"/>
          <w:szCs w:val="32"/>
        </w:rPr>
        <w:t>投标书</w:t>
      </w:r>
    </w:p>
    <w:p>
      <w:pPr>
        <w:adjustRightInd w:val="0"/>
        <w:snapToGrid w:val="0"/>
        <w:spacing w:line="360" w:lineRule="auto"/>
        <w:rPr>
          <w:rFonts w:ascii="宋体" w:hAnsi="宋体" w:cs="Arial"/>
          <w:color w:val="000000"/>
        </w:rPr>
      </w:pPr>
      <w:r>
        <w:rPr>
          <w:rFonts w:ascii="宋体" w:hAnsi="宋体" w:cs="Arial"/>
          <w:color w:val="000000"/>
        </w:rPr>
        <w:t>致：</w:t>
      </w:r>
    </w:p>
    <w:p>
      <w:pPr>
        <w:adjustRightInd w:val="0"/>
        <w:snapToGrid w:val="0"/>
        <w:spacing w:line="360" w:lineRule="auto"/>
        <w:ind w:firstLine="600"/>
        <w:rPr>
          <w:rFonts w:ascii="宋体" w:hAnsi="宋体" w:cs="Arial"/>
          <w:color w:val="000000"/>
        </w:rPr>
      </w:pPr>
      <w:r>
        <w:rPr>
          <w:rFonts w:ascii="宋体" w:hAnsi="宋体" w:cs="Arial"/>
          <w:color w:val="000000"/>
        </w:rPr>
        <w:t>根据贵方为项目的招标公告（招标编号：</w:t>
      </w:r>
      <w:r>
        <w:rPr>
          <w:rFonts w:ascii="宋体" w:hAnsi="宋体" w:cs="Arial"/>
          <w:color w:val="000000"/>
          <w:u w:val="single"/>
        </w:rPr>
        <w:t>　　　　</w:t>
      </w:r>
      <w:r>
        <w:rPr>
          <w:rFonts w:ascii="宋体" w:hAnsi="宋体" w:cs="Arial"/>
          <w:color w:val="000000"/>
        </w:rPr>
        <w:t>），本人代表投标人（投标人名称），提交投标文件。</w:t>
      </w:r>
    </w:p>
    <w:p>
      <w:pPr>
        <w:tabs>
          <w:tab w:val="center" w:pos="4396"/>
        </w:tabs>
        <w:adjustRightInd w:val="0"/>
        <w:snapToGrid w:val="0"/>
        <w:spacing w:line="360" w:lineRule="auto"/>
        <w:ind w:firstLine="420" w:firstLineChars="200"/>
        <w:rPr>
          <w:rFonts w:ascii="宋体" w:hAnsi="宋体" w:cs="Arial"/>
          <w:color w:val="000000"/>
        </w:rPr>
      </w:pPr>
      <w:r>
        <w:rPr>
          <w:rFonts w:ascii="宋体" w:hAnsi="宋体" w:cs="Arial"/>
          <w:color w:val="000000"/>
        </w:rPr>
        <w:t>据此函，本人宣布如下承诺：</w:t>
      </w:r>
      <w:r>
        <w:rPr>
          <w:rFonts w:ascii="宋体" w:hAnsi="宋体" w:cs="Arial"/>
          <w:color w:val="000000"/>
        </w:rPr>
        <w:tab/>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1．所附“开标一览表”规定的应提供和交付的项目投标总价为：人民币（大写）</w:t>
      </w:r>
      <w:r>
        <w:rPr>
          <w:rFonts w:ascii="宋体" w:hAnsi="宋体" w:cs="Arial"/>
          <w:color w:val="000000"/>
          <w:u w:val="single"/>
        </w:rPr>
        <w:t xml:space="preserve">　　　　   </w:t>
      </w:r>
      <w:r>
        <w:rPr>
          <w:rFonts w:ascii="宋体" w:hAnsi="宋体" w:cs="Arial"/>
          <w:color w:val="000000"/>
        </w:rPr>
        <w:t>。</w:t>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2．我方将按招标文件的规定履行合同责任和义务。</w:t>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3．我方已详细审查全部招标文件，包括修改文件（如有的话）以及全部参考资料和有关附件。</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4</w:t>
      </w:r>
      <w:r>
        <w:rPr>
          <w:rFonts w:ascii="宋体" w:hAnsi="宋体" w:cs="Arial"/>
          <w:color w:val="000000"/>
        </w:rPr>
        <w:t>．我方同意提供按照贵方要求的与我方投标有关的一切数据或资料，理解贵方不一定要接受最低报价的投标。</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5. 我方提供的服务参数优于或等于为招标人基本技术要求，无负偏离。否则，可能导致的严重影响投标人投标优势的后果，我方自行负责。</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6. 我方理解招标人关于数量、单价及报价要求的具体规定，我方将严格按照招标文件的有关要求进行投标，如中标，同标准签订合同。</w:t>
      </w:r>
    </w:p>
    <w:p>
      <w:pPr>
        <w:adjustRightInd w:val="0"/>
        <w:snapToGrid w:val="0"/>
        <w:spacing w:line="360" w:lineRule="auto"/>
        <w:ind w:left="210" w:hanging="210" w:hangingChars="100"/>
        <w:rPr>
          <w:rFonts w:ascii="宋体" w:hAnsi="宋体" w:cs="Arial"/>
          <w:color w:val="000000"/>
        </w:rPr>
      </w:pPr>
      <w:r>
        <w:rPr>
          <w:rFonts w:hint="eastAsia" w:ascii="宋体" w:hAnsi="宋体" w:cs="Arial"/>
          <w:color w:val="000000"/>
        </w:rPr>
        <w:t>7. 为了保证项目的顺利进行，我方理解在本次项目合同执行期间因临时紧急采购、或者取消中标人部分或全部服务资格等原因，招标人可能与本次评标结果中排名第二的备选中标人签订相应服务合同。</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8</w:t>
      </w:r>
      <w:r>
        <w:rPr>
          <w:rFonts w:ascii="宋体" w:hAnsi="宋体" w:cs="Arial"/>
          <w:color w:val="000000"/>
        </w:rPr>
        <w:t>．与本投标有关的一切正式往来通讯请寄：</w:t>
      </w:r>
    </w:p>
    <w:p>
      <w:pPr>
        <w:adjustRightInd w:val="0"/>
        <w:snapToGrid w:val="0"/>
        <w:spacing w:line="360" w:lineRule="auto"/>
        <w:ind w:left="601" w:leftChars="286"/>
        <w:rPr>
          <w:rFonts w:ascii="宋体" w:hAnsi="宋体" w:cs="Arial"/>
          <w:color w:val="000000"/>
        </w:rPr>
      </w:pPr>
      <w:r>
        <w:rPr>
          <w:rFonts w:ascii="宋体" w:hAnsi="宋体" w:cs="Arial"/>
          <w:color w:val="000000"/>
        </w:rPr>
        <w:t>地址： 邮编：</w:t>
      </w:r>
    </w:p>
    <w:p>
      <w:pPr>
        <w:adjustRightInd w:val="0"/>
        <w:snapToGrid w:val="0"/>
        <w:spacing w:line="360" w:lineRule="auto"/>
        <w:ind w:left="601" w:leftChars="286"/>
        <w:rPr>
          <w:rFonts w:ascii="宋体" w:hAnsi="宋体" w:cs="Arial"/>
          <w:color w:val="000000"/>
        </w:rPr>
      </w:pPr>
    </w:p>
    <w:p>
      <w:pPr>
        <w:adjustRightInd w:val="0"/>
        <w:snapToGrid w:val="0"/>
        <w:spacing w:line="360" w:lineRule="auto"/>
        <w:ind w:left="601" w:leftChars="286"/>
        <w:rPr>
          <w:rFonts w:ascii="宋体" w:hAnsi="宋体" w:cs="Arial"/>
          <w:bCs/>
          <w:color w:val="000000"/>
        </w:rPr>
      </w:pPr>
      <w:r>
        <w:rPr>
          <w:rFonts w:ascii="宋体" w:hAnsi="宋体" w:cs="Arial"/>
          <w:bCs/>
          <w:color w:val="000000"/>
        </w:rPr>
        <w:t>投标人法定代表人姓名、职务（印刷体）：</w:t>
      </w:r>
    </w:p>
    <w:p>
      <w:pPr>
        <w:adjustRightInd w:val="0"/>
        <w:snapToGrid w:val="0"/>
        <w:spacing w:line="360" w:lineRule="auto"/>
        <w:ind w:left="601" w:leftChars="286"/>
        <w:rPr>
          <w:rFonts w:ascii="宋体" w:hAnsi="宋体" w:cs="Arial"/>
          <w:bCs/>
          <w:color w:val="000000"/>
        </w:rPr>
      </w:pPr>
      <w:r>
        <w:rPr>
          <w:rFonts w:ascii="宋体" w:hAnsi="宋体" w:cs="Arial"/>
          <w:bCs/>
          <w:color w:val="000000"/>
        </w:rPr>
        <w:t>投标人名称：</w:t>
      </w:r>
      <w:r>
        <w:rPr>
          <w:rFonts w:ascii="宋体" w:hAnsi="宋体" w:cs="Arial"/>
          <w:color w:val="000000"/>
        </w:rPr>
        <w:t>（加盖公章）</w:t>
      </w:r>
    </w:p>
    <w:p>
      <w:pPr>
        <w:adjustRightInd w:val="0"/>
        <w:snapToGrid w:val="0"/>
        <w:spacing w:line="360" w:lineRule="auto"/>
        <w:ind w:left="601" w:leftChars="286"/>
        <w:rPr>
          <w:rFonts w:ascii="宋体" w:hAnsi="宋体" w:cs="Arial"/>
          <w:bCs/>
          <w:color w:val="000000"/>
        </w:rPr>
      </w:pPr>
      <w:r>
        <w:rPr>
          <w:rFonts w:ascii="宋体" w:hAnsi="宋体" w:cs="Arial"/>
          <w:bCs/>
          <w:color w:val="000000"/>
        </w:rPr>
        <w:t>法定代表人签字（或其委托的全权代表人）：</w:t>
      </w:r>
    </w:p>
    <w:p>
      <w:pPr>
        <w:adjustRightInd w:val="0"/>
        <w:snapToGrid w:val="0"/>
        <w:spacing w:line="360" w:lineRule="auto"/>
        <w:ind w:left="601" w:leftChars="286" w:firstLine="5550"/>
        <w:rPr>
          <w:rFonts w:ascii="宋体" w:hAnsi="宋体" w:cs="Arial"/>
          <w:color w:val="000000"/>
        </w:rPr>
      </w:pPr>
      <w:r>
        <w:rPr>
          <w:rFonts w:ascii="宋体" w:hAnsi="宋体" w:cs="Arial"/>
          <w:color w:val="000000"/>
        </w:rPr>
        <w:t>日期：    年   月   日</w:t>
      </w:r>
    </w:p>
    <w:p>
      <w:pPr>
        <w:adjustRightInd w:val="0"/>
        <w:snapToGrid w:val="0"/>
        <w:spacing w:line="360" w:lineRule="auto"/>
        <w:ind w:left="601" w:leftChars="286"/>
        <w:rPr>
          <w:rFonts w:ascii="宋体" w:hAnsi="宋体" w:cs="Arial"/>
          <w:color w:val="000000"/>
        </w:rPr>
      </w:pPr>
      <w:r>
        <w:rPr>
          <w:rFonts w:ascii="宋体" w:hAnsi="宋体" w:cs="Arial"/>
          <w:color w:val="000000"/>
        </w:rPr>
        <w:t>日期：    年   月   日</w:t>
      </w:r>
    </w:p>
    <w:p>
      <w:pPr>
        <w:adjustRightInd w:val="0"/>
        <w:snapToGrid w:val="0"/>
        <w:spacing w:line="360" w:lineRule="auto"/>
        <w:ind w:firstLine="422" w:firstLineChars="200"/>
        <w:rPr>
          <w:rFonts w:ascii="宋体" w:hAnsi="宋体" w:cs="Arial"/>
          <w:b/>
          <w:bCs/>
          <w:color w:val="000000"/>
        </w:rPr>
      </w:pPr>
      <w:r>
        <w:rPr>
          <w:rFonts w:ascii="宋体" w:hAnsi="宋体" w:cs="Arial"/>
          <w:b/>
          <w:bCs/>
          <w:color w:val="000000"/>
        </w:rPr>
        <w:t>注：全权代表须有法定代表人签署的授权委托书。</w:t>
      </w:r>
    </w:p>
    <w:p>
      <w:pPr>
        <w:rPr>
          <w:rFonts w:ascii="楷体_GB2312" w:eastAsia="楷体_GB2312"/>
          <w:sz w:val="24"/>
        </w:rPr>
      </w:pPr>
      <w:r>
        <w:br w:type="page"/>
      </w:r>
      <w:r>
        <w:rPr>
          <w:rFonts w:hint="eastAsia" w:ascii="楷体_GB2312" w:eastAsia="楷体_GB2312"/>
          <w:sz w:val="24"/>
        </w:rPr>
        <w:t>附件2. 开标一览表格式</w:t>
      </w:r>
    </w:p>
    <w:p/>
    <w:p>
      <w:pPr>
        <w:jc w:val="center"/>
        <w:rPr>
          <w:rFonts w:ascii="黑体" w:eastAsia="黑体"/>
          <w:sz w:val="32"/>
          <w:szCs w:val="32"/>
        </w:rPr>
      </w:pPr>
      <w:r>
        <w:rPr>
          <w:rFonts w:hint="eastAsia" w:ascii="黑体" w:eastAsia="黑体"/>
          <w:sz w:val="32"/>
          <w:szCs w:val="32"/>
        </w:rPr>
        <w:t>开标一览表</w:t>
      </w:r>
    </w:p>
    <w:p>
      <w:pPr>
        <w:spacing w:line="360" w:lineRule="auto"/>
      </w:pPr>
    </w:p>
    <w:p>
      <w:pPr>
        <w:spacing w:line="360" w:lineRule="auto"/>
      </w:pPr>
      <w:r>
        <w:rPr>
          <w:rFonts w:hint="eastAsia"/>
        </w:rPr>
        <w:t>投标人名称：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086"/>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8" w:hRule="atLeast"/>
          <w:jc w:val="center"/>
        </w:trPr>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项目名称/包号</w:t>
            </w:r>
          </w:p>
        </w:tc>
        <w:tc>
          <w:tcPr>
            <w:tcW w:w="3086"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服务期</w:t>
            </w:r>
          </w:p>
        </w:tc>
        <w:tc>
          <w:tcPr>
            <w:tcW w:w="141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投标总价</w:t>
            </w:r>
          </w:p>
        </w:tc>
        <w:tc>
          <w:tcPr>
            <w:tcW w:w="184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29"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p>
        </w:tc>
        <w:tc>
          <w:tcPr>
            <w:tcW w:w="3086"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总服务价格（含增值税价（服务类专用））</w:t>
            </w:r>
          </w:p>
        </w:tc>
        <w:tc>
          <w:tcPr>
            <w:tcW w:w="1417"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p>
        </w:tc>
        <w:tc>
          <w:tcPr>
            <w:tcW w:w="1843"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p>
        </w:tc>
      </w:tr>
    </w:tbl>
    <w:p/>
    <w:p>
      <w:r>
        <w:rPr>
          <w:rFonts w:hint="eastAsia"/>
        </w:rPr>
        <w:t>投标人代表签字：</w:t>
      </w:r>
    </w:p>
    <w:p>
      <w:r>
        <w:rPr>
          <w:rFonts w:hint="eastAsia"/>
        </w:rPr>
        <w:t>投标人盖章：</w:t>
      </w:r>
    </w:p>
    <w:p/>
    <w:p>
      <w:pPr>
        <w:ind w:left="718" w:hanging="718" w:hangingChars="342"/>
      </w:pPr>
      <w:r>
        <w:rPr>
          <w:rFonts w:hint="eastAsia"/>
        </w:rPr>
        <w:t>注：1、此表应按投标人须知的规定密封标记并与授权委托书一同密封装入开标文件，开标文件单独提交。</w:t>
      </w:r>
    </w:p>
    <w:p>
      <w:pPr>
        <w:ind w:left="718" w:leftChars="200" w:hanging="298" w:hangingChars="142"/>
      </w:pPr>
      <w:r>
        <w:rPr>
          <w:rFonts w:hint="eastAsia"/>
        </w:rPr>
        <w:t>2、温馨提示：未按招标文件要求报价、填写开标一览表是导致投标人废标的常见问题，请投标人仔细填写，认真核对。</w:t>
      </w:r>
    </w:p>
    <w:p>
      <w:pPr>
        <w:rPr>
          <w:rFonts w:ascii="楷体_GB2312" w:eastAsia="楷体_GB2312"/>
          <w:sz w:val="24"/>
        </w:rPr>
      </w:pPr>
      <w:r>
        <w:br w:type="page"/>
      </w:r>
      <w:r>
        <w:rPr>
          <w:rFonts w:hint="eastAsia" w:ascii="楷体_GB2312" w:eastAsia="楷体_GB2312"/>
          <w:sz w:val="24"/>
        </w:rPr>
        <w:t>附件3. 投标分项报价表格式</w:t>
      </w:r>
    </w:p>
    <w:p/>
    <w:p>
      <w:pPr>
        <w:jc w:val="center"/>
        <w:rPr>
          <w:rFonts w:ascii="黑体" w:eastAsia="黑体"/>
          <w:sz w:val="32"/>
          <w:szCs w:val="32"/>
        </w:rPr>
      </w:pPr>
      <w:r>
        <w:rPr>
          <w:rFonts w:hint="eastAsia" w:ascii="黑体" w:eastAsia="黑体"/>
          <w:sz w:val="32"/>
          <w:szCs w:val="32"/>
        </w:rPr>
        <w:t>投标分项报价表</w:t>
      </w:r>
    </w:p>
    <w:p/>
    <w:p>
      <w:pPr>
        <w:rPr>
          <w:u w:val="single"/>
        </w:rPr>
      </w:pPr>
      <w:r>
        <w:rPr>
          <w:rFonts w:hint="eastAsia"/>
        </w:rPr>
        <w:t>投标人名称：</w:t>
      </w:r>
      <w:r>
        <w:rPr>
          <w:rFonts w:hint="eastAsia"/>
          <w:u w:val="single"/>
        </w:rPr>
        <w:t>　　　　　　　　　　</w:t>
      </w:r>
      <w:r>
        <w:rPr>
          <w:rFonts w:hint="eastAsia"/>
        </w:rPr>
        <w:t>　　招标编号：</w:t>
      </w:r>
      <w:r>
        <w:rPr>
          <w:rFonts w:hint="eastAsia"/>
          <w:u w:val="single"/>
        </w:rPr>
        <w:t>　　　　　　　　　　　</w:t>
      </w:r>
    </w:p>
    <w:p>
      <w:pPr>
        <w:pStyle w:val="2"/>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717"/>
        <w:gridCol w:w="1145"/>
        <w:gridCol w:w="715"/>
        <w:gridCol w:w="1461"/>
        <w:gridCol w:w="585"/>
        <w:gridCol w:w="81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15" w:type="dxa"/>
            <w:vAlign w:val="center"/>
          </w:tcPr>
          <w:p>
            <w:pPr>
              <w:spacing w:before="100" w:beforeAutospacing="1" w:after="100" w:afterAutospacing="1"/>
              <w:jc w:val="center"/>
              <w:rPr>
                <w:rFonts w:ascii="宋体" w:hAnsi="宋体"/>
                <w:sz w:val="24"/>
              </w:rPr>
            </w:pPr>
            <w:r>
              <w:rPr>
                <w:rFonts w:hint="eastAsia" w:ascii="宋体" w:hAnsi="宋体"/>
                <w:sz w:val="24"/>
              </w:rPr>
              <w:t>序号</w:t>
            </w:r>
          </w:p>
        </w:tc>
        <w:tc>
          <w:tcPr>
            <w:tcW w:w="1717" w:type="dxa"/>
            <w:vAlign w:val="center"/>
          </w:tcPr>
          <w:p>
            <w:pPr>
              <w:spacing w:before="100" w:beforeAutospacing="1" w:after="100" w:afterAutospacing="1"/>
              <w:jc w:val="center"/>
              <w:rPr>
                <w:rFonts w:ascii="宋体" w:hAnsi="宋体"/>
                <w:sz w:val="24"/>
              </w:rPr>
            </w:pPr>
            <w:r>
              <w:rPr>
                <w:rFonts w:hint="eastAsia" w:ascii="宋体" w:hAnsi="宋体" w:cs="宋体"/>
                <w:color w:val="000000"/>
                <w:kern w:val="0"/>
                <w:sz w:val="22"/>
              </w:rPr>
              <w:t>资源名称</w:t>
            </w:r>
          </w:p>
        </w:tc>
        <w:tc>
          <w:tcPr>
            <w:tcW w:w="1145" w:type="dxa"/>
            <w:vAlign w:val="center"/>
          </w:tcPr>
          <w:p>
            <w:pPr>
              <w:spacing w:before="100" w:beforeAutospacing="1" w:after="100" w:afterAutospacing="1"/>
              <w:jc w:val="center"/>
              <w:rPr>
                <w:rFonts w:ascii="宋体" w:hAnsi="宋体"/>
                <w:sz w:val="24"/>
              </w:rPr>
            </w:pPr>
            <w:r>
              <w:rPr>
                <w:rFonts w:hint="eastAsia" w:ascii="宋体" w:hAnsi="宋体" w:cs="宋体"/>
                <w:color w:val="000000"/>
                <w:kern w:val="0"/>
                <w:sz w:val="22"/>
              </w:rPr>
              <w:t>配置</w:t>
            </w:r>
          </w:p>
        </w:tc>
        <w:tc>
          <w:tcPr>
            <w:tcW w:w="715" w:type="dxa"/>
            <w:vAlign w:val="center"/>
          </w:tcPr>
          <w:p>
            <w:pPr>
              <w:spacing w:before="100" w:beforeAutospacing="1" w:after="100" w:afterAutospacing="1"/>
              <w:jc w:val="center"/>
              <w:rPr>
                <w:rFonts w:ascii="宋体" w:hAnsi="宋体"/>
                <w:sz w:val="24"/>
              </w:rPr>
            </w:pPr>
            <w:r>
              <w:rPr>
                <w:rFonts w:hint="eastAsia" w:ascii="宋体" w:hAnsi="宋体"/>
                <w:sz w:val="24"/>
              </w:rPr>
              <w:t>数量</w:t>
            </w:r>
          </w:p>
        </w:tc>
        <w:tc>
          <w:tcPr>
            <w:tcW w:w="1461" w:type="dxa"/>
            <w:vAlign w:val="center"/>
          </w:tcPr>
          <w:p>
            <w:pPr>
              <w:spacing w:before="100" w:beforeAutospacing="1" w:after="100" w:afterAutospacing="1"/>
              <w:jc w:val="center"/>
              <w:rPr>
                <w:rFonts w:ascii="宋体" w:hAnsi="宋体"/>
                <w:sz w:val="24"/>
              </w:rPr>
            </w:pPr>
            <w:r>
              <w:rPr>
                <w:rFonts w:hint="eastAsia" w:ascii="宋体" w:hAnsi="宋体"/>
                <w:sz w:val="24"/>
              </w:rPr>
              <w:t>原产地和</w:t>
            </w:r>
          </w:p>
          <w:p>
            <w:pPr>
              <w:spacing w:before="100" w:beforeAutospacing="1" w:after="100" w:afterAutospacing="1"/>
              <w:jc w:val="center"/>
              <w:rPr>
                <w:rFonts w:ascii="宋体" w:hAnsi="宋体"/>
                <w:sz w:val="24"/>
              </w:rPr>
            </w:pPr>
            <w:r>
              <w:rPr>
                <w:rFonts w:hint="eastAsia" w:ascii="宋体" w:hAnsi="宋体"/>
                <w:sz w:val="24"/>
              </w:rPr>
              <w:t>制造商名称</w:t>
            </w:r>
          </w:p>
        </w:tc>
        <w:tc>
          <w:tcPr>
            <w:tcW w:w="585" w:type="dxa"/>
            <w:vAlign w:val="center"/>
          </w:tcPr>
          <w:p>
            <w:pPr>
              <w:spacing w:before="100" w:beforeAutospacing="1" w:after="100" w:afterAutospacing="1"/>
              <w:jc w:val="center"/>
              <w:rPr>
                <w:rFonts w:ascii="宋体" w:hAnsi="宋体"/>
                <w:sz w:val="24"/>
              </w:rPr>
            </w:pPr>
            <w:r>
              <w:rPr>
                <w:rFonts w:hint="eastAsia" w:ascii="宋体" w:hAnsi="宋体"/>
                <w:sz w:val="24"/>
              </w:rPr>
              <w:t>单价</w:t>
            </w:r>
          </w:p>
        </w:tc>
        <w:tc>
          <w:tcPr>
            <w:tcW w:w="810" w:type="dxa"/>
            <w:vAlign w:val="center"/>
          </w:tcPr>
          <w:p>
            <w:pPr>
              <w:spacing w:before="100" w:beforeAutospacing="1" w:after="100" w:afterAutospacing="1"/>
              <w:jc w:val="center"/>
              <w:rPr>
                <w:rFonts w:ascii="宋体" w:hAnsi="宋体"/>
                <w:sz w:val="24"/>
              </w:rPr>
            </w:pPr>
            <w:r>
              <w:rPr>
                <w:rFonts w:hint="eastAsia" w:ascii="宋体" w:hAnsi="宋体"/>
                <w:sz w:val="24"/>
              </w:rPr>
              <w:t>总价</w:t>
            </w:r>
          </w:p>
        </w:tc>
        <w:tc>
          <w:tcPr>
            <w:tcW w:w="1020" w:type="dxa"/>
            <w:vAlign w:val="center"/>
          </w:tcPr>
          <w:p>
            <w:pPr>
              <w:spacing w:before="100" w:beforeAutospacing="1" w:after="100" w:afterAutospacing="1"/>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5" w:type="dxa"/>
            <w:vAlign w:val="center"/>
          </w:tcPr>
          <w:p>
            <w:pPr>
              <w:numPr>
                <w:ilvl w:val="0"/>
                <w:numId w:val="11"/>
              </w:numPr>
              <w:spacing w:before="100" w:beforeAutospacing="1" w:after="100" w:afterAutospacing="1"/>
              <w:jc w:val="center"/>
              <w:rPr>
                <w:rFonts w:ascii="宋体" w:hAnsi="宋体"/>
                <w:sz w:val="24"/>
              </w:rPr>
            </w:pPr>
          </w:p>
        </w:tc>
        <w:tc>
          <w:tcPr>
            <w:tcW w:w="1717" w:type="dxa"/>
            <w:vAlign w:val="center"/>
          </w:tcPr>
          <w:p>
            <w:pPr>
              <w:spacing w:before="100" w:beforeAutospacing="1" w:after="100" w:afterAutospacing="1"/>
              <w:jc w:val="center"/>
              <w:rPr>
                <w:rFonts w:ascii="宋体" w:hAnsi="宋体"/>
                <w:sz w:val="24"/>
              </w:rPr>
            </w:pPr>
          </w:p>
        </w:tc>
        <w:tc>
          <w:tcPr>
            <w:tcW w:w="1145" w:type="dxa"/>
            <w:vAlign w:val="center"/>
          </w:tcPr>
          <w:p>
            <w:pPr>
              <w:spacing w:before="100" w:beforeAutospacing="1" w:after="100" w:afterAutospacing="1"/>
              <w:jc w:val="center"/>
              <w:rPr>
                <w:rFonts w:ascii="宋体" w:hAnsi="宋体"/>
                <w:sz w:val="24"/>
              </w:rPr>
            </w:pPr>
          </w:p>
        </w:tc>
        <w:tc>
          <w:tcPr>
            <w:tcW w:w="715" w:type="dxa"/>
            <w:vAlign w:val="center"/>
          </w:tcPr>
          <w:p>
            <w:pPr>
              <w:spacing w:before="100" w:beforeAutospacing="1" w:after="100" w:afterAutospacing="1"/>
              <w:jc w:val="center"/>
              <w:rPr>
                <w:rFonts w:ascii="宋体" w:hAnsi="宋体"/>
                <w:sz w:val="24"/>
              </w:rPr>
            </w:pPr>
          </w:p>
        </w:tc>
        <w:tc>
          <w:tcPr>
            <w:tcW w:w="1461" w:type="dxa"/>
            <w:vAlign w:val="center"/>
          </w:tcPr>
          <w:p>
            <w:pPr>
              <w:spacing w:before="100" w:beforeAutospacing="1" w:after="100" w:afterAutospacing="1"/>
              <w:jc w:val="center"/>
              <w:rPr>
                <w:rFonts w:ascii="宋体" w:hAnsi="宋体"/>
                <w:sz w:val="24"/>
              </w:rPr>
            </w:pPr>
          </w:p>
        </w:tc>
        <w:tc>
          <w:tcPr>
            <w:tcW w:w="585" w:type="dxa"/>
            <w:vAlign w:val="center"/>
          </w:tcPr>
          <w:p>
            <w:pPr>
              <w:spacing w:before="100" w:beforeAutospacing="1" w:after="100" w:afterAutospacing="1"/>
              <w:jc w:val="center"/>
              <w:rPr>
                <w:rFonts w:ascii="宋体" w:hAnsi="宋体"/>
                <w:sz w:val="24"/>
              </w:rPr>
            </w:pPr>
          </w:p>
        </w:tc>
        <w:tc>
          <w:tcPr>
            <w:tcW w:w="810" w:type="dxa"/>
            <w:vAlign w:val="center"/>
          </w:tcPr>
          <w:p>
            <w:pPr>
              <w:spacing w:before="100" w:beforeAutospacing="1" w:after="100" w:afterAutospacing="1"/>
              <w:jc w:val="center"/>
              <w:rPr>
                <w:rFonts w:ascii="宋体" w:hAnsi="宋体"/>
                <w:sz w:val="24"/>
              </w:rPr>
            </w:pPr>
          </w:p>
        </w:tc>
        <w:tc>
          <w:tcPr>
            <w:tcW w:w="10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38" w:type="dxa"/>
            <w:gridSpan w:val="6"/>
            <w:vAlign w:val="center"/>
          </w:tcPr>
          <w:p>
            <w:pPr>
              <w:spacing w:before="100" w:beforeAutospacing="1" w:after="100" w:afterAutospacing="1"/>
              <w:jc w:val="center"/>
              <w:rPr>
                <w:rFonts w:ascii="宋体" w:hAnsi="宋体"/>
                <w:sz w:val="24"/>
              </w:rPr>
            </w:pPr>
            <w:r>
              <w:rPr>
                <w:rFonts w:hint="eastAsia" w:ascii="宋体" w:hAnsi="宋体"/>
                <w:sz w:val="24"/>
              </w:rPr>
              <w:t>总价</w:t>
            </w:r>
          </w:p>
        </w:tc>
        <w:tc>
          <w:tcPr>
            <w:tcW w:w="1830" w:type="dxa"/>
            <w:gridSpan w:val="2"/>
            <w:vAlign w:val="center"/>
          </w:tcPr>
          <w:p>
            <w:pPr>
              <w:spacing w:before="100" w:beforeAutospacing="1" w:after="100" w:afterAutospacing="1"/>
              <w:jc w:val="center"/>
              <w:rPr>
                <w:rFonts w:ascii="宋体" w:hAnsi="宋体"/>
                <w:sz w:val="24"/>
              </w:rPr>
            </w:pPr>
          </w:p>
        </w:tc>
      </w:tr>
    </w:tbl>
    <w:p/>
    <w:p/>
    <w:p>
      <w:r>
        <w:rPr>
          <w:rFonts w:hint="eastAsia"/>
        </w:rPr>
        <w:t>投标人代表签字：</w:t>
      </w:r>
    </w:p>
    <w:p>
      <w:r>
        <w:rPr>
          <w:rFonts w:hint="eastAsia"/>
        </w:rPr>
        <w:t>投标人盖章：</w:t>
      </w:r>
    </w:p>
    <w:p/>
    <w:p>
      <w:r>
        <w:rPr>
          <w:rFonts w:hint="eastAsia"/>
        </w:rPr>
        <w:t>注：1、上述各项的详细分项报价，应另页描述。</w:t>
      </w:r>
    </w:p>
    <w:p>
      <w:pPr>
        <w:ind w:left="718" w:leftChars="200" w:hanging="298" w:hangingChars="142"/>
      </w:pPr>
      <w:r>
        <w:rPr>
          <w:rFonts w:hint="eastAsia"/>
        </w:rPr>
        <w:t>2、详细分项报价必须提供相应的品牌、规格型号、产地、单价、数量、小计、合计等详细信息。</w:t>
      </w:r>
    </w:p>
    <w:p/>
    <w:p>
      <w:pPr>
        <w:rPr>
          <w:rFonts w:ascii="楷体_GB2312" w:eastAsia="楷体_GB2312"/>
          <w:sz w:val="24"/>
        </w:rPr>
      </w:pPr>
      <w:r>
        <w:br w:type="page"/>
      </w:r>
      <w:r>
        <w:rPr>
          <w:rFonts w:hint="eastAsia" w:ascii="楷体_GB2312" w:eastAsia="楷体_GB2312"/>
          <w:sz w:val="24"/>
        </w:rPr>
        <w:t>附件4. 技术方案格式</w:t>
      </w:r>
    </w:p>
    <w:p/>
    <w:p>
      <w:pPr>
        <w:jc w:val="center"/>
        <w:rPr>
          <w:rFonts w:ascii="黑体" w:eastAsia="黑体"/>
          <w:sz w:val="32"/>
          <w:szCs w:val="32"/>
        </w:rPr>
      </w:pPr>
      <w:r>
        <w:rPr>
          <w:rFonts w:hint="eastAsia" w:ascii="黑体" w:eastAsia="黑体"/>
          <w:sz w:val="32"/>
          <w:szCs w:val="32"/>
        </w:rPr>
        <w:t>技术方案</w:t>
      </w:r>
    </w:p>
    <w:p/>
    <w:p>
      <w:pPr>
        <w:ind w:firstLine="420" w:firstLineChars="200"/>
      </w:pPr>
      <w:r>
        <w:rPr>
          <w:rFonts w:hint="eastAsia"/>
        </w:rPr>
        <w:t>一、需求分析。</w:t>
      </w:r>
    </w:p>
    <w:p>
      <w:pPr>
        <w:ind w:firstLine="420" w:firstLineChars="200"/>
      </w:pPr>
      <w:r>
        <w:rPr>
          <w:rFonts w:hint="eastAsia"/>
        </w:rPr>
        <w:t>二、技术说明资料。</w:t>
      </w:r>
    </w:p>
    <w:p>
      <w:pPr>
        <w:ind w:firstLine="420" w:firstLineChars="200"/>
      </w:pPr>
      <w:r>
        <w:rPr>
          <w:rFonts w:hint="eastAsia"/>
        </w:rPr>
        <w:t>本部分内容是投标人根据招标技术需求对其投标技术方案的详细描述，主要包括资源技术说明一览表（附件4－1)及各项资源详细技术性能文件、检验报告（如有需要）等。</w:t>
      </w:r>
    </w:p>
    <w:p>
      <w:pPr>
        <w:ind w:firstLine="420" w:firstLineChars="200"/>
      </w:pPr>
      <w:r>
        <w:rPr>
          <w:rFonts w:hint="eastAsia"/>
        </w:rPr>
        <w:t>三、方案及进度安排。</w:t>
      </w:r>
    </w:p>
    <w:p>
      <w:pPr>
        <w:ind w:firstLine="420" w:firstLineChars="200"/>
      </w:pPr>
      <w:r>
        <w:rPr>
          <w:rFonts w:hint="eastAsia"/>
        </w:rPr>
        <w:t>四、实施本项目的有关人员资料表（附件4－2)。</w:t>
      </w:r>
    </w:p>
    <w:p>
      <w:pPr>
        <w:ind w:firstLine="420" w:firstLineChars="200"/>
        <w:rPr>
          <w:bCs/>
        </w:rPr>
      </w:pPr>
      <w:r>
        <w:rPr>
          <w:rFonts w:hint="eastAsia"/>
        </w:rPr>
        <w:t>五</w:t>
      </w:r>
      <w:r>
        <w:rPr>
          <w:rFonts w:hint="eastAsia"/>
          <w:bCs/>
        </w:rPr>
        <w:t>、提供</w:t>
      </w:r>
      <w:r>
        <w:rPr>
          <w:rFonts w:hint="eastAsia"/>
        </w:rPr>
        <w:t>资源</w:t>
      </w:r>
      <w:r>
        <w:rPr>
          <w:rFonts w:hint="eastAsia"/>
          <w:bCs/>
        </w:rPr>
        <w:t>清单。</w:t>
      </w:r>
    </w:p>
    <w:p>
      <w:pPr>
        <w:ind w:firstLine="420" w:firstLineChars="200"/>
        <w:rPr>
          <w:bCs/>
        </w:rPr>
      </w:pPr>
      <w:r>
        <w:rPr>
          <w:rFonts w:hint="eastAsia"/>
        </w:rPr>
        <w:t>六、招标文件“用户需求书”中要求的其他资料。</w:t>
      </w:r>
    </w:p>
    <w:p>
      <w:pPr>
        <w:ind w:firstLine="420" w:firstLineChars="200"/>
      </w:pPr>
      <w:r>
        <w:rPr>
          <w:rFonts w:hint="eastAsia"/>
          <w:bCs/>
        </w:rPr>
        <w:t>七、其他与技术方案有关的资料。</w:t>
      </w:r>
    </w:p>
    <w:p/>
    <w:p>
      <w:r>
        <w:rPr>
          <w:rFonts w:ascii="楷体_GB2312" w:eastAsia="楷体_GB2312"/>
          <w:sz w:val="24"/>
        </w:rPr>
        <w:br w:type="page"/>
      </w:r>
    </w:p>
    <w:p/>
    <w:p>
      <w:pPr>
        <w:rPr>
          <w:rFonts w:ascii="楷体_GB2312" w:eastAsia="楷体_GB2312"/>
          <w:sz w:val="24"/>
        </w:rPr>
      </w:pPr>
      <w:r>
        <w:rPr>
          <w:rFonts w:hint="eastAsia" w:ascii="楷体_GB2312" w:eastAsia="楷体_GB2312"/>
          <w:sz w:val="24"/>
        </w:rPr>
        <w:t>附件4－1.实施本项目的有关人员资料表格式</w:t>
      </w:r>
    </w:p>
    <w:p/>
    <w:p>
      <w:pPr>
        <w:jc w:val="center"/>
        <w:rPr>
          <w:rFonts w:ascii="黑体" w:eastAsia="黑体"/>
          <w:sz w:val="28"/>
          <w:szCs w:val="28"/>
        </w:rPr>
      </w:pPr>
      <w:r>
        <w:rPr>
          <w:rFonts w:hint="eastAsia" w:ascii="黑体" w:eastAsia="黑体"/>
          <w:sz w:val="28"/>
          <w:szCs w:val="28"/>
        </w:rPr>
        <w:t>实施本项目的有关人员资料表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084"/>
        <w:gridCol w:w="886"/>
        <w:gridCol w:w="134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80" w:type="dxa"/>
            <w:vMerge w:val="restart"/>
            <w:vAlign w:val="center"/>
          </w:tcPr>
          <w:p>
            <w:pPr>
              <w:jc w:val="center"/>
            </w:pPr>
            <w:r>
              <w:rPr>
                <w:rFonts w:hint="eastAsia"/>
              </w:rPr>
              <w:t>序号</w:t>
            </w:r>
          </w:p>
        </w:tc>
        <w:tc>
          <w:tcPr>
            <w:tcW w:w="834" w:type="dxa"/>
            <w:vMerge w:val="restart"/>
            <w:vAlign w:val="center"/>
          </w:tcPr>
          <w:p>
            <w:pPr>
              <w:jc w:val="center"/>
            </w:pPr>
            <w:r>
              <w:rPr>
                <w:rFonts w:hint="eastAsia"/>
              </w:rPr>
              <w:t>姓名</w:t>
            </w:r>
          </w:p>
        </w:tc>
        <w:tc>
          <w:tcPr>
            <w:tcW w:w="835" w:type="dxa"/>
            <w:vMerge w:val="restart"/>
            <w:vAlign w:val="center"/>
          </w:tcPr>
          <w:p>
            <w:pPr>
              <w:jc w:val="center"/>
            </w:pPr>
            <w:r>
              <w:rPr>
                <w:rFonts w:hint="eastAsia"/>
              </w:rPr>
              <w:t>职务</w:t>
            </w:r>
          </w:p>
        </w:tc>
        <w:tc>
          <w:tcPr>
            <w:tcW w:w="818" w:type="dxa"/>
            <w:vMerge w:val="restart"/>
            <w:vAlign w:val="center"/>
          </w:tcPr>
          <w:p>
            <w:pPr>
              <w:jc w:val="center"/>
            </w:pPr>
            <w:r>
              <w:rPr>
                <w:rFonts w:hint="eastAsia"/>
              </w:rPr>
              <w:t>学历</w:t>
            </w:r>
          </w:p>
        </w:tc>
        <w:tc>
          <w:tcPr>
            <w:tcW w:w="835" w:type="dxa"/>
            <w:vMerge w:val="restart"/>
            <w:vAlign w:val="center"/>
          </w:tcPr>
          <w:p>
            <w:pPr>
              <w:jc w:val="center"/>
            </w:pPr>
            <w:r>
              <w:rPr>
                <w:rFonts w:hint="eastAsia"/>
              </w:rPr>
              <w:t>职称</w:t>
            </w:r>
          </w:p>
        </w:tc>
        <w:tc>
          <w:tcPr>
            <w:tcW w:w="4708" w:type="dxa"/>
            <w:gridSpan w:val="4"/>
            <w:vAlign w:val="center"/>
          </w:tcPr>
          <w:p>
            <w:pPr>
              <w:jc w:val="center"/>
            </w:pPr>
            <w:r>
              <w:rPr>
                <w:rFonts w:hint="eastAsia"/>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vAlign w:val="center"/>
          </w:tcPr>
          <w:p>
            <w:pPr>
              <w:jc w:val="center"/>
            </w:pPr>
          </w:p>
        </w:tc>
        <w:tc>
          <w:tcPr>
            <w:tcW w:w="834" w:type="dxa"/>
            <w:vMerge w:val="continue"/>
            <w:vAlign w:val="center"/>
          </w:tcPr>
          <w:p>
            <w:pPr>
              <w:jc w:val="center"/>
            </w:pPr>
          </w:p>
        </w:tc>
        <w:tc>
          <w:tcPr>
            <w:tcW w:w="835" w:type="dxa"/>
            <w:vMerge w:val="continue"/>
            <w:vAlign w:val="center"/>
          </w:tcPr>
          <w:p>
            <w:pPr>
              <w:jc w:val="center"/>
            </w:pPr>
          </w:p>
        </w:tc>
        <w:tc>
          <w:tcPr>
            <w:tcW w:w="818" w:type="dxa"/>
            <w:vMerge w:val="continue"/>
            <w:vAlign w:val="center"/>
          </w:tcPr>
          <w:p>
            <w:pPr>
              <w:jc w:val="center"/>
            </w:pPr>
          </w:p>
        </w:tc>
        <w:tc>
          <w:tcPr>
            <w:tcW w:w="835" w:type="dxa"/>
            <w:vMerge w:val="continue"/>
            <w:vAlign w:val="center"/>
          </w:tcPr>
          <w:p>
            <w:pPr>
              <w:jc w:val="center"/>
            </w:pPr>
          </w:p>
        </w:tc>
        <w:tc>
          <w:tcPr>
            <w:tcW w:w="1084" w:type="dxa"/>
            <w:vAlign w:val="center"/>
          </w:tcPr>
          <w:p>
            <w:pPr>
              <w:jc w:val="center"/>
            </w:pPr>
            <w:r>
              <w:rPr>
                <w:rFonts w:hint="eastAsia"/>
              </w:rPr>
              <w:t>证书名称</w:t>
            </w:r>
          </w:p>
        </w:tc>
        <w:tc>
          <w:tcPr>
            <w:tcW w:w="886" w:type="dxa"/>
            <w:vAlign w:val="center"/>
          </w:tcPr>
          <w:p>
            <w:pPr>
              <w:jc w:val="center"/>
            </w:pPr>
            <w:r>
              <w:rPr>
                <w:rFonts w:hint="eastAsia"/>
              </w:rPr>
              <w:t>级别</w:t>
            </w:r>
          </w:p>
        </w:tc>
        <w:tc>
          <w:tcPr>
            <w:tcW w:w="1346" w:type="dxa"/>
            <w:vAlign w:val="center"/>
          </w:tcPr>
          <w:p>
            <w:pPr>
              <w:jc w:val="center"/>
            </w:pPr>
            <w:r>
              <w:rPr>
                <w:rFonts w:hint="eastAsia"/>
              </w:rPr>
              <w:t>证号</w:t>
            </w:r>
          </w:p>
        </w:tc>
        <w:tc>
          <w:tcPr>
            <w:tcW w:w="1392" w:type="dxa"/>
            <w:vAlign w:val="center"/>
          </w:tcPr>
          <w:p>
            <w:pPr>
              <w:jc w:val="center"/>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bl>
    <w:p>
      <w:r>
        <w:rPr>
          <w:rFonts w:hint="eastAsia"/>
        </w:rPr>
        <w:t>附有关个人资格证书、上岗证书等证明文件（复印件加盖公章）</w:t>
      </w:r>
    </w:p>
    <w:p/>
    <w:p>
      <w:r>
        <w:rPr>
          <w:rFonts w:hint="eastAsia"/>
        </w:rPr>
        <w:t>投标人代表签字：</w:t>
      </w:r>
    </w:p>
    <w:p>
      <w:r>
        <w:rPr>
          <w:rFonts w:hint="eastAsia"/>
        </w:rPr>
        <w:t>投标人盖章：</w:t>
      </w:r>
    </w:p>
    <w:p/>
    <w:p/>
    <w:p>
      <w:pPr>
        <w:rPr>
          <w:rStyle w:val="36"/>
        </w:rPr>
      </w:pPr>
      <w:r>
        <w:br w:type="page"/>
      </w:r>
      <w:r>
        <w:rPr>
          <w:rFonts w:hint="eastAsia" w:ascii="楷体_GB2312" w:eastAsia="楷体_GB2312"/>
          <w:sz w:val="24"/>
        </w:rPr>
        <w:t>附件5.售后服务方案格式</w:t>
      </w:r>
    </w:p>
    <w:p>
      <w:pPr>
        <w:pStyle w:val="12"/>
        <w:adjustRightInd w:val="0"/>
        <w:snapToGrid w:val="0"/>
        <w:spacing w:line="312" w:lineRule="auto"/>
        <w:rPr>
          <w:rFonts w:ascii="Times New Roman" w:hAnsi="Times New Roman"/>
          <w:sz w:val="21"/>
        </w:rPr>
      </w:pPr>
    </w:p>
    <w:p>
      <w:pPr>
        <w:jc w:val="center"/>
        <w:rPr>
          <w:rFonts w:ascii="黑体" w:eastAsia="黑体"/>
          <w:sz w:val="32"/>
          <w:szCs w:val="32"/>
        </w:rPr>
      </w:pPr>
      <w:r>
        <w:rPr>
          <w:rFonts w:hint="eastAsia" w:ascii="黑体" w:eastAsia="黑体"/>
          <w:sz w:val="32"/>
          <w:szCs w:val="32"/>
        </w:rPr>
        <w:t>售后服务方案</w:t>
      </w:r>
    </w:p>
    <w:p>
      <w:pPr>
        <w:jc w:val="center"/>
      </w:pPr>
    </w:p>
    <w:p>
      <w:r>
        <w:rPr>
          <w:rFonts w:hint="eastAsia"/>
        </w:rPr>
        <w:t>一、售后服务部门的人员配备、技术力量</w:t>
      </w:r>
    </w:p>
    <w:p>
      <w:r>
        <w:rPr>
          <w:rFonts w:hint="eastAsia"/>
        </w:rPr>
        <w:t>二、技术培训方案</w:t>
      </w:r>
    </w:p>
    <w:p>
      <w:r>
        <w:rPr>
          <w:rFonts w:hint="eastAsia"/>
        </w:rPr>
        <w:t>三、技术支持计划</w:t>
      </w:r>
    </w:p>
    <w:p>
      <w:r>
        <w:rPr>
          <w:rFonts w:hint="eastAsia"/>
        </w:rPr>
        <w:t>四、故障响应时间</w:t>
      </w:r>
    </w:p>
    <w:p>
      <w:pPr>
        <w:rPr>
          <w:snapToGrid w:val="0"/>
          <w:kern w:val="0"/>
        </w:rPr>
      </w:pPr>
      <w:r>
        <w:rPr>
          <w:rFonts w:hint="eastAsia"/>
        </w:rPr>
        <w:t>五、其他</w:t>
      </w:r>
    </w:p>
    <w:p>
      <w:pPr>
        <w:adjustRightInd w:val="0"/>
        <w:snapToGrid w:val="0"/>
        <w:spacing w:line="360" w:lineRule="auto"/>
        <w:rPr>
          <w:snapToGrid w:val="0"/>
          <w:kern w:val="0"/>
        </w:rPr>
      </w:pPr>
    </w:p>
    <w:p>
      <w:pPr>
        <w:adjustRightInd w:val="0"/>
        <w:snapToGrid w:val="0"/>
        <w:spacing w:line="360" w:lineRule="auto"/>
        <w:rPr>
          <w:snapToGrid w:val="0"/>
          <w:kern w:val="0"/>
        </w:rPr>
      </w:pPr>
    </w:p>
    <w:p>
      <w:r>
        <w:rPr>
          <w:rFonts w:hint="eastAsia"/>
        </w:rPr>
        <w:t>投标人代表签字：</w:t>
      </w:r>
    </w:p>
    <w:p>
      <w:r>
        <w:rPr>
          <w:rFonts w:hint="eastAsia"/>
        </w:rPr>
        <w:t>投标人盖章：</w:t>
      </w:r>
    </w:p>
    <w:p/>
    <w:p>
      <w:r>
        <w:br w:type="page"/>
      </w:r>
      <w:r>
        <w:rPr>
          <w:rFonts w:hint="eastAsia" w:ascii="楷体_GB2312" w:eastAsia="楷体_GB2312"/>
          <w:sz w:val="24"/>
        </w:rPr>
        <w:t>附件6. 技术规格偏离表格式</w:t>
      </w:r>
    </w:p>
    <w:p/>
    <w:p>
      <w:pPr>
        <w:jc w:val="center"/>
        <w:rPr>
          <w:rFonts w:ascii="黑体" w:eastAsia="黑体"/>
          <w:sz w:val="32"/>
          <w:szCs w:val="32"/>
        </w:rPr>
      </w:pPr>
      <w:r>
        <w:rPr>
          <w:rFonts w:hint="eastAsia" w:ascii="黑体" w:eastAsia="黑体"/>
          <w:sz w:val="32"/>
          <w:szCs w:val="32"/>
        </w:rPr>
        <w:t>技术规格偏离表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r>
              <w:rPr>
                <w:rFonts w:hint="eastAsia"/>
              </w:rPr>
              <w:t>序号</w:t>
            </w:r>
          </w:p>
        </w:tc>
        <w:tc>
          <w:tcPr>
            <w:tcW w:w="1884" w:type="dxa"/>
            <w:vAlign w:val="center"/>
          </w:tcPr>
          <w:p>
            <w:pPr>
              <w:jc w:val="center"/>
            </w:pPr>
            <w:r>
              <w:rPr>
                <w:rFonts w:hint="eastAsia"/>
              </w:rPr>
              <w:t>技术要求</w:t>
            </w:r>
          </w:p>
        </w:tc>
        <w:tc>
          <w:tcPr>
            <w:tcW w:w="1484" w:type="dxa"/>
            <w:vAlign w:val="center"/>
          </w:tcPr>
          <w:p>
            <w:pPr>
              <w:jc w:val="center"/>
            </w:pPr>
            <w:r>
              <w:rPr>
                <w:rFonts w:hint="eastAsia"/>
              </w:rPr>
              <w:t>偏离</w:t>
            </w:r>
          </w:p>
        </w:tc>
        <w:tc>
          <w:tcPr>
            <w:tcW w:w="1530"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bl>
    <w:p/>
    <w:p>
      <w:r>
        <w:rPr>
          <w:rFonts w:hint="eastAsia"/>
        </w:rPr>
        <w:t>投标人代表签字：</w:t>
      </w:r>
    </w:p>
    <w:p>
      <w:r>
        <w:rPr>
          <w:rFonts w:hint="eastAsia"/>
        </w:rPr>
        <w:t>投标人盖章：</w:t>
      </w:r>
    </w:p>
    <w:p/>
    <w:p>
      <w:r>
        <w:rPr>
          <w:rFonts w:hint="eastAsia"/>
        </w:rPr>
        <w:t>注：1、偏离项中填写“正”、“负”或“无”，说明项中填写原因。</w:t>
      </w:r>
    </w:p>
    <w:p>
      <w:pPr>
        <w:ind w:left="718" w:leftChars="200" w:hanging="298" w:hangingChars="142"/>
      </w:pPr>
      <w:r>
        <w:rPr>
          <w:rFonts w:hint="eastAsia"/>
        </w:rPr>
        <w:t>2、投标人应对照招标文件技术规格，说明所提供货物和服务已对招标文件的技术规格做出了实质性的响应，并申明与技术规格条文的偏差和例外。特别对有具体参数要求的指标，投标人必须提供所投设备的具体参数值。</w:t>
      </w:r>
    </w:p>
    <w:p>
      <w:r>
        <w:br w:type="page"/>
      </w:r>
      <w:r>
        <w:rPr>
          <w:rFonts w:hint="eastAsia" w:ascii="楷体_GB2312" w:eastAsia="楷体_GB2312"/>
          <w:sz w:val="24"/>
        </w:rPr>
        <w:t>附件7. 商务条款偏离表格式</w:t>
      </w:r>
    </w:p>
    <w:p/>
    <w:p>
      <w:pPr>
        <w:jc w:val="center"/>
        <w:rPr>
          <w:rFonts w:ascii="黑体" w:eastAsia="黑体"/>
          <w:sz w:val="32"/>
          <w:szCs w:val="32"/>
        </w:rPr>
      </w:pPr>
      <w:r>
        <w:rPr>
          <w:rFonts w:hint="eastAsia" w:ascii="黑体" w:eastAsia="黑体"/>
          <w:sz w:val="32"/>
          <w:szCs w:val="32"/>
        </w:rPr>
        <w:t>商务条款偏离表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7"/>
        <w:gridCol w:w="1942"/>
        <w:gridCol w:w="145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r>
              <w:rPr>
                <w:rFonts w:hint="eastAsia"/>
              </w:rPr>
              <w:t>序号</w:t>
            </w:r>
          </w:p>
        </w:tc>
        <w:tc>
          <w:tcPr>
            <w:tcW w:w="2837" w:type="dxa"/>
            <w:vAlign w:val="center"/>
          </w:tcPr>
          <w:p>
            <w:pPr>
              <w:jc w:val="center"/>
            </w:pPr>
            <w:r>
              <w:rPr>
                <w:rFonts w:hint="eastAsia"/>
              </w:rPr>
              <w:t>招标文件商务条款</w:t>
            </w:r>
          </w:p>
        </w:tc>
        <w:tc>
          <w:tcPr>
            <w:tcW w:w="1942" w:type="dxa"/>
            <w:vAlign w:val="center"/>
          </w:tcPr>
          <w:p>
            <w:pPr>
              <w:jc w:val="center"/>
            </w:pPr>
            <w:r>
              <w:rPr>
                <w:rFonts w:hint="eastAsia"/>
              </w:rPr>
              <w:t>投标文件商务条款</w:t>
            </w:r>
          </w:p>
        </w:tc>
        <w:tc>
          <w:tcPr>
            <w:tcW w:w="1451" w:type="dxa"/>
          </w:tcPr>
          <w:p>
            <w:pPr>
              <w:jc w:val="center"/>
            </w:pPr>
            <w:r>
              <w:rPr>
                <w:rFonts w:hint="eastAsia"/>
              </w:rPr>
              <w:t>偏离</w:t>
            </w:r>
          </w:p>
        </w:tc>
        <w:tc>
          <w:tcPr>
            <w:tcW w:w="144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bl>
    <w:p/>
    <w:p/>
    <w:p>
      <w:r>
        <w:rPr>
          <w:rFonts w:hint="eastAsia"/>
        </w:rPr>
        <w:t>投标人代表签字：</w:t>
      </w:r>
    </w:p>
    <w:p>
      <w:r>
        <w:rPr>
          <w:rFonts w:hint="eastAsia"/>
        </w:rPr>
        <w:t>投标人盖章：</w:t>
      </w:r>
    </w:p>
    <w:p/>
    <w:p/>
    <w:p>
      <w:pPr>
        <w:ind w:left="718" w:hanging="718" w:hangingChars="342"/>
      </w:pPr>
      <w:r>
        <w:rPr>
          <w:rFonts w:hint="eastAsia"/>
        </w:rPr>
        <w:t>注：1、投标人应对照招标文件商务要求，说明已对招标文件的商务内容做出了实质性的响应，并申明与招标文件的偏差和例外。</w:t>
      </w:r>
    </w:p>
    <w:p>
      <w:pPr>
        <w:ind w:left="719" w:leftChars="170" w:hanging="362"/>
      </w:pPr>
      <w:r>
        <w:rPr>
          <w:rFonts w:hint="eastAsia"/>
        </w:rPr>
        <w:t>2、商务条款包括但不限于合格投标人条件、交货期（完工期)、付款方式、履约保证金、货物安装调试、售后服务、检验及验收、产品配送地点、质保期、保险、争端的解决等要求。</w:t>
      </w:r>
    </w:p>
    <w:p/>
    <w:p>
      <w:r>
        <w:br w:type="page"/>
      </w:r>
      <w:r>
        <w:rPr>
          <w:rFonts w:hint="eastAsia" w:ascii="楷体_GB2312" w:eastAsia="楷体_GB2312"/>
          <w:sz w:val="24"/>
        </w:rPr>
        <w:t>附件8. 资格证明文件格式</w:t>
      </w:r>
    </w:p>
    <w:p/>
    <w:p>
      <w:pPr>
        <w:jc w:val="center"/>
        <w:rPr>
          <w:rFonts w:ascii="黑体" w:eastAsia="黑体"/>
          <w:sz w:val="24"/>
        </w:rPr>
      </w:pPr>
      <w:r>
        <w:rPr>
          <w:rFonts w:hint="eastAsia" w:ascii="黑体" w:eastAsia="黑体"/>
          <w:sz w:val="24"/>
        </w:rPr>
        <w:t>目　录</w:t>
      </w:r>
    </w:p>
    <w:p/>
    <w:p>
      <w:r>
        <w:rPr>
          <w:rFonts w:hint="eastAsia"/>
        </w:rPr>
        <w:t>一、关于资格的声明函（附件8-1）</w:t>
      </w:r>
    </w:p>
    <w:p>
      <w:r>
        <w:rPr>
          <w:rFonts w:hint="eastAsia"/>
        </w:rPr>
        <w:t>二、法定代表人证明书（附件8-2）</w:t>
      </w:r>
    </w:p>
    <w:p>
      <w:r>
        <w:rPr>
          <w:rFonts w:hint="eastAsia"/>
        </w:rPr>
        <w:t>三、法定代表人授权书（附件8-3）</w:t>
      </w:r>
    </w:p>
    <w:p>
      <w:r>
        <w:rPr>
          <w:rFonts w:hint="eastAsia"/>
        </w:rPr>
        <w:t>四、</w:t>
      </w:r>
      <w:r>
        <w:t>营业执照副本</w:t>
      </w:r>
      <w:r>
        <w:rPr>
          <w:rFonts w:hint="eastAsia"/>
        </w:rPr>
        <w:t>、税务登记证及投标资料表要求的有关资质证书</w:t>
      </w:r>
    </w:p>
    <w:p>
      <w:r>
        <w:rPr>
          <w:rFonts w:hint="eastAsia"/>
        </w:rPr>
        <w:t>五、经营业绩证明材料（附件8-4）</w:t>
      </w:r>
    </w:p>
    <w:p>
      <w:r>
        <w:rPr>
          <w:rFonts w:hint="eastAsia"/>
        </w:rPr>
        <w:t>六、招标文件要求的其他资格证明材料</w:t>
      </w:r>
    </w:p>
    <w:p/>
    <w:p/>
    <w:p>
      <w:r>
        <w:rPr>
          <w:rFonts w:hint="eastAsia"/>
        </w:rPr>
        <w:t>注：1、资格证明文件中属复印件的须加盖投标单位公章。</w:t>
      </w:r>
    </w:p>
    <w:p>
      <w:pPr>
        <w:ind w:firstLine="422" w:firstLineChars="200"/>
        <w:rPr>
          <w:b/>
        </w:rPr>
      </w:pPr>
      <w:r>
        <w:rPr>
          <w:rFonts w:hint="eastAsia"/>
          <w:b/>
        </w:rPr>
        <w:t>2、温馨提示：请投标人仔细核对投标文件，确认已按招标文件要求递交了全部证明材料。</w:t>
      </w:r>
    </w:p>
    <w:p>
      <w:r>
        <w:br w:type="page"/>
      </w:r>
      <w:r>
        <w:rPr>
          <w:rFonts w:hint="eastAsia" w:ascii="楷体_GB2312" w:eastAsia="楷体_GB2312"/>
          <w:sz w:val="24"/>
        </w:rPr>
        <w:t>附件8-1 资格声明格式　</w:t>
      </w:r>
    </w:p>
    <w:p/>
    <w:p>
      <w:pPr>
        <w:jc w:val="center"/>
        <w:rPr>
          <w:rFonts w:ascii="黑体" w:eastAsia="黑体"/>
          <w:sz w:val="28"/>
          <w:szCs w:val="28"/>
        </w:rPr>
      </w:pPr>
      <w:r>
        <w:rPr>
          <w:rFonts w:hint="eastAsia" w:ascii="黑体" w:eastAsia="黑体"/>
          <w:sz w:val="28"/>
          <w:szCs w:val="28"/>
        </w:rPr>
        <w:t>关于资格的声明函</w:t>
      </w:r>
    </w:p>
    <w:p/>
    <w:p>
      <w:pPr>
        <w:jc w:val="left"/>
        <w:rPr>
          <w:b/>
          <w:sz w:val="28"/>
          <w:szCs w:val="28"/>
        </w:rPr>
      </w:pPr>
      <w:r>
        <w:rPr>
          <w:rFonts w:hint="eastAsia"/>
        </w:rPr>
        <w:t>致：深圳市设计之都运营发展有限公司</w:t>
      </w:r>
    </w:p>
    <w:p/>
    <w:p/>
    <w:p>
      <w:pPr>
        <w:ind w:firstLine="420" w:firstLineChars="200"/>
      </w:pPr>
      <w:r>
        <w:rPr>
          <w:rFonts w:hint="eastAsia"/>
        </w:rPr>
        <w:t>为响应你方</w:t>
      </w:r>
      <w:r>
        <w:rPr>
          <w:rFonts w:hint="eastAsia"/>
          <w:i/>
          <w:u w:val="single"/>
        </w:rPr>
        <w:t>（项目名称）（招标编号）</w:t>
      </w:r>
      <w:r>
        <w:rPr>
          <w:rFonts w:hint="eastAsia"/>
        </w:rPr>
        <w:t>投标邀请，下述签字人愿参与投标，提供招标文件规定的货物及服务，提交下述文件并声明全部说明是真实的和正确的。</w:t>
      </w:r>
    </w:p>
    <w:p>
      <w:pPr>
        <w:ind w:firstLine="420" w:firstLineChars="200"/>
      </w:pPr>
      <w:r>
        <w:rPr>
          <w:rFonts w:hint="eastAsia"/>
        </w:rPr>
        <w:t>1、我方投标代表的授权文件一份。</w:t>
      </w:r>
    </w:p>
    <w:p>
      <w:pPr>
        <w:ind w:firstLine="420" w:firstLineChars="200"/>
      </w:pPr>
      <w:r>
        <w:rPr>
          <w:rFonts w:hint="eastAsia"/>
        </w:rPr>
        <w:t>2、</w:t>
      </w:r>
      <w:r>
        <w:t>我</w:t>
      </w:r>
      <w:r>
        <w:rPr>
          <w:rFonts w:hint="eastAsia"/>
        </w:rPr>
        <w:t>方</w:t>
      </w:r>
      <w:r>
        <w:t>营业执照副本</w:t>
      </w:r>
      <w:r>
        <w:rPr>
          <w:rFonts w:hint="eastAsia"/>
        </w:rPr>
        <w:t>及资质证书</w:t>
      </w:r>
      <w:r>
        <w:t>复印件（加盖公章)</w:t>
      </w:r>
      <w:r>
        <w:rPr>
          <w:rFonts w:hint="eastAsia"/>
        </w:rPr>
        <w:t>份，共页。</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r>
              <w:rPr>
                <w:rFonts w:hint="eastAsia"/>
              </w:rPr>
              <w:t>序号</w:t>
            </w:r>
          </w:p>
        </w:tc>
        <w:tc>
          <w:tcPr>
            <w:tcW w:w="1800" w:type="dxa"/>
            <w:tcBorders>
              <w:top w:val="single" w:color="auto" w:sz="6" w:space="0"/>
              <w:left w:val="single" w:color="auto" w:sz="6" w:space="0"/>
              <w:bottom w:val="single" w:color="auto" w:sz="6" w:space="0"/>
              <w:right w:val="single" w:color="auto" w:sz="6" w:space="0"/>
            </w:tcBorders>
          </w:tcPr>
          <w:p>
            <w:pPr>
              <w:jc w:val="center"/>
            </w:pPr>
            <w:r>
              <w:rPr>
                <w:rFonts w:hint="eastAsia"/>
              </w:rPr>
              <w:t>证书名称</w:t>
            </w:r>
          </w:p>
        </w:tc>
        <w:tc>
          <w:tcPr>
            <w:tcW w:w="1440" w:type="dxa"/>
            <w:tcBorders>
              <w:top w:val="single" w:color="auto" w:sz="6" w:space="0"/>
              <w:left w:val="single" w:color="auto" w:sz="6" w:space="0"/>
              <w:bottom w:val="single" w:color="auto" w:sz="6" w:space="0"/>
              <w:right w:val="single" w:color="auto" w:sz="6" w:space="0"/>
            </w:tcBorders>
          </w:tcPr>
          <w:p>
            <w:pPr>
              <w:jc w:val="center"/>
            </w:pPr>
            <w:r>
              <w:rPr>
                <w:rFonts w:hint="eastAsia"/>
              </w:rPr>
              <w:t>发证机构</w:t>
            </w:r>
          </w:p>
        </w:tc>
        <w:tc>
          <w:tcPr>
            <w:tcW w:w="1260" w:type="dxa"/>
            <w:tcBorders>
              <w:top w:val="single" w:color="auto" w:sz="6" w:space="0"/>
              <w:left w:val="single" w:color="auto" w:sz="6" w:space="0"/>
              <w:bottom w:val="single" w:color="auto" w:sz="6" w:space="0"/>
              <w:right w:val="single" w:color="auto" w:sz="6" w:space="0"/>
            </w:tcBorders>
          </w:tcPr>
          <w:p>
            <w:pPr>
              <w:jc w:val="center"/>
            </w:pPr>
            <w:r>
              <w:rPr>
                <w:rFonts w:hint="eastAsia"/>
              </w:rPr>
              <w:t>证书等级</w:t>
            </w:r>
          </w:p>
        </w:tc>
        <w:tc>
          <w:tcPr>
            <w:tcW w:w="1401" w:type="dxa"/>
            <w:tcBorders>
              <w:top w:val="single" w:color="auto" w:sz="6" w:space="0"/>
              <w:left w:val="single" w:color="auto" w:sz="6" w:space="0"/>
              <w:bottom w:val="single" w:color="auto" w:sz="6" w:space="0"/>
              <w:right w:val="single" w:color="auto" w:sz="6" w:space="0"/>
            </w:tcBorders>
          </w:tcPr>
          <w:p>
            <w:pPr>
              <w:jc w:val="center"/>
            </w:pPr>
            <w:r>
              <w:rPr>
                <w:rFonts w:hint="eastAsia"/>
              </w:rPr>
              <w:t>证书有限期</w:t>
            </w:r>
          </w:p>
        </w:tc>
        <w:tc>
          <w:tcPr>
            <w:tcW w:w="2073" w:type="dxa"/>
            <w:tcBorders>
              <w:top w:val="single" w:color="auto" w:sz="6" w:space="0"/>
              <w:left w:val="single" w:color="auto" w:sz="6" w:space="0"/>
              <w:bottom w:val="single" w:color="auto" w:sz="6" w:space="0"/>
              <w:right w:val="single" w:color="auto" w:sz="6" w:space="0"/>
            </w:tcBorders>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bl>
    <w:p>
      <w:pPr>
        <w:ind w:firstLine="420" w:firstLineChars="200"/>
      </w:pPr>
      <w:r>
        <w:rPr>
          <w:rFonts w:hint="eastAsia"/>
        </w:rPr>
        <w:t>3、我方的资格声明一份。</w:t>
      </w:r>
    </w:p>
    <w:p>
      <w:pPr>
        <w:ind w:firstLine="420" w:firstLineChars="200"/>
      </w:pPr>
      <w:r>
        <w:rPr>
          <w:rFonts w:hint="eastAsia"/>
        </w:rPr>
        <w:t>4、</w:t>
      </w:r>
      <w:r>
        <w:t>招标文件要求的</w:t>
      </w:r>
      <w:r>
        <w:rPr>
          <w:rFonts w:hint="eastAsia"/>
        </w:rPr>
        <w:t>其他</w:t>
      </w:r>
      <w:r>
        <w:t>资格证明文件。</w:t>
      </w:r>
    </w:p>
    <w:p>
      <w:pPr>
        <w:ind w:firstLine="420" w:firstLineChars="200"/>
        <w:rPr>
          <w:rFonts w:cs="Arial"/>
        </w:rPr>
      </w:pPr>
      <w:r>
        <w:rPr>
          <w:rFonts w:cs="Arial"/>
        </w:rPr>
        <w:t>本签字人确认资格文件中的</w:t>
      </w:r>
      <w:r>
        <w:rPr>
          <w:rFonts w:hint="eastAsia" w:cs="Arial"/>
        </w:rPr>
        <w:t>内容</w:t>
      </w:r>
      <w:r>
        <w:rPr>
          <w:rFonts w:cs="Arial"/>
        </w:rPr>
        <w:t>是真实的、准确的</w:t>
      </w:r>
      <w:r>
        <w:rPr>
          <w:rFonts w:hint="eastAsia" w:cs="Arial"/>
        </w:rPr>
        <w:t>，您有权进行您认为必要的所有调查。</w:t>
      </w:r>
    </w:p>
    <w:p/>
    <w:p>
      <w:r>
        <w:rPr>
          <w:rFonts w:hint="eastAsia"/>
        </w:rPr>
        <w:t>投标人的名称：</w:t>
      </w:r>
      <w:r>
        <w:rPr>
          <w:rFonts w:hint="eastAsia"/>
        </w:rPr>
        <w:tab/>
      </w:r>
    </w:p>
    <w:p>
      <w:r>
        <w:rPr>
          <w:rFonts w:hint="eastAsia"/>
        </w:rPr>
        <w:t>授权签署本资格文件的签字人姓名、职务（印刷字体)：</w:t>
      </w:r>
    </w:p>
    <w:p>
      <w:r>
        <w:rPr>
          <w:rFonts w:hint="eastAsia"/>
        </w:rPr>
        <w:t xml:space="preserve">投标人盖章： </w:t>
      </w:r>
    </w:p>
    <w:p>
      <w:r>
        <w:rPr>
          <w:rFonts w:hint="eastAsia"/>
        </w:rPr>
        <w:t>投标人代表签字：</w:t>
      </w:r>
    </w:p>
    <w:p>
      <w:r>
        <w:rPr>
          <w:rFonts w:hint="eastAsia"/>
        </w:rPr>
        <w:t>地址：</w:t>
      </w:r>
    </w:p>
    <w:p>
      <w:r>
        <w:rPr>
          <w:rFonts w:hint="eastAsia"/>
        </w:rPr>
        <w:t>传真：</w:t>
      </w:r>
    </w:p>
    <w:p>
      <w:r>
        <w:rPr>
          <w:rFonts w:hint="eastAsia"/>
        </w:rPr>
        <w:t>签字：</w:t>
      </w:r>
    </w:p>
    <w:p>
      <w:r>
        <w:rPr>
          <w:rFonts w:hint="eastAsia"/>
        </w:rPr>
        <w:t>邮编：</w:t>
      </w:r>
    </w:p>
    <w:p>
      <w:r>
        <w:rPr>
          <w:rFonts w:hint="eastAsia"/>
        </w:rPr>
        <w:t>电话：</w:t>
      </w:r>
      <w:r>
        <w:br w:type="page"/>
      </w:r>
      <w:r>
        <w:rPr>
          <w:rFonts w:hint="eastAsia" w:ascii="楷体_GB2312" w:eastAsia="楷体_GB2312"/>
          <w:sz w:val="24"/>
        </w:rPr>
        <w:t>附件8－2. 法定代表人证明书格式</w:t>
      </w:r>
    </w:p>
    <w:p/>
    <w:p>
      <w:pPr>
        <w:jc w:val="center"/>
        <w:rPr>
          <w:rFonts w:ascii="黑体" w:eastAsia="黑体"/>
          <w:sz w:val="28"/>
          <w:szCs w:val="28"/>
        </w:rPr>
      </w:pPr>
      <w:r>
        <w:rPr>
          <w:rFonts w:hint="eastAsia" w:ascii="黑体" w:eastAsia="黑体"/>
          <w:sz w:val="28"/>
          <w:szCs w:val="28"/>
        </w:rPr>
        <w:t>法定代表人证明书</w:t>
      </w:r>
    </w:p>
    <w:p/>
    <w:p>
      <w:r>
        <w:rPr>
          <w:rFonts w:hint="eastAsia"/>
        </w:rPr>
        <w:t xml:space="preserve">   　先生/小姐，现任我单位职务，为法定代表人，特此证明。</w:t>
      </w:r>
    </w:p>
    <w:p>
      <w:pPr>
        <w:ind w:firstLine="420" w:firstLineChars="200"/>
      </w:pPr>
    </w:p>
    <w:p>
      <w:pPr>
        <w:ind w:firstLine="420" w:firstLineChars="200"/>
      </w:pPr>
      <w:r>
        <w:rPr>
          <w:rFonts w:hint="eastAsia"/>
        </w:rPr>
        <w:t>有效日期：               签发日期：        单位：                 （盖章）</w:t>
      </w:r>
    </w:p>
    <w:p>
      <w:pPr>
        <w:ind w:firstLine="420" w:firstLineChars="200"/>
      </w:pPr>
      <w:r>
        <w:rPr>
          <w:rFonts w:hint="eastAsia"/>
        </w:rPr>
        <w:t>附：代表人性别：        年龄：       身份证号码：</w:t>
      </w:r>
    </w:p>
    <w:p>
      <w:pPr>
        <w:ind w:firstLine="420" w:firstLineChars="200"/>
      </w:pPr>
      <w:r>
        <w:rPr>
          <w:rFonts w:hint="eastAsia"/>
        </w:rPr>
        <w:t>营业执照号码：                       经济性质：</w:t>
      </w:r>
    </w:p>
    <w:p>
      <w:pPr>
        <w:ind w:firstLine="420" w:firstLineChars="200"/>
      </w:pPr>
      <w:r>
        <w:rPr>
          <w:rFonts w:hint="eastAsia"/>
        </w:rPr>
        <w:t>主营（产）：</w:t>
      </w:r>
    </w:p>
    <w:p>
      <w:pPr>
        <w:ind w:firstLine="420" w:firstLineChars="200"/>
      </w:pPr>
      <w:r>
        <w:rPr>
          <w:rFonts w:hint="eastAsia"/>
        </w:rPr>
        <w:t>兼营（产）：</w:t>
      </w:r>
    </w:p>
    <w:p>
      <w:pPr>
        <w:ind w:firstLine="420" w:firstLineChars="200"/>
      </w:pPr>
      <w:r>
        <w:rPr>
          <w:rFonts w:hint="eastAsia"/>
        </w:rPr>
        <w:t>进口物品经营许可证号码：</w:t>
      </w:r>
    </w:p>
    <w:p>
      <w:pPr>
        <w:ind w:firstLine="420" w:firstLineChars="200"/>
      </w:pPr>
      <w:r>
        <w:rPr>
          <w:rFonts w:hint="eastAsia"/>
        </w:rPr>
        <w:t>主营（产）：</w:t>
      </w:r>
    </w:p>
    <w:p>
      <w:pPr>
        <w:ind w:firstLine="420" w:firstLineChars="200"/>
      </w:pPr>
      <w:r>
        <w:rPr>
          <w:rFonts w:hint="eastAsia"/>
        </w:rPr>
        <w:t>兼营（产）：</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2" w:firstLineChars="200"/>
      </w:pPr>
      <w:r>
        <w:rPr>
          <w:rFonts w:hint="eastAsia"/>
          <w:b/>
        </w:rPr>
        <w:t>注：法定代表人身份证明书需附法人代表身份证复印件（加盖公章）</w:t>
      </w:r>
      <w:r>
        <w:rPr>
          <w:rFonts w:hint="eastAsia" w:ascii="楷体_GB2312" w:eastAsia="楷体_GB2312"/>
          <w:b/>
          <w:sz w:val="24"/>
        </w:rPr>
        <w:t>。</w:t>
      </w:r>
    </w:p>
    <w:p/>
    <w:p>
      <w:r>
        <w:rPr>
          <w:rFonts w:ascii="楷体_GB2312" w:eastAsia="楷体_GB2312"/>
          <w:sz w:val="24"/>
        </w:rPr>
        <w:br w:type="page"/>
      </w:r>
      <w:r>
        <w:rPr>
          <w:rFonts w:hint="eastAsia" w:ascii="楷体_GB2312" w:eastAsia="楷体_GB2312"/>
          <w:sz w:val="24"/>
        </w:rPr>
        <w:t>附件8－3.法定代表人授权书格式</w:t>
      </w:r>
    </w:p>
    <w:p/>
    <w:p>
      <w:pPr>
        <w:jc w:val="center"/>
        <w:rPr>
          <w:rFonts w:ascii="黑体" w:eastAsia="黑体"/>
          <w:sz w:val="28"/>
          <w:szCs w:val="28"/>
        </w:rPr>
      </w:pPr>
      <w:r>
        <w:rPr>
          <w:rFonts w:hint="eastAsia" w:ascii="黑体" w:eastAsia="黑体"/>
          <w:sz w:val="28"/>
          <w:szCs w:val="28"/>
        </w:rPr>
        <w:t>法定代表人授权书</w:t>
      </w:r>
    </w:p>
    <w:p/>
    <w:p>
      <w:pPr>
        <w:ind w:firstLine="420" w:firstLineChars="200"/>
      </w:pPr>
      <w:r>
        <w:rPr>
          <w:rFonts w:hint="eastAsia"/>
        </w:rPr>
        <w:t>本授权书声明：注册于</w:t>
      </w:r>
      <w:r>
        <w:rPr>
          <w:rFonts w:hint="eastAsia"/>
          <w:i/>
          <w:u w:val="single"/>
        </w:rPr>
        <w:t>（国家或地区的名称）</w:t>
      </w:r>
      <w:r>
        <w:rPr>
          <w:rFonts w:hint="eastAsia"/>
        </w:rPr>
        <w:t>的</w:t>
      </w:r>
      <w:r>
        <w:rPr>
          <w:rFonts w:hint="eastAsia"/>
          <w:i/>
          <w:u w:val="single"/>
        </w:rPr>
        <w:t>（公司名称）</w:t>
      </w:r>
      <w:r>
        <w:rPr>
          <w:rFonts w:hint="eastAsia"/>
        </w:rPr>
        <w:t>的在下面签字的</w:t>
      </w:r>
      <w:r>
        <w:rPr>
          <w:rFonts w:hint="eastAsia"/>
          <w:i/>
          <w:u w:val="single"/>
        </w:rPr>
        <w:t>（法定代表人姓名、职务）</w:t>
      </w:r>
      <w:r>
        <w:rPr>
          <w:rFonts w:hint="eastAsia"/>
        </w:rPr>
        <w:t>代表本公司授权</w:t>
      </w:r>
      <w:r>
        <w:rPr>
          <w:rFonts w:hint="eastAsia"/>
          <w:i/>
          <w:u w:val="single"/>
        </w:rPr>
        <w:t>（单位名称）</w:t>
      </w:r>
      <w:r>
        <w:rPr>
          <w:rFonts w:hint="eastAsia"/>
        </w:rPr>
        <w:t>的在下面签字的</w:t>
      </w:r>
      <w:r>
        <w:rPr>
          <w:rFonts w:hint="eastAsia"/>
          <w:i/>
          <w:u w:val="single"/>
        </w:rPr>
        <w:t>（被授权人的姓名、职务）</w:t>
      </w:r>
      <w:r>
        <w:rPr>
          <w:rFonts w:hint="eastAsia"/>
        </w:rPr>
        <w:t>为本公司的合法代理人，就</w:t>
      </w:r>
      <w:r>
        <w:rPr>
          <w:rFonts w:hint="eastAsia"/>
          <w:i/>
          <w:u w:val="single"/>
        </w:rPr>
        <w:t>（项目名称）</w:t>
      </w:r>
      <w:r>
        <w:rPr>
          <w:rFonts w:hint="eastAsia"/>
        </w:rPr>
        <w:t>投标及参加项目谈判，以本公司名义处理一切与之有关的事务。</w:t>
      </w:r>
    </w:p>
    <w:p>
      <w:pPr>
        <w:ind w:firstLine="420" w:firstLineChars="200"/>
      </w:pPr>
    </w:p>
    <w:p>
      <w:pPr>
        <w:ind w:firstLine="420" w:firstLineChars="200"/>
      </w:pPr>
      <w:r>
        <w:rPr>
          <w:rFonts w:hint="eastAsia"/>
        </w:rPr>
        <w:t>本授权书于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日签字生效，特此声明。</w:t>
      </w:r>
    </w:p>
    <w:p>
      <w:pPr>
        <w:ind w:firstLine="420" w:firstLineChars="200"/>
      </w:pPr>
    </w:p>
    <w:p>
      <w:pPr>
        <w:ind w:firstLine="420" w:firstLineChars="200"/>
      </w:pPr>
      <w:r>
        <w:rPr>
          <w:rFonts w:hint="eastAsia"/>
        </w:rPr>
        <w:t xml:space="preserve">法定代表人签字： </w:t>
      </w:r>
    </w:p>
    <w:p>
      <w:pPr>
        <w:ind w:firstLine="420" w:firstLineChars="200"/>
      </w:pPr>
      <w:r>
        <w:rPr>
          <w:rFonts w:hint="eastAsia"/>
        </w:rPr>
        <w:t>被授权人签字：　</w:t>
      </w:r>
    </w:p>
    <w:p>
      <w:pPr>
        <w:ind w:firstLine="420" w:firstLineChars="200"/>
      </w:pPr>
      <w:r>
        <w:rPr>
          <w:rFonts w:hint="eastAsia"/>
        </w:rPr>
        <w:t>单位盖章：　</w:t>
      </w:r>
    </w:p>
    <w:p>
      <w:pPr>
        <w:ind w:firstLine="420" w:firstLineChars="200"/>
      </w:pPr>
    </w:p>
    <w:p>
      <w:pPr>
        <w:ind w:firstLine="420" w:firstLineChars="200"/>
      </w:pPr>
      <w:r>
        <w:rPr>
          <w:rFonts w:hint="eastAsia"/>
        </w:rPr>
        <w:t>附：</w:t>
      </w:r>
    </w:p>
    <w:p>
      <w:pPr>
        <w:ind w:firstLine="420" w:firstLineChars="200"/>
      </w:pPr>
      <w:r>
        <w:rPr>
          <w:rFonts w:hint="eastAsia"/>
        </w:rPr>
        <w:t>被授权人姓名：</w:t>
      </w:r>
    </w:p>
    <w:p>
      <w:pPr>
        <w:ind w:firstLine="420" w:firstLineChars="200"/>
      </w:pPr>
      <w:r>
        <w:rPr>
          <w:rFonts w:hint="eastAsia"/>
        </w:rPr>
        <w:t>职务：</w:t>
      </w:r>
    </w:p>
    <w:p>
      <w:pPr>
        <w:ind w:firstLine="420" w:firstLineChars="200"/>
      </w:pPr>
      <w:r>
        <w:rPr>
          <w:rFonts w:hint="eastAsia"/>
        </w:rPr>
        <w:t>详细通讯地址：</w:t>
      </w:r>
    </w:p>
    <w:p>
      <w:pPr>
        <w:ind w:firstLine="420" w:firstLineChars="200"/>
      </w:pPr>
      <w:r>
        <w:rPr>
          <w:rFonts w:hint="eastAsia"/>
        </w:rPr>
        <w:t>邮政编码：</w:t>
      </w:r>
    </w:p>
    <w:p>
      <w:pPr>
        <w:ind w:firstLine="420" w:firstLineChars="200"/>
      </w:pPr>
      <w:r>
        <w:rPr>
          <w:rFonts w:hint="eastAsia"/>
        </w:rPr>
        <w:t>电话：</w:t>
      </w:r>
    </w:p>
    <w:p>
      <w:pPr>
        <w:ind w:firstLine="420" w:firstLineChars="200"/>
      </w:pPr>
      <w:r>
        <w:rPr>
          <w:rFonts w:hint="eastAsia"/>
        </w:rPr>
        <w:t>移动电话：</w:t>
      </w:r>
    </w:p>
    <w:p>
      <w:pPr>
        <w:ind w:firstLine="420" w:firstLineChars="200"/>
      </w:pPr>
      <w:r>
        <w:rPr>
          <w:rFonts w:hint="eastAsia"/>
        </w:rPr>
        <w:t>传真：</w:t>
      </w:r>
    </w:p>
    <w:p/>
    <w:p/>
    <w:p>
      <w:pPr>
        <w:rPr>
          <w:b/>
        </w:rPr>
      </w:pPr>
      <w:r>
        <w:rPr>
          <w:rFonts w:hint="eastAsia"/>
          <w:b/>
        </w:rPr>
        <w:t>注：1、法定代表人授权书除装订于投标文件中外，还须另置一份按“投标人须知”要求单独密封。</w:t>
      </w:r>
    </w:p>
    <w:p>
      <w:pPr>
        <w:ind w:firstLine="413" w:firstLineChars="196"/>
      </w:pPr>
      <w:r>
        <w:rPr>
          <w:rFonts w:hint="eastAsia"/>
          <w:b/>
        </w:rPr>
        <w:t>2、提供被授权人的身份证复印件盖公章。</w:t>
      </w:r>
    </w:p>
    <w:p>
      <w:pPr>
        <w:rPr>
          <w:rFonts w:ascii="黑体" w:eastAsia="黑体"/>
          <w:sz w:val="44"/>
          <w:szCs w:val="44"/>
        </w:rPr>
      </w:pPr>
    </w:p>
    <w:p>
      <w:pPr>
        <w:rPr>
          <w:rFonts w:ascii="黑体" w:eastAsia="黑体"/>
          <w:sz w:val="44"/>
          <w:szCs w:val="44"/>
        </w:rPr>
      </w:pPr>
    </w:p>
    <w:sectPr>
      <w:headerReference r:id="rId3" w:type="default"/>
      <w:footerReference r:id="rId4" w:type="default"/>
      <w:pgSz w:w="11906" w:h="16838"/>
      <w:pgMar w:top="1440" w:right="1800" w:bottom="1440" w:left="1800" w:header="142"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965"/>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right" w:pos="8364"/>
        <w:tab w:val="clear" w:pos="8306"/>
      </w:tabs>
      <w:ind w:right="-50" w:rightChars="-24"/>
      <w:jc w:val="both"/>
      <w:rPr>
        <w:rFonts w:eastAsia="黑体"/>
      </w:rPr>
    </w:pPr>
    <w:r>
      <w:rPr>
        <w:rFonts w:hint="eastAsia" w:ascii="黑体" w:eastAsia="黑体" w:hAnsiTheme="minorEastAsia"/>
        <w:color w:val="000000"/>
      </w:rPr>
      <w:drawing>
        <wp:inline distT="0" distB="0" distL="0" distR="0">
          <wp:extent cx="108077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82" cy="305105"/>
                  </a:xfrm>
                  <a:prstGeom prst="rect">
                    <a:avLst/>
                  </a:prstGeom>
                </pic:spPr>
              </pic:pic>
            </a:graphicData>
          </a:graphic>
        </wp:inline>
      </w:drawing>
    </w:r>
    <w:r>
      <w:rPr>
        <w:rFonts w:hint="eastAsia" w:ascii="黑体" w:eastAsia="黑体" w:hAnsiTheme="minorEastAsia"/>
        <w:color w:val="000000"/>
      </w:rPr>
      <w:t xml:space="preserve">                                                  招标编号：SJZD-2024018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46B54"/>
    <w:multiLevelType w:val="singleLevel"/>
    <w:tmpl w:val="8DE46B54"/>
    <w:lvl w:ilvl="0" w:tentative="0">
      <w:start w:val="1"/>
      <w:numFmt w:val="decimal"/>
      <w:lvlText w:val="%1."/>
      <w:lvlJc w:val="left"/>
      <w:pPr>
        <w:ind w:left="425" w:hanging="425"/>
      </w:pPr>
      <w:rPr>
        <w:rFonts w:hint="default"/>
      </w:rPr>
    </w:lvl>
  </w:abstractNum>
  <w:abstractNum w:abstractNumId="1">
    <w:nsid w:val="8E394512"/>
    <w:multiLevelType w:val="singleLevel"/>
    <w:tmpl w:val="8E394512"/>
    <w:lvl w:ilvl="0" w:tentative="0">
      <w:start w:val="1"/>
      <w:numFmt w:val="chineseCounting"/>
      <w:suff w:val="nothing"/>
      <w:lvlText w:val="%1、"/>
      <w:lvlJc w:val="left"/>
      <w:pPr>
        <w:ind w:left="0" w:firstLine="420"/>
      </w:pPr>
      <w:rPr>
        <w:rFonts w:hint="eastAsia"/>
      </w:rPr>
    </w:lvl>
  </w:abstractNum>
  <w:abstractNum w:abstractNumId="2">
    <w:nsid w:val="8FFAAF86"/>
    <w:multiLevelType w:val="singleLevel"/>
    <w:tmpl w:val="8FFAAF86"/>
    <w:lvl w:ilvl="0" w:tentative="0">
      <w:start w:val="1"/>
      <w:numFmt w:val="decimal"/>
      <w:lvlText w:val="%1."/>
      <w:lvlJc w:val="left"/>
      <w:pPr>
        <w:ind w:left="425" w:hanging="425"/>
      </w:pPr>
      <w:rPr>
        <w:rFonts w:hint="default"/>
      </w:rPr>
    </w:lvl>
  </w:abstractNum>
  <w:abstractNum w:abstractNumId="3">
    <w:nsid w:val="AFB849D7"/>
    <w:multiLevelType w:val="singleLevel"/>
    <w:tmpl w:val="AFB849D7"/>
    <w:lvl w:ilvl="0" w:tentative="0">
      <w:start w:val="1"/>
      <w:numFmt w:val="decimal"/>
      <w:lvlText w:val="%1."/>
      <w:lvlJc w:val="left"/>
      <w:pPr>
        <w:ind w:left="425" w:hanging="425"/>
      </w:pPr>
      <w:rPr>
        <w:rFonts w:hint="default"/>
      </w:rPr>
    </w:lvl>
  </w:abstractNum>
  <w:abstractNum w:abstractNumId="4">
    <w:nsid w:val="E6F5804A"/>
    <w:multiLevelType w:val="singleLevel"/>
    <w:tmpl w:val="E6F5804A"/>
    <w:lvl w:ilvl="0" w:tentative="0">
      <w:start w:val="1"/>
      <w:numFmt w:val="chineseCounting"/>
      <w:suff w:val="nothing"/>
      <w:lvlText w:val="（%1）"/>
      <w:lvlJc w:val="left"/>
      <w:pPr>
        <w:ind w:left="0" w:firstLine="420"/>
      </w:pPr>
      <w:rPr>
        <w:rFonts w:hint="eastAsia"/>
      </w:rPr>
    </w:lvl>
  </w:abstractNum>
  <w:abstractNum w:abstractNumId="5">
    <w:nsid w:val="00000004"/>
    <w:multiLevelType w:val="multilevel"/>
    <w:tmpl w:val="00000004"/>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eastAsia"/>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0F1353"/>
    <w:multiLevelType w:val="multilevel"/>
    <w:tmpl w:val="140F135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5550A13"/>
    <w:multiLevelType w:val="multilevel"/>
    <w:tmpl w:val="15550A13"/>
    <w:lvl w:ilvl="0" w:tentative="0">
      <w:start w:val="1"/>
      <w:numFmt w:val="decimal"/>
      <w:lvlText w:val="%1."/>
      <w:lvlJc w:val="left"/>
      <w:pPr>
        <w:tabs>
          <w:tab w:val="left" w:pos="227"/>
        </w:tabs>
        <w:ind w:left="568" w:hanging="511"/>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3A2073"/>
    <w:multiLevelType w:val="multilevel"/>
    <w:tmpl w:val="6D3A2073"/>
    <w:lvl w:ilvl="0" w:tentative="0">
      <w:start w:val="1"/>
      <w:numFmt w:val="japaneseCount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460D7F"/>
    <w:multiLevelType w:val="multilevel"/>
    <w:tmpl w:val="73460D7F"/>
    <w:lvl w:ilvl="0" w:tentative="0">
      <w:start w:val="1"/>
      <w:numFmt w:val="bullet"/>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7"/>
  </w:num>
  <w:num w:numId="2">
    <w:abstractNumId w:val="1"/>
  </w:num>
  <w:num w:numId="3">
    <w:abstractNumId w:val="8"/>
  </w:num>
  <w:num w:numId="4">
    <w:abstractNumId w:val="9"/>
  </w:num>
  <w:num w:numId="5">
    <w:abstractNumId w:val="10"/>
  </w:num>
  <w:num w:numId="6">
    <w:abstractNumId w:val="4"/>
  </w:num>
  <w:num w:numId="7">
    <w:abstractNumId w:val="0"/>
  </w:num>
  <w:num w:numId="8">
    <w:abstractNumId w:val="2"/>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WQ4NWUxYTM1MjU1OWM2MGU5NThlM2FlZjk0ODkifQ=="/>
  </w:docVars>
  <w:rsids>
    <w:rsidRoot w:val="009B0757"/>
    <w:rsid w:val="0000007E"/>
    <w:rsid w:val="000000BB"/>
    <w:rsid w:val="0000113B"/>
    <w:rsid w:val="00001671"/>
    <w:rsid w:val="0000227C"/>
    <w:rsid w:val="000162BA"/>
    <w:rsid w:val="0002313A"/>
    <w:rsid w:val="00023FCC"/>
    <w:rsid w:val="00041DC0"/>
    <w:rsid w:val="00046521"/>
    <w:rsid w:val="00052D11"/>
    <w:rsid w:val="0005440D"/>
    <w:rsid w:val="00061071"/>
    <w:rsid w:val="000629E3"/>
    <w:rsid w:val="00063099"/>
    <w:rsid w:val="00065801"/>
    <w:rsid w:val="00081890"/>
    <w:rsid w:val="00083BC4"/>
    <w:rsid w:val="000852A8"/>
    <w:rsid w:val="000A2982"/>
    <w:rsid w:val="000A52BA"/>
    <w:rsid w:val="000C218E"/>
    <w:rsid w:val="000D5AD6"/>
    <w:rsid w:val="000D69EB"/>
    <w:rsid w:val="000E365B"/>
    <w:rsid w:val="000E4DFC"/>
    <w:rsid w:val="000F3BFA"/>
    <w:rsid w:val="00115DED"/>
    <w:rsid w:val="0012277D"/>
    <w:rsid w:val="00142474"/>
    <w:rsid w:val="0014583B"/>
    <w:rsid w:val="00147423"/>
    <w:rsid w:val="00152A48"/>
    <w:rsid w:val="00154062"/>
    <w:rsid w:val="00170F8D"/>
    <w:rsid w:val="00171B66"/>
    <w:rsid w:val="00172070"/>
    <w:rsid w:val="0017268A"/>
    <w:rsid w:val="001771BE"/>
    <w:rsid w:val="00180B51"/>
    <w:rsid w:val="00184A05"/>
    <w:rsid w:val="00196063"/>
    <w:rsid w:val="001B0DC3"/>
    <w:rsid w:val="001B5E87"/>
    <w:rsid w:val="001B79D1"/>
    <w:rsid w:val="001C3B85"/>
    <w:rsid w:val="001C7C1E"/>
    <w:rsid w:val="001D0B3D"/>
    <w:rsid w:val="001E10AD"/>
    <w:rsid w:val="001E3BF9"/>
    <w:rsid w:val="001F0921"/>
    <w:rsid w:val="00205FC9"/>
    <w:rsid w:val="0020668D"/>
    <w:rsid w:val="002076F4"/>
    <w:rsid w:val="00217A08"/>
    <w:rsid w:val="00217FA0"/>
    <w:rsid w:val="00221384"/>
    <w:rsid w:val="00221D4F"/>
    <w:rsid w:val="00226770"/>
    <w:rsid w:val="00226BEE"/>
    <w:rsid w:val="00231E5A"/>
    <w:rsid w:val="002413D4"/>
    <w:rsid w:val="00242FD2"/>
    <w:rsid w:val="002502E8"/>
    <w:rsid w:val="00250D8C"/>
    <w:rsid w:val="00272E2C"/>
    <w:rsid w:val="002814BD"/>
    <w:rsid w:val="002870F2"/>
    <w:rsid w:val="002876F3"/>
    <w:rsid w:val="002934F5"/>
    <w:rsid w:val="00294315"/>
    <w:rsid w:val="002943C4"/>
    <w:rsid w:val="00295FB0"/>
    <w:rsid w:val="002A4EB0"/>
    <w:rsid w:val="002B2F2A"/>
    <w:rsid w:val="002B69A9"/>
    <w:rsid w:val="002C0729"/>
    <w:rsid w:val="002C6DB0"/>
    <w:rsid w:val="002D5759"/>
    <w:rsid w:val="002D576E"/>
    <w:rsid w:val="002E72CE"/>
    <w:rsid w:val="00305A51"/>
    <w:rsid w:val="00306836"/>
    <w:rsid w:val="00312FB8"/>
    <w:rsid w:val="003138B0"/>
    <w:rsid w:val="00335CD3"/>
    <w:rsid w:val="00353AF0"/>
    <w:rsid w:val="00366E6E"/>
    <w:rsid w:val="00372C81"/>
    <w:rsid w:val="003834AF"/>
    <w:rsid w:val="00397393"/>
    <w:rsid w:val="003A01B4"/>
    <w:rsid w:val="003A1848"/>
    <w:rsid w:val="003A2875"/>
    <w:rsid w:val="003A66A9"/>
    <w:rsid w:val="003B1467"/>
    <w:rsid w:val="003C74CE"/>
    <w:rsid w:val="003C75BE"/>
    <w:rsid w:val="003F7A28"/>
    <w:rsid w:val="004035BF"/>
    <w:rsid w:val="004045BC"/>
    <w:rsid w:val="004112D6"/>
    <w:rsid w:val="00424D40"/>
    <w:rsid w:val="0043076D"/>
    <w:rsid w:val="0043267E"/>
    <w:rsid w:val="00435869"/>
    <w:rsid w:val="00441A78"/>
    <w:rsid w:val="00453202"/>
    <w:rsid w:val="00460E7F"/>
    <w:rsid w:val="004651B4"/>
    <w:rsid w:val="00480804"/>
    <w:rsid w:val="00485312"/>
    <w:rsid w:val="00495E88"/>
    <w:rsid w:val="004B366F"/>
    <w:rsid w:val="004B5549"/>
    <w:rsid w:val="004C68DE"/>
    <w:rsid w:val="004E550B"/>
    <w:rsid w:val="004F631E"/>
    <w:rsid w:val="0050636B"/>
    <w:rsid w:val="00511275"/>
    <w:rsid w:val="00512019"/>
    <w:rsid w:val="00512C2A"/>
    <w:rsid w:val="005321C2"/>
    <w:rsid w:val="00532F23"/>
    <w:rsid w:val="00543CE7"/>
    <w:rsid w:val="0054784D"/>
    <w:rsid w:val="005572B0"/>
    <w:rsid w:val="00563719"/>
    <w:rsid w:val="00565978"/>
    <w:rsid w:val="00570AD6"/>
    <w:rsid w:val="00572503"/>
    <w:rsid w:val="0058185D"/>
    <w:rsid w:val="0058238B"/>
    <w:rsid w:val="005835D8"/>
    <w:rsid w:val="00583973"/>
    <w:rsid w:val="00584BA8"/>
    <w:rsid w:val="00592752"/>
    <w:rsid w:val="005963DB"/>
    <w:rsid w:val="005B33E7"/>
    <w:rsid w:val="005C1FA5"/>
    <w:rsid w:val="005C69DC"/>
    <w:rsid w:val="005D51C6"/>
    <w:rsid w:val="005D534A"/>
    <w:rsid w:val="005D686C"/>
    <w:rsid w:val="005D735A"/>
    <w:rsid w:val="005E5893"/>
    <w:rsid w:val="005E778A"/>
    <w:rsid w:val="005F0A29"/>
    <w:rsid w:val="006111B4"/>
    <w:rsid w:val="00614B2A"/>
    <w:rsid w:val="00616269"/>
    <w:rsid w:val="0062331A"/>
    <w:rsid w:val="006417F2"/>
    <w:rsid w:val="00642169"/>
    <w:rsid w:val="00662349"/>
    <w:rsid w:val="006643EE"/>
    <w:rsid w:val="0067016D"/>
    <w:rsid w:val="006729F2"/>
    <w:rsid w:val="006828AD"/>
    <w:rsid w:val="006842DA"/>
    <w:rsid w:val="006922CD"/>
    <w:rsid w:val="00697A1B"/>
    <w:rsid w:val="006A6BE3"/>
    <w:rsid w:val="006B7AE3"/>
    <w:rsid w:val="006C5757"/>
    <w:rsid w:val="006C7DC9"/>
    <w:rsid w:val="006D6F96"/>
    <w:rsid w:val="006F31DD"/>
    <w:rsid w:val="00701786"/>
    <w:rsid w:val="00726D01"/>
    <w:rsid w:val="007369CA"/>
    <w:rsid w:val="007375D1"/>
    <w:rsid w:val="00741221"/>
    <w:rsid w:val="007432BD"/>
    <w:rsid w:val="007533A5"/>
    <w:rsid w:val="00756C7C"/>
    <w:rsid w:val="007632E4"/>
    <w:rsid w:val="007647A8"/>
    <w:rsid w:val="00790D20"/>
    <w:rsid w:val="0079127F"/>
    <w:rsid w:val="007A4009"/>
    <w:rsid w:val="007A623D"/>
    <w:rsid w:val="007B3D8F"/>
    <w:rsid w:val="007B6B5B"/>
    <w:rsid w:val="007C37E6"/>
    <w:rsid w:val="007D02A7"/>
    <w:rsid w:val="007D7906"/>
    <w:rsid w:val="007E219B"/>
    <w:rsid w:val="007F2E7C"/>
    <w:rsid w:val="007F4253"/>
    <w:rsid w:val="00805412"/>
    <w:rsid w:val="00805B97"/>
    <w:rsid w:val="0083464D"/>
    <w:rsid w:val="00835C70"/>
    <w:rsid w:val="00836B64"/>
    <w:rsid w:val="00840D1B"/>
    <w:rsid w:val="00846E09"/>
    <w:rsid w:val="00853FB4"/>
    <w:rsid w:val="008661E4"/>
    <w:rsid w:val="00873775"/>
    <w:rsid w:val="0088206B"/>
    <w:rsid w:val="008820FC"/>
    <w:rsid w:val="00884080"/>
    <w:rsid w:val="008843B9"/>
    <w:rsid w:val="008A16AC"/>
    <w:rsid w:val="008A1FB1"/>
    <w:rsid w:val="008B338E"/>
    <w:rsid w:val="008B6F48"/>
    <w:rsid w:val="008E303D"/>
    <w:rsid w:val="008E759E"/>
    <w:rsid w:val="008F108A"/>
    <w:rsid w:val="008F5B63"/>
    <w:rsid w:val="008F5C5C"/>
    <w:rsid w:val="009008F3"/>
    <w:rsid w:val="00905029"/>
    <w:rsid w:val="009142C1"/>
    <w:rsid w:val="00942087"/>
    <w:rsid w:val="009433D7"/>
    <w:rsid w:val="009545D7"/>
    <w:rsid w:val="00954E7F"/>
    <w:rsid w:val="009633DB"/>
    <w:rsid w:val="00976D87"/>
    <w:rsid w:val="00983783"/>
    <w:rsid w:val="009A0F38"/>
    <w:rsid w:val="009A2385"/>
    <w:rsid w:val="009A2589"/>
    <w:rsid w:val="009A43E4"/>
    <w:rsid w:val="009A58E5"/>
    <w:rsid w:val="009B0757"/>
    <w:rsid w:val="009C6021"/>
    <w:rsid w:val="009D55D4"/>
    <w:rsid w:val="009E25EF"/>
    <w:rsid w:val="009E3D31"/>
    <w:rsid w:val="009F7530"/>
    <w:rsid w:val="00A01FD0"/>
    <w:rsid w:val="00A066B2"/>
    <w:rsid w:val="00A3359E"/>
    <w:rsid w:val="00A4324B"/>
    <w:rsid w:val="00A4434E"/>
    <w:rsid w:val="00A51831"/>
    <w:rsid w:val="00A55B18"/>
    <w:rsid w:val="00A8774F"/>
    <w:rsid w:val="00A90727"/>
    <w:rsid w:val="00A9427F"/>
    <w:rsid w:val="00AA56E5"/>
    <w:rsid w:val="00AA5A11"/>
    <w:rsid w:val="00AB0F81"/>
    <w:rsid w:val="00AB2599"/>
    <w:rsid w:val="00AB2F15"/>
    <w:rsid w:val="00AD209F"/>
    <w:rsid w:val="00AD362D"/>
    <w:rsid w:val="00AE0E10"/>
    <w:rsid w:val="00AE2AFA"/>
    <w:rsid w:val="00AF29F2"/>
    <w:rsid w:val="00B1446B"/>
    <w:rsid w:val="00B1638F"/>
    <w:rsid w:val="00B23852"/>
    <w:rsid w:val="00B25096"/>
    <w:rsid w:val="00B32990"/>
    <w:rsid w:val="00B4469C"/>
    <w:rsid w:val="00B46F7F"/>
    <w:rsid w:val="00B7252E"/>
    <w:rsid w:val="00B81EE5"/>
    <w:rsid w:val="00B96DD1"/>
    <w:rsid w:val="00BA1C8F"/>
    <w:rsid w:val="00BA366A"/>
    <w:rsid w:val="00BB1C08"/>
    <w:rsid w:val="00BB54A1"/>
    <w:rsid w:val="00BC576C"/>
    <w:rsid w:val="00BC583D"/>
    <w:rsid w:val="00BD5143"/>
    <w:rsid w:val="00BD62DB"/>
    <w:rsid w:val="00BF2A42"/>
    <w:rsid w:val="00BF2FF3"/>
    <w:rsid w:val="00BF536C"/>
    <w:rsid w:val="00BF766D"/>
    <w:rsid w:val="00BF7BC9"/>
    <w:rsid w:val="00C043B3"/>
    <w:rsid w:val="00C17C6D"/>
    <w:rsid w:val="00C2496C"/>
    <w:rsid w:val="00C305AF"/>
    <w:rsid w:val="00C318F9"/>
    <w:rsid w:val="00C37C92"/>
    <w:rsid w:val="00C413DB"/>
    <w:rsid w:val="00C419BD"/>
    <w:rsid w:val="00C526B6"/>
    <w:rsid w:val="00C52747"/>
    <w:rsid w:val="00C539EB"/>
    <w:rsid w:val="00C56ADC"/>
    <w:rsid w:val="00C63542"/>
    <w:rsid w:val="00C65B73"/>
    <w:rsid w:val="00C65FE9"/>
    <w:rsid w:val="00C734C9"/>
    <w:rsid w:val="00C77925"/>
    <w:rsid w:val="00C8057E"/>
    <w:rsid w:val="00C84F6E"/>
    <w:rsid w:val="00C877DA"/>
    <w:rsid w:val="00C934D6"/>
    <w:rsid w:val="00C93D02"/>
    <w:rsid w:val="00C97ABB"/>
    <w:rsid w:val="00CA7A01"/>
    <w:rsid w:val="00CD6E0B"/>
    <w:rsid w:val="00CF2225"/>
    <w:rsid w:val="00CF79F5"/>
    <w:rsid w:val="00D17712"/>
    <w:rsid w:val="00D232FA"/>
    <w:rsid w:val="00D370DB"/>
    <w:rsid w:val="00D5299A"/>
    <w:rsid w:val="00D56980"/>
    <w:rsid w:val="00D57137"/>
    <w:rsid w:val="00D609A5"/>
    <w:rsid w:val="00D63603"/>
    <w:rsid w:val="00D63776"/>
    <w:rsid w:val="00D66168"/>
    <w:rsid w:val="00D7417A"/>
    <w:rsid w:val="00D764E1"/>
    <w:rsid w:val="00D814C6"/>
    <w:rsid w:val="00D9363F"/>
    <w:rsid w:val="00D96C72"/>
    <w:rsid w:val="00DA1BD5"/>
    <w:rsid w:val="00DA48A2"/>
    <w:rsid w:val="00DA4BA0"/>
    <w:rsid w:val="00DB0B12"/>
    <w:rsid w:val="00DB3C80"/>
    <w:rsid w:val="00DB6CC0"/>
    <w:rsid w:val="00DC1448"/>
    <w:rsid w:val="00DC62A1"/>
    <w:rsid w:val="00DC78BF"/>
    <w:rsid w:val="00DD156A"/>
    <w:rsid w:val="00DD3248"/>
    <w:rsid w:val="00DE1D85"/>
    <w:rsid w:val="00DE7A7B"/>
    <w:rsid w:val="00DF261A"/>
    <w:rsid w:val="00DF6A48"/>
    <w:rsid w:val="00E31FEC"/>
    <w:rsid w:val="00E41D7D"/>
    <w:rsid w:val="00E440AA"/>
    <w:rsid w:val="00E541F7"/>
    <w:rsid w:val="00E5552A"/>
    <w:rsid w:val="00E5662F"/>
    <w:rsid w:val="00E74A5F"/>
    <w:rsid w:val="00E8022F"/>
    <w:rsid w:val="00E81F4B"/>
    <w:rsid w:val="00E83EED"/>
    <w:rsid w:val="00E8569B"/>
    <w:rsid w:val="00E909A8"/>
    <w:rsid w:val="00E9336D"/>
    <w:rsid w:val="00EA0D69"/>
    <w:rsid w:val="00EB13B5"/>
    <w:rsid w:val="00EB170F"/>
    <w:rsid w:val="00EC313A"/>
    <w:rsid w:val="00EC53B6"/>
    <w:rsid w:val="00ED3812"/>
    <w:rsid w:val="00ED3FD4"/>
    <w:rsid w:val="00ED5B1C"/>
    <w:rsid w:val="00F15931"/>
    <w:rsid w:val="00F37AE1"/>
    <w:rsid w:val="00F74AED"/>
    <w:rsid w:val="00F81471"/>
    <w:rsid w:val="00F867E1"/>
    <w:rsid w:val="00F93943"/>
    <w:rsid w:val="00F947C5"/>
    <w:rsid w:val="00FC143B"/>
    <w:rsid w:val="00FC3EC8"/>
    <w:rsid w:val="00FD647C"/>
    <w:rsid w:val="00FF07D9"/>
    <w:rsid w:val="01317F28"/>
    <w:rsid w:val="01B15800"/>
    <w:rsid w:val="034554B0"/>
    <w:rsid w:val="035E4919"/>
    <w:rsid w:val="035F22B0"/>
    <w:rsid w:val="036B4FA0"/>
    <w:rsid w:val="05655910"/>
    <w:rsid w:val="05C2698A"/>
    <w:rsid w:val="06416BB8"/>
    <w:rsid w:val="06456265"/>
    <w:rsid w:val="065A1458"/>
    <w:rsid w:val="07E94F55"/>
    <w:rsid w:val="09143080"/>
    <w:rsid w:val="0967035B"/>
    <w:rsid w:val="09FB44AF"/>
    <w:rsid w:val="0A1C13EE"/>
    <w:rsid w:val="0A2A7C4B"/>
    <w:rsid w:val="0A625E53"/>
    <w:rsid w:val="0AB40D89"/>
    <w:rsid w:val="0BA90DC3"/>
    <w:rsid w:val="0DA35430"/>
    <w:rsid w:val="0E10224B"/>
    <w:rsid w:val="0F274082"/>
    <w:rsid w:val="10653337"/>
    <w:rsid w:val="11411ECC"/>
    <w:rsid w:val="12D215D2"/>
    <w:rsid w:val="132E2CFB"/>
    <w:rsid w:val="13B266A2"/>
    <w:rsid w:val="13D110A9"/>
    <w:rsid w:val="142B4539"/>
    <w:rsid w:val="14587A65"/>
    <w:rsid w:val="146104A6"/>
    <w:rsid w:val="14764EE3"/>
    <w:rsid w:val="14A00712"/>
    <w:rsid w:val="15F33581"/>
    <w:rsid w:val="16093608"/>
    <w:rsid w:val="163F6607"/>
    <w:rsid w:val="164F0EF7"/>
    <w:rsid w:val="167E0ADD"/>
    <w:rsid w:val="17CC44D8"/>
    <w:rsid w:val="17E51670"/>
    <w:rsid w:val="18836907"/>
    <w:rsid w:val="19BE3C2D"/>
    <w:rsid w:val="1B3426D8"/>
    <w:rsid w:val="1BE91EA0"/>
    <w:rsid w:val="1CB771E1"/>
    <w:rsid w:val="1D12261B"/>
    <w:rsid w:val="1E2215DB"/>
    <w:rsid w:val="1E840664"/>
    <w:rsid w:val="1F5D47AD"/>
    <w:rsid w:val="1F8F12D1"/>
    <w:rsid w:val="20B7775D"/>
    <w:rsid w:val="20E5593C"/>
    <w:rsid w:val="21A16F36"/>
    <w:rsid w:val="233230A4"/>
    <w:rsid w:val="2362239A"/>
    <w:rsid w:val="23F4136D"/>
    <w:rsid w:val="240B1D54"/>
    <w:rsid w:val="255458E6"/>
    <w:rsid w:val="25C600D9"/>
    <w:rsid w:val="25CE6D68"/>
    <w:rsid w:val="268F7592"/>
    <w:rsid w:val="26DC0AC8"/>
    <w:rsid w:val="27733972"/>
    <w:rsid w:val="29826283"/>
    <w:rsid w:val="299B60C1"/>
    <w:rsid w:val="29DB27EF"/>
    <w:rsid w:val="29E81E45"/>
    <w:rsid w:val="29FF18AA"/>
    <w:rsid w:val="2A0A1EA7"/>
    <w:rsid w:val="2A6428AE"/>
    <w:rsid w:val="2C6465EA"/>
    <w:rsid w:val="2C995D5E"/>
    <w:rsid w:val="2CFD5B88"/>
    <w:rsid w:val="2D1E651F"/>
    <w:rsid w:val="2DEE1665"/>
    <w:rsid w:val="2E88509E"/>
    <w:rsid w:val="2EBC4D9C"/>
    <w:rsid w:val="2ED23509"/>
    <w:rsid w:val="2F9D4063"/>
    <w:rsid w:val="30E16A06"/>
    <w:rsid w:val="32DD31FD"/>
    <w:rsid w:val="33E074F5"/>
    <w:rsid w:val="33EC0311"/>
    <w:rsid w:val="36B462E8"/>
    <w:rsid w:val="372F6758"/>
    <w:rsid w:val="37317275"/>
    <w:rsid w:val="37951BAB"/>
    <w:rsid w:val="38161252"/>
    <w:rsid w:val="38A954D7"/>
    <w:rsid w:val="39050016"/>
    <w:rsid w:val="392A568E"/>
    <w:rsid w:val="3A3113DE"/>
    <w:rsid w:val="3C093827"/>
    <w:rsid w:val="3DB3201E"/>
    <w:rsid w:val="3F2C3B90"/>
    <w:rsid w:val="3FE273C5"/>
    <w:rsid w:val="4033062B"/>
    <w:rsid w:val="409A183A"/>
    <w:rsid w:val="40A04AE9"/>
    <w:rsid w:val="40B41A41"/>
    <w:rsid w:val="41C60571"/>
    <w:rsid w:val="42492FCB"/>
    <w:rsid w:val="43073C24"/>
    <w:rsid w:val="434F2790"/>
    <w:rsid w:val="43971652"/>
    <w:rsid w:val="44732B45"/>
    <w:rsid w:val="448D203F"/>
    <w:rsid w:val="44A01803"/>
    <w:rsid w:val="44B83BDC"/>
    <w:rsid w:val="45AC3456"/>
    <w:rsid w:val="45F35CBB"/>
    <w:rsid w:val="462F298E"/>
    <w:rsid w:val="464B3645"/>
    <w:rsid w:val="46C04AE1"/>
    <w:rsid w:val="4791488A"/>
    <w:rsid w:val="47A311E6"/>
    <w:rsid w:val="484A6C4F"/>
    <w:rsid w:val="48567485"/>
    <w:rsid w:val="488D57DF"/>
    <w:rsid w:val="48ED7EC0"/>
    <w:rsid w:val="490038AC"/>
    <w:rsid w:val="49214B3A"/>
    <w:rsid w:val="49885B08"/>
    <w:rsid w:val="4B5C44FB"/>
    <w:rsid w:val="4BAD3EE9"/>
    <w:rsid w:val="4F6939F7"/>
    <w:rsid w:val="4FFA0AF3"/>
    <w:rsid w:val="508056D6"/>
    <w:rsid w:val="50C90228"/>
    <w:rsid w:val="510A2426"/>
    <w:rsid w:val="519B00B4"/>
    <w:rsid w:val="51DD15ED"/>
    <w:rsid w:val="526E7A3F"/>
    <w:rsid w:val="53756C74"/>
    <w:rsid w:val="54D643BA"/>
    <w:rsid w:val="55D63665"/>
    <w:rsid w:val="56383F65"/>
    <w:rsid w:val="564B683B"/>
    <w:rsid w:val="578D7E86"/>
    <w:rsid w:val="57C73AA7"/>
    <w:rsid w:val="58A3423E"/>
    <w:rsid w:val="58EA50BC"/>
    <w:rsid w:val="59BC1786"/>
    <w:rsid w:val="5A287932"/>
    <w:rsid w:val="5A6B4F3E"/>
    <w:rsid w:val="5A8B4325"/>
    <w:rsid w:val="5AA75E48"/>
    <w:rsid w:val="5AE630CD"/>
    <w:rsid w:val="5B8722DE"/>
    <w:rsid w:val="5C6D3B25"/>
    <w:rsid w:val="62AB7562"/>
    <w:rsid w:val="649809D2"/>
    <w:rsid w:val="65350E0A"/>
    <w:rsid w:val="65EF42C6"/>
    <w:rsid w:val="65F77B70"/>
    <w:rsid w:val="6618079D"/>
    <w:rsid w:val="667A1309"/>
    <w:rsid w:val="668A7830"/>
    <w:rsid w:val="66F127F8"/>
    <w:rsid w:val="670B4361"/>
    <w:rsid w:val="6790529A"/>
    <w:rsid w:val="6883348B"/>
    <w:rsid w:val="68FA7CB0"/>
    <w:rsid w:val="69FD0A7C"/>
    <w:rsid w:val="6AAA3498"/>
    <w:rsid w:val="6ADB3253"/>
    <w:rsid w:val="6B680BAF"/>
    <w:rsid w:val="6B890A46"/>
    <w:rsid w:val="6BCF091D"/>
    <w:rsid w:val="6C55564B"/>
    <w:rsid w:val="6D860730"/>
    <w:rsid w:val="6DCF18D6"/>
    <w:rsid w:val="6E97716B"/>
    <w:rsid w:val="701A5DA5"/>
    <w:rsid w:val="70953977"/>
    <w:rsid w:val="71267542"/>
    <w:rsid w:val="72A74E68"/>
    <w:rsid w:val="73302AE3"/>
    <w:rsid w:val="734C74C7"/>
    <w:rsid w:val="73A93300"/>
    <w:rsid w:val="74471CA9"/>
    <w:rsid w:val="747A5E6F"/>
    <w:rsid w:val="761D0EF2"/>
    <w:rsid w:val="76684781"/>
    <w:rsid w:val="768C1C5C"/>
    <w:rsid w:val="76AD7DBE"/>
    <w:rsid w:val="76D565DC"/>
    <w:rsid w:val="76FB60F8"/>
    <w:rsid w:val="778B3D40"/>
    <w:rsid w:val="78374B5A"/>
    <w:rsid w:val="783808F1"/>
    <w:rsid w:val="790E3604"/>
    <w:rsid w:val="79556C79"/>
    <w:rsid w:val="79913F22"/>
    <w:rsid w:val="7A9C5147"/>
    <w:rsid w:val="7CA74804"/>
    <w:rsid w:val="7CD95DB0"/>
    <w:rsid w:val="7F562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paragraph" w:styleId="6">
    <w:name w:val="heading 6"/>
    <w:basedOn w:val="1"/>
    <w:next w:val="1"/>
    <w:link w:val="28"/>
    <w:unhideWhenUsed/>
    <w:qFormat/>
    <w:uiPriority w:val="9"/>
    <w:pPr>
      <w:keepNext/>
      <w:keepLines/>
      <w:spacing w:before="240" w:after="64" w:line="320" w:lineRule="auto"/>
      <w:outlineLvl w:val="5"/>
    </w:pPr>
    <w:rPr>
      <w:rFonts w:ascii="Cambria" w:hAnsi="Cambria"/>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lang w:val="zh-CN"/>
    </w:rPr>
  </w:style>
  <w:style w:type="paragraph" w:styleId="7">
    <w:name w:val="Document Map"/>
    <w:basedOn w:val="1"/>
    <w:link w:val="45"/>
    <w:semiHidden/>
    <w:unhideWhenUsed/>
    <w:qFormat/>
    <w:uiPriority w:val="99"/>
    <w:rPr>
      <w:rFonts w:ascii="宋体"/>
      <w:sz w:val="18"/>
      <w:szCs w:val="18"/>
    </w:rPr>
  </w:style>
  <w:style w:type="paragraph" w:styleId="8">
    <w:name w:val="annotation text"/>
    <w:basedOn w:val="1"/>
    <w:link w:val="46"/>
    <w:qFormat/>
    <w:uiPriority w:val="0"/>
    <w:pPr>
      <w:jc w:val="left"/>
    </w:pPr>
    <w:rPr>
      <w:rFonts w:asciiTheme="minorHAnsi" w:hAnsiTheme="minorHAnsi" w:eastAsiaTheme="minorEastAsia" w:cstheme="minorBidi"/>
    </w:rPr>
  </w:style>
  <w:style w:type="paragraph" w:styleId="9">
    <w:name w:val="Body Text Indent"/>
    <w:basedOn w:val="1"/>
    <w:link w:val="33"/>
    <w:qFormat/>
    <w:uiPriority w:val="0"/>
    <w:pPr>
      <w:ind w:left="2098"/>
    </w:pPr>
    <w:rPr>
      <w:color w:val="000000"/>
      <w:sz w:val="24"/>
    </w:rPr>
  </w:style>
  <w:style w:type="paragraph" w:styleId="10">
    <w:name w:val="toc 3"/>
    <w:basedOn w:val="1"/>
    <w:next w:val="1"/>
    <w:qFormat/>
    <w:uiPriority w:val="39"/>
    <w:pPr>
      <w:spacing w:line="360" w:lineRule="auto"/>
      <w:ind w:left="839" w:leftChars="250" w:right="720" w:hanging="314" w:hangingChars="131"/>
    </w:pPr>
    <w:rPr>
      <w:rFonts w:ascii="宋体" w:hAnsi="宋体"/>
      <w:color w:val="000000" w:themeColor="text1"/>
      <w:sz w:val="24"/>
      <w:szCs w:val="20"/>
    </w:rPr>
  </w:style>
  <w:style w:type="paragraph" w:styleId="11">
    <w:name w:val="Plain Text"/>
    <w:basedOn w:val="1"/>
    <w:link w:val="35"/>
    <w:qFormat/>
    <w:uiPriority w:val="0"/>
    <w:rPr>
      <w:rFonts w:ascii="宋体" w:hAnsi="Courier New" w:cs="Courier New"/>
      <w:szCs w:val="21"/>
    </w:rPr>
  </w:style>
  <w:style w:type="paragraph" w:styleId="12">
    <w:name w:val="Date"/>
    <w:basedOn w:val="1"/>
    <w:next w:val="1"/>
    <w:link w:val="37"/>
    <w:qFormat/>
    <w:uiPriority w:val="0"/>
    <w:rPr>
      <w:rFonts w:ascii="宋体" w:hAnsi="Courier New"/>
      <w:sz w:val="32"/>
      <w:szCs w:val="20"/>
    </w:rPr>
  </w:style>
  <w:style w:type="paragraph" w:styleId="13">
    <w:name w:val="Balloon Text"/>
    <w:basedOn w:val="1"/>
    <w:link w:val="31"/>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qFormat/>
    <w:uiPriority w:val="99"/>
    <w:rPr>
      <w:sz w:val="24"/>
    </w:rPr>
  </w:style>
  <w:style w:type="table" w:styleId="20">
    <w:name w:val="Table Grid"/>
    <w:basedOn w:val="1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qFormat/>
    <w:uiPriority w:val="99"/>
    <w:rPr>
      <w:color w:val="800080"/>
      <w:u w:val="single"/>
    </w:rPr>
  </w:style>
  <w:style w:type="character" w:styleId="23">
    <w:name w:val="Hyperlink"/>
    <w:basedOn w:val="21"/>
    <w:unhideWhenUsed/>
    <w:qFormat/>
    <w:uiPriority w:val="99"/>
    <w:rPr>
      <w:color w:val="0000FF" w:themeColor="hyperlink"/>
      <w:u w:val="single"/>
    </w:rPr>
  </w:style>
  <w:style w:type="character" w:styleId="24">
    <w:name w:val="annotation reference"/>
    <w:qFormat/>
    <w:uiPriority w:val="0"/>
    <w:rPr>
      <w:sz w:val="21"/>
      <w:szCs w:val="21"/>
    </w:rPr>
  </w:style>
  <w:style w:type="character" w:customStyle="1" w:styleId="25">
    <w:name w:val="标题 1 Char"/>
    <w:basedOn w:val="21"/>
    <w:link w:val="3"/>
    <w:qFormat/>
    <w:uiPriority w:val="9"/>
    <w:rPr>
      <w:rFonts w:ascii="Times New Roman" w:hAnsi="Times New Roman" w:eastAsia="宋体" w:cs="Times New Roman"/>
      <w:b/>
      <w:bCs/>
      <w:kern w:val="44"/>
      <w:sz w:val="44"/>
      <w:szCs w:val="44"/>
    </w:rPr>
  </w:style>
  <w:style w:type="character" w:customStyle="1" w:styleId="26">
    <w:name w:val="标题 2 Char"/>
    <w:basedOn w:val="21"/>
    <w:link w:val="4"/>
    <w:qFormat/>
    <w:uiPriority w:val="0"/>
    <w:rPr>
      <w:rFonts w:ascii="Arial" w:hAnsi="Arial" w:eastAsia="黑体" w:cs="Times New Roman"/>
      <w:b/>
      <w:bCs/>
      <w:sz w:val="32"/>
      <w:szCs w:val="32"/>
    </w:rPr>
  </w:style>
  <w:style w:type="character" w:customStyle="1" w:styleId="27">
    <w:name w:val="标题 3 Char"/>
    <w:basedOn w:val="21"/>
    <w:link w:val="5"/>
    <w:qFormat/>
    <w:uiPriority w:val="9"/>
    <w:rPr>
      <w:rFonts w:ascii="Times New Roman" w:hAnsi="Times New Roman" w:eastAsia="宋体" w:cs="Times New Roman"/>
      <w:b/>
      <w:bCs/>
      <w:sz w:val="32"/>
      <w:szCs w:val="32"/>
    </w:rPr>
  </w:style>
  <w:style w:type="character" w:customStyle="1" w:styleId="28">
    <w:name w:val="标题 6 Char"/>
    <w:basedOn w:val="21"/>
    <w:link w:val="6"/>
    <w:qFormat/>
    <w:uiPriority w:val="9"/>
    <w:rPr>
      <w:rFonts w:ascii="Cambria" w:hAnsi="Cambria" w:eastAsia="宋体" w:cs="Times New Roman"/>
      <w:b/>
      <w:bCs/>
      <w:sz w:val="24"/>
      <w:szCs w:val="24"/>
    </w:rPr>
  </w:style>
  <w:style w:type="character" w:customStyle="1" w:styleId="29">
    <w:name w:val="页眉 Char"/>
    <w:basedOn w:val="21"/>
    <w:link w:val="15"/>
    <w:qFormat/>
    <w:uiPriority w:val="0"/>
    <w:rPr>
      <w:sz w:val="18"/>
      <w:szCs w:val="18"/>
    </w:rPr>
  </w:style>
  <w:style w:type="character" w:customStyle="1" w:styleId="30">
    <w:name w:val="页脚 Char"/>
    <w:basedOn w:val="21"/>
    <w:link w:val="14"/>
    <w:qFormat/>
    <w:uiPriority w:val="99"/>
    <w:rPr>
      <w:sz w:val="18"/>
      <w:szCs w:val="18"/>
    </w:rPr>
  </w:style>
  <w:style w:type="character" w:customStyle="1" w:styleId="31">
    <w:name w:val="批注框文本 Char"/>
    <w:basedOn w:val="21"/>
    <w:link w:val="13"/>
    <w:semiHidden/>
    <w:qFormat/>
    <w:uiPriority w:val="99"/>
    <w:rPr>
      <w:rFonts w:ascii="Times New Roman" w:hAnsi="Times New Roman" w:eastAsia="宋体" w:cs="Times New Roman"/>
      <w:sz w:val="18"/>
      <w:szCs w:val="18"/>
    </w:rPr>
  </w:style>
  <w:style w:type="paragraph" w:styleId="32">
    <w:name w:val="List Paragraph"/>
    <w:basedOn w:val="1"/>
    <w:link w:val="43"/>
    <w:qFormat/>
    <w:uiPriority w:val="34"/>
    <w:pPr>
      <w:ind w:firstLine="420" w:firstLineChars="200"/>
    </w:pPr>
  </w:style>
  <w:style w:type="character" w:customStyle="1" w:styleId="33">
    <w:name w:val="正文文本缩进 Char"/>
    <w:basedOn w:val="21"/>
    <w:link w:val="9"/>
    <w:qFormat/>
    <w:uiPriority w:val="0"/>
    <w:rPr>
      <w:rFonts w:ascii="Times New Roman" w:hAnsi="Times New Roman" w:eastAsia="宋体" w:cs="Times New Roman"/>
      <w:color w:val="000000"/>
      <w:sz w:val="24"/>
      <w:szCs w:val="24"/>
    </w:rPr>
  </w:style>
  <w:style w:type="character" w:customStyle="1" w:styleId="34">
    <w:name w:val="纯文本 Char"/>
    <w:basedOn w:val="21"/>
    <w:qFormat/>
    <w:uiPriority w:val="0"/>
    <w:rPr>
      <w:rFonts w:ascii="宋体" w:hAnsi="Courier New" w:eastAsia="宋体" w:cs="Courier New"/>
      <w:kern w:val="2"/>
      <w:sz w:val="21"/>
      <w:szCs w:val="21"/>
      <w:lang w:val="en-US" w:eastAsia="zh-CN" w:bidi="ar-SA"/>
    </w:rPr>
  </w:style>
  <w:style w:type="character" w:customStyle="1" w:styleId="35">
    <w:name w:val="纯文本 Char1"/>
    <w:basedOn w:val="21"/>
    <w:link w:val="11"/>
    <w:qFormat/>
    <w:uiPriority w:val="0"/>
    <w:rPr>
      <w:rFonts w:ascii="宋体" w:hAnsi="Courier New" w:eastAsia="宋体" w:cs="Courier New"/>
      <w:szCs w:val="21"/>
    </w:rPr>
  </w:style>
  <w:style w:type="character" w:customStyle="1" w:styleId="36">
    <w:name w:val="标题 3 Char Char"/>
    <w:qFormat/>
    <w:uiPriority w:val="0"/>
    <w:rPr>
      <w:rFonts w:ascii="黑体" w:eastAsia="黑体"/>
      <w:bCs/>
      <w:sz w:val="30"/>
    </w:rPr>
  </w:style>
  <w:style w:type="character" w:customStyle="1" w:styleId="37">
    <w:name w:val="日期 Char1"/>
    <w:basedOn w:val="21"/>
    <w:link w:val="12"/>
    <w:qFormat/>
    <w:uiPriority w:val="0"/>
    <w:rPr>
      <w:rFonts w:ascii="宋体" w:hAnsi="Courier New" w:eastAsia="宋体" w:cs="Times New Roman"/>
      <w:sz w:val="32"/>
      <w:szCs w:val="20"/>
    </w:rPr>
  </w:style>
  <w:style w:type="character" w:customStyle="1" w:styleId="38">
    <w:name w:val="日期 Char"/>
    <w:basedOn w:val="21"/>
    <w:semiHidden/>
    <w:qFormat/>
    <w:uiPriority w:val="99"/>
    <w:rPr>
      <w:rFonts w:ascii="Times New Roman" w:hAnsi="Times New Roman" w:eastAsia="宋体" w:cs="Times New Roman"/>
      <w:szCs w:val="24"/>
    </w:rPr>
  </w:style>
  <w:style w:type="paragraph" w:customStyle="1" w:styleId="39">
    <w:name w:val="表格样式1"/>
    <w:basedOn w:val="1"/>
    <w:link w:val="40"/>
    <w:qFormat/>
    <w:uiPriority w:val="0"/>
    <w:pPr>
      <w:autoSpaceDE w:val="0"/>
      <w:autoSpaceDN w:val="0"/>
      <w:adjustRightInd w:val="0"/>
      <w:spacing w:line="360" w:lineRule="auto"/>
      <w:jc w:val="center"/>
    </w:pPr>
    <w:rPr>
      <w:color w:val="FF0000"/>
      <w:kern w:val="0"/>
      <w:sz w:val="24"/>
      <w:szCs w:val="20"/>
    </w:rPr>
  </w:style>
  <w:style w:type="character" w:customStyle="1" w:styleId="40">
    <w:name w:val="表格样式1 Char"/>
    <w:basedOn w:val="21"/>
    <w:link w:val="39"/>
    <w:qFormat/>
    <w:uiPriority w:val="0"/>
    <w:rPr>
      <w:rFonts w:ascii="Times New Roman" w:hAnsi="Times New Roman" w:eastAsia="宋体" w:cs="Times New Roman"/>
      <w:color w:val="FF0000"/>
      <w:kern w:val="0"/>
      <w:sz w:val="24"/>
      <w:szCs w:val="20"/>
    </w:rPr>
  </w:style>
  <w:style w:type="paragraph" w:customStyle="1" w:styleId="41">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42">
    <w:name w:val="6"/>
    <w:basedOn w:val="1"/>
    <w:qFormat/>
    <w:uiPriority w:val="0"/>
    <w:rPr>
      <w:rFonts w:ascii="Tahoma" w:hAnsi="Tahoma"/>
      <w:sz w:val="24"/>
      <w:szCs w:val="20"/>
    </w:rPr>
  </w:style>
  <w:style w:type="character" w:customStyle="1" w:styleId="43">
    <w:name w:val="列出段落 Char"/>
    <w:link w:val="32"/>
    <w:qFormat/>
    <w:locked/>
    <w:uiPriority w:val="0"/>
    <w:rPr>
      <w:rFonts w:ascii="Times New Roman" w:hAnsi="Times New Roman" w:eastAsia="宋体" w:cs="Times New Roman"/>
      <w:szCs w:val="24"/>
    </w:rPr>
  </w:style>
  <w:style w:type="character" w:customStyle="1" w:styleId="44">
    <w:name w:val="标题1"/>
    <w:basedOn w:val="21"/>
    <w:qFormat/>
    <w:uiPriority w:val="0"/>
  </w:style>
  <w:style w:type="character" w:customStyle="1" w:styleId="45">
    <w:name w:val="文档结构图 Char"/>
    <w:basedOn w:val="21"/>
    <w:link w:val="7"/>
    <w:semiHidden/>
    <w:qFormat/>
    <w:uiPriority w:val="99"/>
    <w:rPr>
      <w:rFonts w:ascii="宋体" w:hAnsi="Times New Roman" w:eastAsia="宋体" w:cs="Times New Roman"/>
      <w:sz w:val="18"/>
      <w:szCs w:val="18"/>
    </w:rPr>
  </w:style>
  <w:style w:type="character" w:customStyle="1" w:styleId="46">
    <w:name w:val="批注文字 Char"/>
    <w:link w:val="8"/>
    <w:qFormat/>
    <w:uiPriority w:val="0"/>
    <w:rPr>
      <w:szCs w:val="24"/>
    </w:rPr>
  </w:style>
  <w:style w:type="character" w:customStyle="1" w:styleId="47">
    <w:name w:val="批注文字 Char1"/>
    <w:basedOn w:val="21"/>
    <w:semiHidden/>
    <w:qFormat/>
    <w:uiPriority w:val="99"/>
    <w:rPr>
      <w:rFonts w:ascii="Times New Roman" w:hAnsi="Times New Roman" w:eastAsia="宋体" w:cs="Times New Roman"/>
      <w:szCs w:val="24"/>
    </w:rPr>
  </w:style>
  <w:style w:type="paragraph" w:customStyle="1" w:styleId="4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4DDF6-A9AB-41A0-841B-72C77EA52D6A}">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41</Pages>
  <Words>3269</Words>
  <Characters>18639</Characters>
  <Lines>155</Lines>
  <Paragraphs>43</Paragraphs>
  <TotalTime>8</TotalTime>
  <ScaleCrop>false</ScaleCrop>
  <LinksUpToDate>false</LinksUpToDate>
  <CharactersWithSpaces>21865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2016-01-07T02:11:00Z</dcterms:created>
  <dc:creator>chenjun</dc:creator>
  <cp:lastModifiedBy>hhh</cp:lastModifiedBy>
  <cp:lastPrinted>2016-01-05T02:56:00Z</cp:lastPrinted>
  <dcterms:modified xsi:type="dcterms:W3CDTF">2024-06-21T11:04:37Z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CE29AB0E31AA44D49AD468B826D6897F_12</vt:lpwstr>
  </property>
</Properties>
</file>