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jc w:val="center"/>
        <w:rPr>
          <w:rFonts w:hint="eastAsia" w:ascii="宋体" w:hAnsi="宋体" w:eastAsia="宋体" w:cs="宋体"/>
          <w:b/>
          <w:color w:val="000000" w:themeColor="text1"/>
          <w:kern w:val="0"/>
          <w:sz w:val="21"/>
          <w:szCs w:val="21"/>
          <w14:textFill>
            <w14:solidFill>
              <w14:schemeClr w14:val="tx1"/>
            </w14:solidFill>
          </w14:textFill>
        </w:rPr>
      </w:pPr>
    </w:p>
    <w:p>
      <w:pPr>
        <w:spacing w:line="240" w:lineRule="auto"/>
        <w:jc w:val="center"/>
        <w:rPr>
          <w:rFonts w:hint="eastAsia" w:ascii="宋体" w:hAnsi="宋体" w:eastAsia="宋体" w:cs="宋体"/>
          <w:b/>
          <w:color w:val="000000" w:themeColor="text1"/>
          <w:kern w:val="0"/>
          <w:sz w:val="21"/>
          <w:szCs w:val="21"/>
          <w14:textFill>
            <w14:solidFill>
              <w14:schemeClr w14:val="tx1"/>
            </w14:solidFill>
          </w14:textFill>
        </w:rPr>
      </w:pPr>
    </w:p>
    <w:p>
      <w:pPr>
        <w:spacing w:line="240" w:lineRule="auto"/>
        <w:jc w:val="center"/>
        <w:rPr>
          <w:rFonts w:hint="eastAsia" w:ascii="黑体" w:hAnsi="黑体" w:eastAsia="黑体" w:cs="黑体"/>
          <w:b/>
          <w:color w:val="000000" w:themeColor="text1"/>
          <w:kern w:val="0"/>
          <w:sz w:val="40"/>
          <w:szCs w:val="40"/>
          <w14:textFill>
            <w14:solidFill>
              <w14:schemeClr w14:val="tx1"/>
            </w14:solidFill>
          </w14:textFill>
        </w:rPr>
      </w:pPr>
      <w:r>
        <w:rPr>
          <w:rFonts w:hint="eastAsia" w:ascii="黑体" w:hAnsi="黑体" w:eastAsia="黑体" w:cs="黑体"/>
          <w:b/>
          <w:color w:val="000000" w:themeColor="text1"/>
          <w:kern w:val="0"/>
          <w:sz w:val="72"/>
          <w:szCs w:val="72"/>
          <w14:textFill>
            <w14:solidFill>
              <w14:schemeClr w14:val="tx1"/>
            </w14:solidFill>
          </w14:textFill>
        </w:rPr>
        <w:t>天空美术馆二期改造项目48楼改造设计项目</w:t>
      </w:r>
    </w:p>
    <w:p>
      <w:pPr>
        <w:spacing w:line="240" w:lineRule="auto"/>
        <w:jc w:val="center"/>
        <w:rPr>
          <w:rFonts w:hint="eastAsia" w:ascii="黑体" w:hAnsi="黑体" w:eastAsia="黑体" w:cs="黑体"/>
          <w:b/>
          <w:color w:val="000000" w:themeColor="text1"/>
          <w:kern w:val="0"/>
          <w:sz w:val="40"/>
          <w:szCs w:val="40"/>
          <w14:textFill>
            <w14:solidFill>
              <w14:schemeClr w14:val="tx1"/>
            </w14:solidFill>
          </w14:textFill>
        </w:rPr>
      </w:pPr>
    </w:p>
    <w:p>
      <w:pPr>
        <w:spacing w:line="240" w:lineRule="auto"/>
        <w:jc w:val="center"/>
        <w:rPr>
          <w:rFonts w:hint="eastAsia" w:ascii="宋体" w:hAnsi="宋体" w:eastAsia="宋体" w:cs="宋体"/>
          <w:b/>
          <w:color w:val="000000" w:themeColor="text1"/>
          <w:kern w:val="0"/>
          <w:sz w:val="40"/>
          <w:szCs w:val="40"/>
          <w14:textFill>
            <w14:solidFill>
              <w14:schemeClr w14:val="tx1"/>
            </w14:solidFill>
          </w14:textFill>
        </w:rPr>
      </w:pPr>
    </w:p>
    <w:p>
      <w:pPr>
        <w:spacing w:line="240" w:lineRule="auto"/>
        <w:jc w:val="center"/>
        <w:rPr>
          <w:rFonts w:hint="eastAsia" w:ascii="宋体" w:hAnsi="宋体" w:eastAsia="宋体" w:cs="宋体"/>
          <w:b/>
          <w:color w:val="000000" w:themeColor="text1"/>
          <w:kern w:val="0"/>
          <w:sz w:val="40"/>
          <w:szCs w:val="40"/>
          <w14:textFill>
            <w14:solidFill>
              <w14:schemeClr w14:val="tx1"/>
            </w14:solidFill>
          </w14:textFill>
        </w:rPr>
      </w:pPr>
    </w:p>
    <w:p>
      <w:pPr>
        <w:spacing w:line="240" w:lineRule="auto"/>
        <w:jc w:val="center"/>
        <w:rPr>
          <w:rFonts w:hint="eastAsia" w:ascii="宋体" w:hAnsi="宋体" w:eastAsia="宋体" w:cs="宋体"/>
          <w:b/>
          <w:bCs/>
          <w:color w:val="000000" w:themeColor="text1"/>
          <w:sz w:val="52"/>
          <w:szCs w:val="52"/>
          <w14:textFill>
            <w14:solidFill>
              <w14:schemeClr w14:val="tx1"/>
            </w14:solidFill>
          </w14:textFill>
        </w:rPr>
      </w:pPr>
      <w:r>
        <w:rPr>
          <w:rFonts w:hint="eastAsia" w:ascii="宋体" w:hAnsi="宋体" w:eastAsia="宋体" w:cs="宋体"/>
          <w:b/>
          <w:bCs/>
          <w:color w:val="000000" w:themeColor="text1"/>
          <w:sz w:val="52"/>
          <w:szCs w:val="52"/>
          <w14:textFill>
            <w14:solidFill>
              <w14:schemeClr w14:val="tx1"/>
            </w14:solidFill>
          </w14:textFill>
        </w:rPr>
        <w:t>竞争性谈判文件</w:t>
      </w:r>
    </w:p>
    <w:p>
      <w:pPr>
        <w:spacing w:line="240" w:lineRule="auto"/>
        <w:jc w:val="center"/>
        <w:outlineLvl w:val="0"/>
        <w:rPr>
          <w:rFonts w:hint="eastAsia" w:ascii="宋体" w:hAnsi="宋体" w:eastAsia="宋体" w:cs="宋体"/>
          <w:color w:val="auto"/>
          <w:sz w:val="40"/>
          <w:szCs w:val="40"/>
          <w:highlight w:val="none"/>
          <w:lang w:val="en-US" w:eastAsia="zh-CN"/>
        </w:rPr>
      </w:pPr>
      <w:bookmarkStart w:id="0" w:name="_Toc23836"/>
      <w:bookmarkStart w:id="1" w:name="_Toc20369"/>
      <w:bookmarkStart w:id="2" w:name="_Toc13549"/>
      <w:bookmarkStart w:id="3" w:name="_Toc11874"/>
      <w:bookmarkStart w:id="4" w:name="_Toc23099"/>
      <w:r>
        <w:rPr>
          <w:rFonts w:hint="eastAsia" w:ascii="宋体" w:hAnsi="宋体" w:eastAsia="宋体" w:cs="宋体"/>
          <w:b/>
          <w:color w:val="000000" w:themeColor="text1"/>
          <w:sz w:val="40"/>
          <w:szCs w:val="40"/>
          <w:highlight w:val="none"/>
          <w14:textFill>
            <w14:solidFill>
              <w14:schemeClr w14:val="tx1"/>
            </w14:solidFill>
          </w14:textFill>
        </w:rPr>
        <w:t>采购编号</w:t>
      </w:r>
      <w:r>
        <w:rPr>
          <w:rFonts w:hint="eastAsia" w:ascii="宋体" w:hAnsi="宋体" w:eastAsia="宋体" w:cs="宋体"/>
          <w:color w:val="000000" w:themeColor="text1"/>
          <w:sz w:val="40"/>
          <w:szCs w:val="40"/>
          <w:highlight w:val="none"/>
          <w14:textFill>
            <w14:solidFill>
              <w14:schemeClr w14:val="tx1"/>
            </w14:solidFill>
          </w14:textFill>
        </w:rPr>
        <w:t>：</w:t>
      </w:r>
      <w:r>
        <w:rPr>
          <w:rFonts w:hint="eastAsia" w:ascii="宋体" w:hAnsi="宋体" w:eastAsia="宋体" w:cs="宋体"/>
          <w:color w:val="auto"/>
          <w:sz w:val="40"/>
          <w:szCs w:val="40"/>
          <w:highlight w:val="none"/>
          <w:lang w:val="en-US" w:eastAsia="zh-CN"/>
        </w:rPr>
        <w:t>SJZD</w:t>
      </w:r>
      <w:r>
        <w:rPr>
          <w:rFonts w:hint="eastAsia" w:ascii="宋体" w:hAnsi="宋体" w:eastAsia="宋体" w:cs="宋体"/>
          <w:color w:val="auto"/>
          <w:sz w:val="40"/>
          <w:szCs w:val="40"/>
          <w:highlight w:val="none"/>
        </w:rPr>
        <w:t>-20</w:t>
      </w:r>
      <w:r>
        <w:rPr>
          <w:rFonts w:hint="eastAsia" w:ascii="宋体" w:hAnsi="宋体" w:eastAsia="宋体" w:cs="宋体"/>
          <w:color w:val="auto"/>
          <w:sz w:val="40"/>
          <w:szCs w:val="40"/>
          <w:highlight w:val="none"/>
          <w:lang w:val="en-US" w:eastAsia="zh-CN"/>
        </w:rPr>
        <w:t>25001</w:t>
      </w:r>
      <w:bookmarkEnd w:id="0"/>
      <w:bookmarkEnd w:id="1"/>
      <w:bookmarkEnd w:id="2"/>
      <w:bookmarkEnd w:id="3"/>
      <w:bookmarkEnd w:id="4"/>
    </w:p>
    <w:p>
      <w:pPr>
        <w:spacing w:line="240" w:lineRule="auto"/>
        <w:jc w:val="center"/>
        <w:rPr>
          <w:rFonts w:hint="eastAsia" w:ascii="宋体" w:hAnsi="宋体" w:eastAsia="宋体" w:cs="宋体"/>
          <w:color w:val="000000" w:themeColor="text1"/>
          <w:sz w:val="40"/>
          <w:szCs w:val="40"/>
          <w14:textFill>
            <w14:solidFill>
              <w14:schemeClr w14:val="tx1"/>
            </w14:solidFill>
          </w14:textFill>
        </w:rPr>
      </w:pPr>
    </w:p>
    <w:p>
      <w:pPr>
        <w:spacing w:line="240" w:lineRule="auto"/>
        <w:jc w:val="center"/>
        <w:rPr>
          <w:rFonts w:hint="eastAsia" w:ascii="宋体" w:hAnsi="宋体" w:eastAsia="宋体" w:cs="宋体"/>
          <w:color w:val="000000" w:themeColor="text1"/>
          <w:sz w:val="40"/>
          <w:szCs w:val="40"/>
          <w14:textFill>
            <w14:solidFill>
              <w14:schemeClr w14:val="tx1"/>
            </w14:solidFill>
          </w14:textFill>
        </w:rPr>
      </w:pPr>
    </w:p>
    <w:p>
      <w:pPr>
        <w:spacing w:line="240" w:lineRule="auto"/>
        <w:jc w:val="center"/>
        <w:rPr>
          <w:rFonts w:hint="eastAsia" w:ascii="宋体" w:hAnsi="宋体" w:eastAsia="宋体" w:cs="宋体"/>
          <w:color w:val="000000" w:themeColor="text1"/>
          <w:sz w:val="40"/>
          <w:szCs w:val="40"/>
          <w14:textFill>
            <w14:solidFill>
              <w14:schemeClr w14:val="tx1"/>
            </w14:solidFill>
          </w14:textFill>
        </w:rPr>
      </w:pPr>
    </w:p>
    <w:p>
      <w:pPr>
        <w:spacing w:line="240" w:lineRule="auto"/>
        <w:jc w:val="center"/>
        <w:rPr>
          <w:rFonts w:hint="eastAsia" w:ascii="宋体" w:hAnsi="宋体" w:eastAsia="宋体" w:cs="宋体"/>
          <w:color w:val="000000" w:themeColor="text1"/>
          <w:sz w:val="40"/>
          <w:szCs w:val="40"/>
          <w14:textFill>
            <w14:solidFill>
              <w14:schemeClr w14:val="tx1"/>
            </w14:solidFill>
          </w14:textFill>
        </w:rPr>
      </w:pPr>
    </w:p>
    <w:p>
      <w:pPr>
        <w:spacing w:line="240" w:lineRule="auto"/>
        <w:jc w:val="center"/>
        <w:rPr>
          <w:rFonts w:hint="eastAsia" w:ascii="宋体" w:hAnsi="宋体" w:eastAsia="宋体" w:cs="宋体"/>
          <w:color w:val="000000" w:themeColor="text1"/>
          <w:sz w:val="40"/>
          <w:szCs w:val="40"/>
          <w14:textFill>
            <w14:solidFill>
              <w14:schemeClr w14:val="tx1"/>
            </w14:solidFill>
          </w14:textFill>
        </w:rPr>
      </w:pPr>
    </w:p>
    <w:p>
      <w:pPr>
        <w:pStyle w:val="2"/>
        <w:rPr>
          <w:rFonts w:hint="eastAsia"/>
        </w:rPr>
      </w:pPr>
    </w:p>
    <w:p>
      <w:pPr>
        <w:spacing w:line="240" w:lineRule="auto"/>
        <w:jc w:val="center"/>
        <w:rPr>
          <w:rFonts w:hint="eastAsia" w:ascii="宋体" w:hAnsi="宋体" w:eastAsia="宋体" w:cs="宋体"/>
          <w:color w:val="000000" w:themeColor="text1"/>
          <w:sz w:val="40"/>
          <w:szCs w:val="40"/>
          <w14:textFill>
            <w14:solidFill>
              <w14:schemeClr w14:val="tx1"/>
            </w14:solidFill>
          </w14:textFill>
        </w:rPr>
      </w:pPr>
    </w:p>
    <w:p>
      <w:pPr>
        <w:spacing w:line="240" w:lineRule="auto"/>
        <w:jc w:val="center"/>
        <w:rPr>
          <w:rFonts w:hint="eastAsia" w:ascii="宋体" w:hAnsi="宋体" w:eastAsia="宋体" w:cs="宋体"/>
          <w:color w:val="000000" w:themeColor="text1"/>
          <w:sz w:val="40"/>
          <w:szCs w:val="40"/>
          <w14:textFill>
            <w14:solidFill>
              <w14:schemeClr w14:val="tx1"/>
            </w14:solidFill>
          </w14:textFill>
        </w:rPr>
      </w:pPr>
    </w:p>
    <w:p>
      <w:pPr>
        <w:spacing w:line="240" w:lineRule="auto"/>
        <w:ind w:firstLine="0" w:firstLineChars="0"/>
        <w:jc w:val="center"/>
        <w:outlineLvl w:val="0"/>
        <w:rPr>
          <w:rFonts w:hint="eastAsia" w:ascii="宋体" w:hAnsi="宋体" w:eastAsia="宋体" w:cs="宋体"/>
          <w:color w:val="000000"/>
          <w:sz w:val="32"/>
          <w:szCs w:val="32"/>
        </w:rPr>
      </w:pPr>
      <w:bookmarkStart w:id="5" w:name="_Toc24124"/>
      <w:bookmarkStart w:id="6" w:name="_Toc24712"/>
      <w:bookmarkStart w:id="7" w:name="_Toc1540"/>
      <w:bookmarkStart w:id="8" w:name="_Toc32585"/>
      <w:bookmarkStart w:id="9" w:name="_Toc29441"/>
      <w:r>
        <w:rPr>
          <w:rFonts w:hint="eastAsia" w:ascii="宋体" w:hAnsi="宋体" w:eastAsia="宋体" w:cs="宋体"/>
          <w:color w:val="000000"/>
          <w:sz w:val="32"/>
          <w:szCs w:val="32"/>
        </w:rPr>
        <w:t>深圳市</w:t>
      </w:r>
      <w:r>
        <w:rPr>
          <w:rFonts w:hint="eastAsia" w:ascii="宋体" w:hAnsi="宋体" w:eastAsia="宋体" w:cs="宋体"/>
          <w:color w:val="000000"/>
          <w:sz w:val="32"/>
          <w:szCs w:val="32"/>
          <w:lang w:eastAsia="zh-CN"/>
        </w:rPr>
        <w:t>设计之都运营发展</w:t>
      </w:r>
      <w:r>
        <w:rPr>
          <w:rFonts w:hint="eastAsia" w:ascii="宋体" w:hAnsi="宋体" w:eastAsia="宋体" w:cs="宋体"/>
          <w:color w:val="000000"/>
          <w:sz w:val="32"/>
          <w:szCs w:val="32"/>
        </w:rPr>
        <w:t>有限公司</w:t>
      </w:r>
      <w:bookmarkEnd w:id="5"/>
      <w:bookmarkEnd w:id="6"/>
      <w:bookmarkEnd w:id="7"/>
      <w:bookmarkEnd w:id="8"/>
      <w:bookmarkEnd w:id="9"/>
    </w:p>
    <w:p>
      <w:pPr>
        <w:spacing w:line="240" w:lineRule="auto"/>
        <w:ind w:firstLine="0" w:firstLineChars="0"/>
        <w:jc w:val="left"/>
        <w:rPr>
          <w:rFonts w:hint="eastAsia" w:ascii="宋体" w:hAnsi="宋体" w:eastAsia="宋体" w:cs="宋体"/>
          <w:color w:val="000000"/>
          <w:sz w:val="40"/>
          <w:szCs w:val="40"/>
        </w:rPr>
      </w:pPr>
      <w:r>
        <w:rPr>
          <w:rFonts w:hint="eastAsia" w:ascii="宋体" w:hAnsi="宋体" w:eastAsia="宋体" w:cs="宋体"/>
          <w:color w:val="000000"/>
          <w:sz w:val="40"/>
          <w:szCs w:val="40"/>
        </w:rPr>
        <w:br w:type="page"/>
      </w:r>
    </w:p>
    <w:sdt>
      <w:sdtPr>
        <w:rPr>
          <w:rFonts w:ascii="宋体" w:hAnsi="宋体" w:eastAsia="宋体" w:cstheme="minorBidi"/>
          <w:kern w:val="2"/>
          <w:sz w:val="21"/>
          <w:szCs w:val="22"/>
          <w:lang w:val="en-US" w:eastAsia="zh-CN" w:bidi="ar-SA"/>
        </w:rPr>
        <w:id w:val="147481262"/>
        <w15:color w:val="DBDBDB"/>
        <w:docPartObj>
          <w:docPartGallery w:val="Table of Contents"/>
          <w:docPartUnique/>
        </w:docPartObj>
      </w:sdtPr>
      <w:sdtContent>
        <w:p>
          <w:pPr>
            <w:spacing w:before="0" w:beforeLines="0" w:after="0" w:afterLines="0" w:line="240" w:lineRule="auto"/>
            <w:ind w:left="0" w:leftChars="0" w:right="0" w:rightChars="0" w:firstLine="0" w:firstLineChars="0"/>
            <w:jc w:val="center"/>
          </w:pPr>
          <w:r>
            <w:rPr>
              <w:rFonts w:ascii="宋体" w:hAnsi="宋体" w:eastAsia="宋体"/>
              <w:sz w:val="21"/>
            </w:rPr>
            <w:t>目录</w:t>
          </w:r>
        </w:p>
        <w:p>
          <w:pPr>
            <w:pStyle w:val="2"/>
            <w:tabs>
              <w:tab w:val="right" w:leader="dot" w:pos="8312"/>
            </w:tabs>
          </w:pPr>
          <w:r>
            <w:fldChar w:fldCharType="begin"/>
          </w:r>
          <w:r>
            <w:instrText xml:space="preserve">TOC \o "1-3" \h \u </w:instrText>
          </w:r>
          <w:r>
            <w:fldChar w:fldCharType="separate"/>
          </w:r>
          <w:r>
            <w:fldChar w:fldCharType="begin"/>
          </w:r>
          <w:r>
            <w:instrText xml:space="preserve"> HYPERLINK \l _Toc23099 </w:instrText>
          </w:r>
          <w:r>
            <w:fldChar w:fldCharType="separate"/>
          </w:r>
          <w:r>
            <w:rPr>
              <w:rFonts w:hint="eastAsia" w:ascii="宋体" w:hAnsi="宋体" w:eastAsia="宋体" w:cs="宋体"/>
              <w:szCs w:val="40"/>
              <w:highlight w:val="none"/>
            </w:rPr>
            <w:t>采购编号：</w:t>
          </w:r>
          <w:r>
            <w:rPr>
              <w:rFonts w:hint="eastAsia" w:ascii="宋体" w:hAnsi="宋体" w:eastAsia="宋体" w:cs="宋体"/>
              <w:szCs w:val="40"/>
              <w:highlight w:val="none"/>
              <w:lang w:val="en-US" w:eastAsia="zh-CN"/>
            </w:rPr>
            <w:t>SJZD</w:t>
          </w:r>
          <w:r>
            <w:rPr>
              <w:rFonts w:hint="eastAsia" w:ascii="宋体" w:hAnsi="宋体" w:eastAsia="宋体" w:cs="宋体"/>
              <w:szCs w:val="40"/>
              <w:highlight w:val="none"/>
            </w:rPr>
            <w:t>-20</w:t>
          </w:r>
          <w:r>
            <w:rPr>
              <w:rFonts w:hint="eastAsia" w:ascii="宋体" w:hAnsi="宋体" w:eastAsia="宋体" w:cs="宋体"/>
              <w:szCs w:val="40"/>
              <w:highlight w:val="none"/>
              <w:lang w:val="en-US" w:eastAsia="zh-CN"/>
            </w:rPr>
            <w:t>25001</w:t>
          </w:r>
          <w:r>
            <w:tab/>
          </w:r>
          <w:r>
            <w:fldChar w:fldCharType="begin"/>
          </w:r>
          <w:r>
            <w:instrText xml:space="preserve"> PAGEREF _Toc23099 \h </w:instrText>
          </w:r>
          <w:r>
            <w:fldChar w:fldCharType="separate"/>
          </w:r>
          <w:r>
            <w:t>1</w:t>
          </w:r>
          <w:r>
            <w:fldChar w:fldCharType="end"/>
          </w:r>
          <w:r>
            <w:fldChar w:fldCharType="end"/>
          </w:r>
        </w:p>
        <w:p>
          <w:pPr>
            <w:pStyle w:val="2"/>
            <w:tabs>
              <w:tab w:val="right" w:leader="dot" w:pos="8312"/>
            </w:tabs>
          </w:pPr>
          <w:r>
            <w:fldChar w:fldCharType="begin"/>
          </w:r>
          <w:r>
            <w:instrText xml:space="preserve"> HYPERLINK \l _Toc29441 </w:instrText>
          </w:r>
          <w:r>
            <w:fldChar w:fldCharType="separate"/>
          </w:r>
          <w:r>
            <w:rPr>
              <w:rFonts w:hint="eastAsia" w:ascii="宋体" w:hAnsi="宋体" w:eastAsia="宋体" w:cs="宋体"/>
              <w:szCs w:val="32"/>
            </w:rPr>
            <w:t>深圳市</w:t>
          </w:r>
          <w:r>
            <w:rPr>
              <w:rFonts w:hint="eastAsia" w:ascii="宋体" w:hAnsi="宋体" w:eastAsia="宋体" w:cs="宋体"/>
              <w:szCs w:val="32"/>
              <w:lang w:eastAsia="zh-CN"/>
            </w:rPr>
            <w:t>设计之都运营发展</w:t>
          </w:r>
          <w:r>
            <w:rPr>
              <w:rFonts w:hint="eastAsia" w:ascii="宋体" w:hAnsi="宋体" w:eastAsia="宋体" w:cs="宋体"/>
              <w:szCs w:val="32"/>
            </w:rPr>
            <w:t>有限公司</w:t>
          </w:r>
          <w:r>
            <w:tab/>
          </w:r>
          <w:r>
            <w:fldChar w:fldCharType="begin"/>
          </w:r>
          <w:r>
            <w:instrText xml:space="preserve"> PAGEREF _Toc29441 \h </w:instrText>
          </w:r>
          <w:r>
            <w:fldChar w:fldCharType="separate"/>
          </w:r>
          <w:r>
            <w:t>1</w:t>
          </w:r>
          <w:r>
            <w:fldChar w:fldCharType="end"/>
          </w:r>
          <w:r>
            <w:fldChar w:fldCharType="end"/>
          </w:r>
        </w:p>
        <w:p>
          <w:pPr>
            <w:pStyle w:val="2"/>
            <w:tabs>
              <w:tab w:val="right" w:leader="dot" w:pos="8312"/>
            </w:tabs>
          </w:pPr>
          <w:r>
            <w:fldChar w:fldCharType="begin"/>
          </w:r>
          <w:r>
            <w:instrText xml:space="preserve"> HYPERLINK \l _Toc12237 </w:instrText>
          </w:r>
          <w:r>
            <w:fldChar w:fldCharType="separate"/>
          </w:r>
          <w:r>
            <w:rPr>
              <w:rFonts w:hint="eastAsia" w:ascii="宋体" w:hAnsi="宋体" w:cs="宋体"/>
              <w:szCs w:val="21"/>
            </w:rPr>
            <w:t>第一章 竞争性谈判邀请</w:t>
          </w:r>
          <w:r>
            <w:tab/>
          </w:r>
          <w:r>
            <w:fldChar w:fldCharType="begin"/>
          </w:r>
          <w:r>
            <w:instrText xml:space="preserve"> PAGEREF _Toc12237 \h </w:instrText>
          </w:r>
          <w:r>
            <w:fldChar w:fldCharType="separate"/>
          </w:r>
          <w:r>
            <w:t>4</w:t>
          </w:r>
          <w:r>
            <w:fldChar w:fldCharType="end"/>
          </w:r>
          <w:r>
            <w:fldChar w:fldCharType="end"/>
          </w:r>
        </w:p>
        <w:p>
          <w:pPr>
            <w:pStyle w:val="14"/>
            <w:tabs>
              <w:tab w:val="right" w:leader="dot" w:pos="8312"/>
            </w:tabs>
          </w:pPr>
          <w:r>
            <w:fldChar w:fldCharType="begin"/>
          </w:r>
          <w:r>
            <w:instrText xml:space="preserve"> HYPERLINK \l _Toc4805 </w:instrText>
          </w:r>
          <w:r>
            <w:fldChar w:fldCharType="separate"/>
          </w:r>
          <w:r>
            <w:rPr>
              <w:rFonts w:hint="eastAsia" w:ascii="宋体" w:hAnsi="宋体" w:eastAsia="宋体" w:cs="宋体"/>
              <w:szCs w:val="21"/>
            </w:rPr>
            <w:t>三、 资格要求</w:t>
          </w:r>
          <w:r>
            <w:tab/>
          </w:r>
          <w:r>
            <w:fldChar w:fldCharType="begin"/>
          </w:r>
          <w:r>
            <w:instrText xml:space="preserve"> PAGEREF _Toc4805 \h </w:instrText>
          </w:r>
          <w:r>
            <w:fldChar w:fldCharType="separate"/>
          </w:r>
          <w:r>
            <w:t>4</w:t>
          </w:r>
          <w:r>
            <w:fldChar w:fldCharType="end"/>
          </w:r>
          <w:r>
            <w:fldChar w:fldCharType="end"/>
          </w:r>
        </w:p>
        <w:p>
          <w:pPr>
            <w:pStyle w:val="14"/>
            <w:tabs>
              <w:tab w:val="right" w:leader="dot" w:pos="8312"/>
            </w:tabs>
          </w:pPr>
          <w:r>
            <w:fldChar w:fldCharType="begin"/>
          </w:r>
          <w:r>
            <w:instrText xml:space="preserve"> HYPERLINK \l _Toc20918 </w:instrText>
          </w:r>
          <w:r>
            <w:fldChar w:fldCharType="separate"/>
          </w:r>
          <w:r>
            <w:rPr>
              <w:rFonts w:hint="eastAsia" w:ascii="宋体" w:hAnsi="宋体" w:eastAsia="宋体" w:cs="宋体"/>
              <w:szCs w:val="21"/>
            </w:rPr>
            <w:t>六、 竞争性谈判方式：</w:t>
          </w:r>
          <w:r>
            <w:tab/>
          </w:r>
          <w:r>
            <w:fldChar w:fldCharType="begin"/>
          </w:r>
          <w:r>
            <w:instrText xml:space="preserve"> PAGEREF _Toc20918 \h </w:instrText>
          </w:r>
          <w:r>
            <w:fldChar w:fldCharType="separate"/>
          </w:r>
          <w:r>
            <w:t>4</w:t>
          </w:r>
          <w:r>
            <w:fldChar w:fldCharType="end"/>
          </w:r>
          <w:r>
            <w:fldChar w:fldCharType="end"/>
          </w:r>
        </w:p>
        <w:p>
          <w:pPr>
            <w:pStyle w:val="2"/>
            <w:tabs>
              <w:tab w:val="right" w:leader="dot" w:pos="8312"/>
            </w:tabs>
          </w:pPr>
          <w:r>
            <w:fldChar w:fldCharType="begin"/>
          </w:r>
          <w:r>
            <w:instrText xml:space="preserve"> HYPERLINK \l _Toc385 </w:instrText>
          </w:r>
          <w:r>
            <w:fldChar w:fldCharType="separate"/>
          </w:r>
          <w:r>
            <w:rPr>
              <w:rFonts w:hint="eastAsia" w:ascii="宋体" w:hAnsi="宋体" w:eastAsia="宋体" w:cs="宋体"/>
              <w:szCs w:val="21"/>
            </w:rPr>
            <w:t>第二章 竞争性谈判须知</w:t>
          </w:r>
          <w:r>
            <w:tab/>
          </w:r>
          <w:r>
            <w:fldChar w:fldCharType="begin"/>
          </w:r>
          <w:r>
            <w:instrText xml:space="preserve"> PAGEREF _Toc385 \h </w:instrText>
          </w:r>
          <w:r>
            <w:fldChar w:fldCharType="separate"/>
          </w:r>
          <w:r>
            <w:t>5</w:t>
          </w:r>
          <w:r>
            <w:fldChar w:fldCharType="end"/>
          </w:r>
          <w:r>
            <w:fldChar w:fldCharType="end"/>
          </w:r>
        </w:p>
        <w:p>
          <w:pPr>
            <w:pStyle w:val="8"/>
            <w:tabs>
              <w:tab w:val="right" w:leader="dot" w:pos="8312"/>
            </w:tabs>
          </w:pPr>
          <w:r>
            <w:fldChar w:fldCharType="begin"/>
          </w:r>
          <w:r>
            <w:instrText xml:space="preserve"> HYPERLINK \l _Toc32694 </w:instrText>
          </w:r>
          <w:r>
            <w:fldChar w:fldCharType="separate"/>
          </w:r>
          <w:r>
            <w:rPr>
              <w:rFonts w:hint="default" w:ascii="宋体" w:hAnsi="宋体" w:eastAsia="宋体" w:cs="宋体"/>
              <w:szCs w:val="21"/>
            </w:rPr>
            <w:t xml:space="preserve">1. </w:t>
          </w:r>
          <w:r>
            <w:rPr>
              <w:rFonts w:hint="eastAsia" w:ascii="宋体" w:hAnsi="宋体" w:eastAsia="宋体" w:cs="宋体"/>
              <w:szCs w:val="21"/>
            </w:rPr>
            <w:t>关于定标方式</w:t>
          </w:r>
          <w:r>
            <w:tab/>
          </w:r>
          <w:r>
            <w:fldChar w:fldCharType="begin"/>
          </w:r>
          <w:r>
            <w:instrText xml:space="preserve"> PAGEREF _Toc32694 \h </w:instrText>
          </w:r>
          <w:r>
            <w:fldChar w:fldCharType="separate"/>
          </w:r>
          <w:r>
            <w:t>5</w:t>
          </w:r>
          <w:r>
            <w:fldChar w:fldCharType="end"/>
          </w:r>
          <w:r>
            <w:fldChar w:fldCharType="end"/>
          </w:r>
        </w:p>
        <w:p>
          <w:pPr>
            <w:pStyle w:val="8"/>
            <w:tabs>
              <w:tab w:val="right" w:leader="dot" w:pos="8312"/>
            </w:tabs>
          </w:pPr>
          <w:r>
            <w:fldChar w:fldCharType="begin"/>
          </w:r>
          <w:r>
            <w:instrText xml:space="preserve"> HYPERLINK \l _Toc8712 </w:instrText>
          </w:r>
          <w:r>
            <w:fldChar w:fldCharType="separate"/>
          </w:r>
          <w:r>
            <w:rPr>
              <w:rFonts w:hint="eastAsia" w:ascii="宋体" w:hAnsi="宋体" w:eastAsia="宋体" w:cs="宋体"/>
              <w:szCs w:val="21"/>
            </w:rPr>
            <w:t>本项目的评标办法为综合评估法。</w:t>
          </w:r>
          <w:r>
            <w:tab/>
          </w:r>
          <w:r>
            <w:fldChar w:fldCharType="begin"/>
          </w:r>
          <w:r>
            <w:instrText xml:space="preserve"> PAGEREF _Toc8712 \h </w:instrText>
          </w:r>
          <w:r>
            <w:fldChar w:fldCharType="separate"/>
          </w:r>
          <w:r>
            <w:t>5</w:t>
          </w:r>
          <w:r>
            <w:fldChar w:fldCharType="end"/>
          </w:r>
          <w:r>
            <w:fldChar w:fldCharType="end"/>
          </w:r>
        </w:p>
        <w:p>
          <w:pPr>
            <w:pStyle w:val="8"/>
            <w:tabs>
              <w:tab w:val="right" w:leader="dot" w:pos="8312"/>
            </w:tabs>
          </w:pPr>
          <w:r>
            <w:fldChar w:fldCharType="begin"/>
          </w:r>
          <w:r>
            <w:instrText xml:space="preserve"> HYPERLINK \l _Toc21299 </w:instrText>
          </w:r>
          <w:r>
            <w:fldChar w:fldCharType="separate"/>
          </w:r>
          <w:r>
            <w:rPr>
              <w:rFonts w:hint="default" w:ascii="宋体" w:hAnsi="宋体" w:eastAsia="宋体" w:cs="宋体"/>
              <w:szCs w:val="21"/>
            </w:rPr>
            <w:t xml:space="preserve">2. </w:t>
          </w:r>
          <w:r>
            <w:rPr>
              <w:rFonts w:hint="eastAsia" w:ascii="宋体" w:hAnsi="宋体" w:eastAsia="宋体" w:cs="宋体"/>
              <w:szCs w:val="21"/>
            </w:rPr>
            <w:t>关于谈判文件</w:t>
          </w:r>
          <w:r>
            <w:tab/>
          </w:r>
          <w:r>
            <w:fldChar w:fldCharType="begin"/>
          </w:r>
          <w:r>
            <w:instrText xml:space="preserve"> PAGEREF _Toc21299 \h </w:instrText>
          </w:r>
          <w:r>
            <w:fldChar w:fldCharType="separate"/>
          </w:r>
          <w:r>
            <w:t>5</w:t>
          </w:r>
          <w:r>
            <w:fldChar w:fldCharType="end"/>
          </w:r>
          <w:r>
            <w:fldChar w:fldCharType="end"/>
          </w:r>
        </w:p>
        <w:p>
          <w:pPr>
            <w:pStyle w:val="8"/>
            <w:tabs>
              <w:tab w:val="right" w:leader="dot" w:pos="8312"/>
            </w:tabs>
          </w:pPr>
          <w:r>
            <w:fldChar w:fldCharType="begin"/>
          </w:r>
          <w:r>
            <w:instrText xml:space="preserve"> HYPERLINK \l _Toc27257 </w:instrText>
          </w:r>
          <w:r>
            <w:fldChar w:fldCharType="separate"/>
          </w:r>
          <w:r>
            <w:rPr>
              <w:rFonts w:hint="default" w:ascii="宋体" w:hAnsi="宋体" w:eastAsia="宋体" w:cs="宋体"/>
              <w:szCs w:val="21"/>
            </w:rPr>
            <w:t xml:space="preserve">3. </w:t>
          </w:r>
          <w:r>
            <w:rPr>
              <w:rFonts w:hint="eastAsia" w:ascii="宋体" w:hAnsi="宋体" w:eastAsia="宋体" w:cs="宋体"/>
              <w:szCs w:val="21"/>
            </w:rPr>
            <w:t>关于谈判供应商</w:t>
          </w:r>
          <w:r>
            <w:tab/>
          </w:r>
          <w:r>
            <w:fldChar w:fldCharType="begin"/>
          </w:r>
          <w:r>
            <w:instrText xml:space="preserve"> PAGEREF _Toc27257 \h </w:instrText>
          </w:r>
          <w:r>
            <w:fldChar w:fldCharType="separate"/>
          </w:r>
          <w:r>
            <w:t>5</w:t>
          </w:r>
          <w:r>
            <w:fldChar w:fldCharType="end"/>
          </w:r>
          <w:r>
            <w:fldChar w:fldCharType="end"/>
          </w:r>
        </w:p>
        <w:p>
          <w:pPr>
            <w:pStyle w:val="8"/>
            <w:tabs>
              <w:tab w:val="right" w:leader="dot" w:pos="8312"/>
            </w:tabs>
          </w:pPr>
          <w:r>
            <w:fldChar w:fldCharType="begin"/>
          </w:r>
          <w:r>
            <w:instrText xml:space="preserve"> HYPERLINK \l _Toc2754 </w:instrText>
          </w:r>
          <w:r>
            <w:fldChar w:fldCharType="separate"/>
          </w:r>
          <w:r>
            <w:rPr>
              <w:rFonts w:hint="default" w:ascii="宋体" w:hAnsi="宋体" w:eastAsia="宋体" w:cs="宋体"/>
              <w:szCs w:val="21"/>
            </w:rPr>
            <w:t xml:space="preserve">4. </w:t>
          </w:r>
          <w:r>
            <w:rPr>
              <w:rFonts w:hint="eastAsia" w:ascii="宋体" w:hAnsi="宋体" w:eastAsia="宋体" w:cs="宋体"/>
              <w:szCs w:val="21"/>
            </w:rPr>
            <w:t>关于谈判响应文件</w:t>
          </w:r>
          <w:r>
            <w:tab/>
          </w:r>
          <w:r>
            <w:fldChar w:fldCharType="begin"/>
          </w:r>
          <w:r>
            <w:instrText xml:space="preserve"> PAGEREF _Toc2754 \h </w:instrText>
          </w:r>
          <w:r>
            <w:fldChar w:fldCharType="separate"/>
          </w:r>
          <w:r>
            <w:t>5</w:t>
          </w:r>
          <w:r>
            <w:fldChar w:fldCharType="end"/>
          </w:r>
          <w:r>
            <w:fldChar w:fldCharType="end"/>
          </w:r>
        </w:p>
        <w:p>
          <w:pPr>
            <w:pStyle w:val="2"/>
            <w:tabs>
              <w:tab w:val="right" w:leader="dot" w:pos="8312"/>
            </w:tabs>
          </w:pPr>
          <w:r>
            <w:fldChar w:fldCharType="begin"/>
          </w:r>
          <w:r>
            <w:instrText xml:space="preserve"> HYPERLINK \l _Toc1093 </w:instrText>
          </w:r>
          <w:r>
            <w:fldChar w:fldCharType="separate"/>
          </w:r>
          <w:r>
            <w:rPr>
              <w:rFonts w:hint="eastAsia" w:ascii="宋体" w:hAnsi="宋体" w:eastAsia="宋体" w:cs="宋体"/>
              <w:szCs w:val="21"/>
            </w:rPr>
            <w:t>4.3 谈判响应文件的签署和印刷规定</w:t>
          </w:r>
          <w:r>
            <w:tab/>
          </w:r>
          <w:r>
            <w:fldChar w:fldCharType="begin"/>
          </w:r>
          <w:r>
            <w:instrText xml:space="preserve"> PAGEREF _Toc1093 \h </w:instrText>
          </w:r>
          <w:r>
            <w:fldChar w:fldCharType="separate"/>
          </w:r>
          <w:r>
            <w:t>5</w:t>
          </w:r>
          <w:r>
            <w:fldChar w:fldCharType="end"/>
          </w:r>
          <w:r>
            <w:fldChar w:fldCharType="end"/>
          </w:r>
        </w:p>
        <w:p>
          <w:pPr>
            <w:pStyle w:val="2"/>
            <w:tabs>
              <w:tab w:val="right" w:leader="dot" w:pos="8312"/>
            </w:tabs>
          </w:pPr>
          <w:r>
            <w:fldChar w:fldCharType="begin"/>
          </w:r>
          <w:r>
            <w:instrText xml:space="preserve"> HYPERLINK \l _Toc8853 </w:instrText>
          </w:r>
          <w:r>
            <w:fldChar w:fldCharType="separate"/>
          </w:r>
          <w:r>
            <w:rPr>
              <w:rFonts w:hint="eastAsia" w:ascii="宋体" w:hAnsi="宋体" w:eastAsia="宋体" w:cs="宋体"/>
              <w:szCs w:val="21"/>
            </w:rPr>
            <w:t>★4.4 谈判响应文件的装订、密封和标记</w:t>
          </w:r>
          <w:r>
            <w:tab/>
          </w:r>
          <w:r>
            <w:fldChar w:fldCharType="begin"/>
          </w:r>
          <w:r>
            <w:instrText xml:space="preserve"> PAGEREF _Toc8853 \h </w:instrText>
          </w:r>
          <w:r>
            <w:fldChar w:fldCharType="separate"/>
          </w:r>
          <w:r>
            <w:t>5</w:t>
          </w:r>
          <w:r>
            <w:fldChar w:fldCharType="end"/>
          </w:r>
          <w:r>
            <w:fldChar w:fldCharType="end"/>
          </w:r>
        </w:p>
        <w:p>
          <w:pPr>
            <w:pStyle w:val="8"/>
            <w:tabs>
              <w:tab w:val="right" w:leader="dot" w:pos="8312"/>
            </w:tabs>
          </w:pPr>
          <w:r>
            <w:fldChar w:fldCharType="begin"/>
          </w:r>
          <w:r>
            <w:instrText xml:space="preserve"> HYPERLINK \l _Toc6481 </w:instrText>
          </w:r>
          <w:r>
            <w:fldChar w:fldCharType="separate"/>
          </w:r>
          <w:r>
            <w:rPr>
              <w:rFonts w:hint="eastAsia" w:ascii="宋体" w:hAnsi="宋体" w:eastAsia="宋体" w:cs="宋体"/>
              <w:szCs w:val="21"/>
            </w:rPr>
            <w:t>★5．关于谈判保证金（本项目不要求谈判保证金）</w:t>
          </w:r>
          <w:r>
            <w:tab/>
          </w:r>
          <w:r>
            <w:fldChar w:fldCharType="begin"/>
          </w:r>
          <w:r>
            <w:instrText xml:space="preserve"> PAGEREF _Toc6481 \h </w:instrText>
          </w:r>
          <w:r>
            <w:fldChar w:fldCharType="separate"/>
          </w:r>
          <w:r>
            <w:t>6</w:t>
          </w:r>
          <w:r>
            <w:fldChar w:fldCharType="end"/>
          </w:r>
          <w:r>
            <w:fldChar w:fldCharType="end"/>
          </w:r>
        </w:p>
        <w:p>
          <w:pPr>
            <w:pStyle w:val="8"/>
            <w:tabs>
              <w:tab w:val="right" w:leader="dot" w:pos="8312"/>
            </w:tabs>
          </w:pPr>
          <w:r>
            <w:fldChar w:fldCharType="begin"/>
          </w:r>
          <w:r>
            <w:instrText xml:space="preserve"> HYPERLINK \l _Toc10634 </w:instrText>
          </w:r>
          <w:r>
            <w:fldChar w:fldCharType="separate"/>
          </w:r>
          <w:r>
            <w:rPr>
              <w:rFonts w:hint="eastAsia" w:ascii="宋体" w:hAnsi="宋体" w:eastAsia="宋体" w:cs="宋体"/>
              <w:szCs w:val="21"/>
            </w:rPr>
            <w:t>6</w:t>
          </w:r>
          <w:r>
            <w:rPr>
              <w:rFonts w:hint="eastAsia" w:ascii="宋体" w:hAnsi="宋体" w:eastAsia="宋体" w:cs="宋体"/>
              <w:kern w:val="2"/>
              <w:szCs w:val="21"/>
            </w:rPr>
            <w:t>．关于竞争性谈判和竞争性谈判费用</w:t>
          </w:r>
          <w:r>
            <w:tab/>
          </w:r>
          <w:r>
            <w:fldChar w:fldCharType="begin"/>
          </w:r>
          <w:r>
            <w:instrText xml:space="preserve"> PAGEREF _Toc10634 \h </w:instrText>
          </w:r>
          <w:r>
            <w:fldChar w:fldCharType="separate"/>
          </w:r>
          <w:r>
            <w:t>6</w:t>
          </w:r>
          <w:r>
            <w:fldChar w:fldCharType="end"/>
          </w:r>
          <w:r>
            <w:fldChar w:fldCharType="end"/>
          </w:r>
        </w:p>
        <w:p>
          <w:pPr>
            <w:pStyle w:val="8"/>
            <w:tabs>
              <w:tab w:val="right" w:leader="dot" w:pos="8312"/>
            </w:tabs>
          </w:pPr>
          <w:r>
            <w:fldChar w:fldCharType="begin"/>
          </w:r>
          <w:r>
            <w:instrText xml:space="preserve"> HYPERLINK \l _Toc8007 </w:instrText>
          </w:r>
          <w:r>
            <w:fldChar w:fldCharType="separate"/>
          </w:r>
          <w:r>
            <w:rPr>
              <w:rFonts w:hint="eastAsia" w:ascii="宋体" w:hAnsi="宋体" w:eastAsia="宋体" w:cs="宋体"/>
              <w:szCs w:val="21"/>
            </w:rPr>
            <w:t>7．关于竞争性谈判</w:t>
          </w:r>
          <w:r>
            <w:tab/>
          </w:r>
          <w:r>
            <w:fldChar w:fldCharType="begin"/>
          </w:r>
          <w:r>
            <w:instrText xml:space="preserve"> PAGEREF _Toc8007 \h </w:instrText>
          </w:r>
          <w:r>
            <w:fldChar w:fldCharType="separate"/>
          </w:r>
          <w:r>
            <w:t>6</w:t>
          </w:r>
          <w:r>
            <w:fldChar w:fldCharType="end"/>
          </w:r>
          <w:r>
            <w:fldChar w:fldCharType="end"/>
          </w:r>
        </w:p>
        <w:p>
          <w:pPr>
            <w:pStyle w:val="8"/>
            <w:tabs>
              <w:tab w:val="right" w:leader="dot" w:pos="8312"/>
            </w:tabs>
          </w:pPr>
          <w:r>
            <w:fldChar w:fldCharType="begin"/>
          </w:r>
          <w:r>
            <w:instrText xml:space="preserve"> HYPERLINK \l _Toc32710 </w:instrText>
          </w:r>
          <w:r>
            <w:fldChar w:fldCharType="separate"/>
          </w:r>
          <w:r>
            <w:rPr>
              <w:rFonts w:hint="eastAsia" w:ascii="宋体" w:hAnsi="宋体" w:eastAsia="宋体" w:cs="宋体"/>
              <w:szCs w:val="21"/>
            </w:rPr>
            <w:t>8．关于评标</w:t>
          </w:r>
          <w:r>
            <w:tab/>
          </w:r>
          <w:r>
            <w:fldChar w:fldCharType="begin"/>
          </w:r>
          <w:r>
            <w:instrText xml:space="preserve"> PAGEREF _Toc32710 \h </w:instrText>
          </w:r>
          <w:r>
            <w:fldChar w:fldCharType="separate"/>
          </w:r>
          <w:r>
            <w:t>6</w:t>
          </w:r>
          <w:r>
            <w:fldChar w:fldCharType="end"/>
          </w:r>
          <w:r>
            <w:fldChar w:fldCharType="end"/>
          </w:r>
        </w:p>
        <w:p>
          <w:pPr>
            <w:pStyle w:val="8"/>
            <w:tabs>
              <w:tab w:val="right" w:leader="dot" w:pos="8312"/>
            </w:tabs>
          </w:pPr>
          <w:r>
            <w:fldChar w:fldCharType="begin"/>
          </w:r>
          <w:r>
            <w:instrText xml:space="preserve"> HYPERLINK \l _Toc14932 </w:instrText>
          </w:r>
          <w:r>
            <w:fldChar w:fldCharType="separate"/>
          </w:r>
          <w:r>
            <w:rPr>
              <w:rFonts w:hint="eastAsia" w:ascii="宋体" w:hAnsi="宋体" w:eastAsia="宋体" w:cs="宋体"/>
              <w:szCs w:val="21"/>
            </w:rPr>
            <w:t>9．关于定标</w:t>
          </w:r>
          <w:r>
            <w:tab/>
          </w:r>
          <w:r>
            <w:fldChar w:fldCharType="begin"/>
          </w:r>
          <w:r>
            <w:instrText xml:space="preserve"> PAGEREF _Toc14932 \h </w:instrText>
          </w:r>
          <w:r>
            <w:fldChar w:fldCharType="separate"/>
          </w:r>
          <w:r>
            <w:t>7</w:t>
          </w:r>
          <w:r>
            <w:fldChar w:fldCharType="end"/>
          </w:r>
          <w:r>
            <w:fldChar w:fldCharType="end"/>
          </w:r>
        </w:p>
        <w:p>
          <w:pPr>
            <w:pStyle w:val="8"/>
            <w:tabs>
              <w:tab w:val="right" w:leader="dot" w:pos="8312"/>
            </w:tabs>
          </w:pPr>
          <w:r>
            <w:fldChar w:fldCharType="begin"/>
          </w:r>
          <w:r>
            <w:instrText xml:space="preserve"> HYPERLINK \l _Toc21237 </w:instrText>
          </w:r>
          <w:r>
            <w:fldChar w:fldCharType="separate"/>
          </w:r>
          <w:r>
            <w:rPr>
              <w:rFonts w:hint="eastAsia" w:ascii="宋体" w:hAnsi="宋体" w:eastAsia="宋体" w:cs="宋体"/>
              <w:szCs w:val="21"/>
            </w:rPr>
            <w:t>10．关于废标和竞争性谈判失败</w:t>
          </w:r>
          <w:r>
            <w:tab/>
          </w:r>
          <w:r>
            <w:fldChar w:fldCharType="begin"/>
          </w:r>
          <w:r>
            <w:instrText xml:space="preserve"> PAGEREF _Toc21237 \h </w:instrText>
          </w:r>
          <w:r>
            <w:fldChar w:fldCharType="separate"/>
          </w:r>
          <w:r>
            <w:t>7</w:t>
          </w:r>
          <w:r>
            <w:fldChar w:fldCharType="end"/>
          </w:r>
          <w:r>
            <w:fldChar w:fldCharType="end"/>
          </w:r>
        </w:p>
        <w:p>
          <w:pPr>
            <w:pStyle w:val="14"/>
            <w:tabs>
              <w:tab w:val="right" w:leader="dot" w:pos="8312"/>
            </w:tabs>
          </w:pPr>
          <w:r>
            <w:fldChar w:fldCharType="begin"/>
          </w:r>
          <w:r>
            <w:instrText xml:space="preserve"> HYPERLINK \l _Toc23265 </w:instrText>
          </w:r>
          <w:r>
            <w:fldChar w:fldCharType="separate"/>
          </w:r>
          <w:r>
            <w:rPr>
              <w:rFonts w:hint="eastAsia" w:ascii="宋体" w:hAnsi="宋体" w:eastAsia="宋体" w:cs="宋体"/>
              <w:szCs w:val="21"/>
            </w:rPr>
            <w:t>11</w:t>
          </w:r>
          <w:r>
            <w:rPr>
              <w:rFonts w:hint="eastAsia" w:ascii="宋体" w:hAnsi="宋体" w:eastAsia="宋体" w:cs="宋体"/>
              <w:szCs w:val="21"/>
              <w:lang w:val="en-US" w:eastAsia="zh-CN"/>
            </w:rPr>
            <w:t>.</w:t>
          </w:r>
          <w:r>
            <w:rPr>
              <w:rFonts w:hint="eastAsia" w:ascii="宋体" w:hAnsi="宋体" w:eastAsia="宋体" w:cs="宋体"/>
              <w:szCs w:val="21"/>
            </w:rPr>
            <w:t>谈判程序</w:t>
          </w:r>
          <w:r>
            <w:tab/>
          </w:r>
          <w:r>
            <w:fldChar w:fldCharType="begin"/>
          </w:r>
          <w:r>
            <w:instrText xml:space="preserve"> PAGEREF _Toc23265 \h </w:instrText>
          </w:r>
          <w:r>
            <w:fldChar w:fldCharType="separate"/>
          </w:r>
          <w:r>
            <w:t>7</w:t>
          </w:r>
          <w:r>
            <w:fldChar w:fldCharType="end"/>
          </w:r>
          <w:r>
            <w:fldChar w:fldCharType="end"/>
          </w:r>
        </w:p>
        <w:p>
          <w:pPr>
            <w:pStyle w:val="8"/>
            <w:tabs>
              <w:tab w:val="right" w:leader="dot" w:pos="8312"/>
            </w:tabs>
          </w:pPr>
          <w:r>
            <w:fldChar w:fldCharType="begin"/>
          </w:r>
          <w:r>
            <w:instrText xml:space="preserve"> HYPERLINK \l _Toc3489 </w:instrText>
          </w:r>
          <w:r>
            <w:fldChar w:fldCharType="separate"/>
          </w:r>
          <w:r>
            <w:rPr>
              <w:rFonts w:hint="eastAsia" w:ascii="宋体" w:hAnsi="宋体" w:eastAsia="宋体" w:cs="宋体"/>
              <w:szCs w:val="21"/>
            </w:rPr>
            <w:t>12．名词解释</w:t>
          </w:r>
          <w:r>
            <w:tab/>
          </w:r>
          <w:r>
            <w:fldChar w:fldCharType="begin"/>
          </w:r>
          <w:r>
            <w:instrText xml:space="preserve"> PAGEREF _Toc3489 \h </w:instrText>
          </w:r>
          <w:r>
            <w:fldChar w:fldCharType="separate"/>
          </w:r>
          <w:r>
            <w:t>8</w:t>
          </w:r>
          <w:r>
            <w:fldChar w:fldCharType="end"/>
          </w:r>
          <w:r>
            <w:fldChar w:fldCharType="end"/>
          </w:r>
        </w:p>
        <w:p>
          <w:pPr>
            <w:pStyle w:val="2"/>
            <w:tabs>
              <w:tab w:val="right" w:leader="dot" w:pos="8312"/>
            </w:tabs>
          </w:pPr>
          <w:r>
            <w:fldChar w:fldCharType="begin"/>
          </w:r>
          <w:r>
            <w:instrText xml:space="preserve"> HYPERLINK \l _Toc5641 </w:instrText>
          </w:r>
          <w:r>
            <w:fldChar w:fldCharType="separate"/>
          </w:r>
          <w:r>
            <w:rPr>
              <w:rFonts w:hint="eastAsia" w:ascii="宋体" w:hAnsi="宋体" w:eastAsia="宋体" w:cs="宋体"/>
              <w:szCs w:val="21"/>
            </w:rPr>
            <w:t>第三章 用户需求书</w:t>
          </w:r>
          <w:r>
            <w:tab/>
          </w:r>
          <w:r>
            <w:fldChar w:fldCharType="begin"/>
          </w:r>
          <w:r>
            <w:instrText xml:space="preserve"> PAGEREF _Toc5641 \h </w:instrText>
          </w:r>
          <w:r>
            <w:fldChar w:fldCharType="separate"/>
          </w:r>
          <w:r>
            <w:t>9</w:t>
          </w:r>
          <w:r>
            <w:fldChar w:fldCharType="end"/>
          </w:r>
          <w:r>
            <w:fldChar w:fldCharType="end"/>
          </w:r>
        </w:p>
        <w:p>
          <w:pPr>
            <w:pStyle w:val="2"/>
            <w:tabs>
              <w:tab w:val="right" w:leader="dot" w:pos="8312"/>
            </w:tabs>
          </w:pPr>
          <w:r>
            <w:fldChar w:fldCharType="begin"/>
          </w:r>
          <w:r>
            <w:instrText xml:space="preserve"> HYPERLINK \l _Toc23111 </w:instrText>
          </w:r>
          <w:r>
            <w:fldChar w:fldCharType="separate"/>
          </w:r>
          <w:r>
            <w:rPr>
              <w:rFonts w:hint="eastAsia" w:ascii="宋体" w:hAnsi="宋体" w:eastAsia="宋体" w:cs="宋体"/>
              <w:szCs w:val="21"/>
            </w:rPr>
            <w:t>第四章 附件</w:t>
          </w:r>
          <w:r>
            <w:tab/>
          </w:r>
          <w:r>
            <w:fldChar w:fldCharType="begin"/>
          </w:r>
          <w:r>
            <w:instrText xml:space="preserve"> PAGEREF _Toc23111 \h </w:instrText>
          </w:r>
          <w:r>
            <w:fldChar w:fldCharType="separate"/>
          </w:r>
          <w:r>
            <w:t>12</w:t>
          </w:r>
          <w:r>
            <w:fldChar w:fldCharType="end"/>
          </w:r>
          <w:r>
            <w:fldChar w:fldCharType="end"/>
          </w:r>
        </w:p>
        <w:p>
          <w:pPr>
            <w:pStyle w:val="14"/>
            <w:tabs>
              <w:tab w:val="right" w:leader="dot" w:pos="8312"/>
            </w:tabs>
          </w:pPr>
          <w:r>
            <w:fldChar w:fldCharType="begin"/>
          </w:r>
          <w:r>
            <w:instrText xml:space="preserve"> HYPERLINK \l _Toc30431 </w:instrText>
          </w:r>
          <w:r>
            <w:fldChar w:fldCharType="separate"/>
          </w:r>
          <w:r>
            <w:rPr>
              <w:rFonts w:hint="eastAsia" w:ascii="宋体" w:hAnsi="宋体" w:eastAsia="宋体" w:cs="宋体"/>
              <w:bCs/>
              <w:szCs w:val="21"/>
            </w:rPr>
            <w:t xml:space="preserve">第一节 </w:t>
          </w:r>
          <w:r>
            <w:rPr>
              <w:rFonts w:hint="eastAsia" w:ascii="宋体" w:hAnsi="宋体" w:eastAsia="宋体" w:cs="宋体"/>
              <w:szCs w:val="21"/>
            </w:rPr>
            <w:t>合同主要条款</w:t>
          </w:r>
          <w:r>
            <w:tab/>
          </w:r>
          <w:r>
            <w:fldChar w:fldCharType="begin"/>
          </w:r>
          <w:r>
            <w:instrText xml:space="preserve"> PAGEREF _Toc30431 \h </w:instrText>
          </w:r>
          <w:r>
            <w:fldChar w:fldCharType="separate"/>
          </w:r>
          <w:r>
            <w:t>12</w:t>
          </w:r>
          <w:r>
            <w:fldChar w:fldCharType="end"/>
          </w:r>
          <w:r>
            <w:fldChar w:fldCharType="end"/>
          </w:r>
        </w:p>
        <w:p>
          <w:pPr>
            <w:pStyle w:val="14"/>
            <w:tabs>
              <w:tab w:val="right" w:leader="dot" w:pos="8312"/>
            </w:tabs>
          </w:pPr>
          <w:r>
            <w:fldChar w:fldCharType="begin"/>
          </w:r>
          <w:r>
            <w:instrText xml:space="preserve"> HYPERLINK \l _Toc8208 </w:instrText>
          </w:r>
          <w:r>
            <w:fldChar w:fldCharType="separate"/>
          </w:r>
          <w:r>
            <w:rPr>
              <w:rFonts w:hint="eastAsia" w:ascii="宋体" w:hAnsi="宋体" w:eastAsia="宋体" w:cs="宋体"/>
              <w:bCs/>
              <w:szCs w:val="21"/>
            </w:rPr>
            <w:t xml:space="preserve">第二节 </w:t>
          </w:r>
          <w:r>
            <w:rPr>
              <w:rFonts w:hint="eastAsia" w:ascii="宋体" w:hAnsi="宋体" w:eastAsia="宋体" w:cs="宋体"/>
              <w:szCs w:val="21"/>
            </w:rPr>
            <w:t>评标原则与方法</w:t>
          </w:r>
          <w:r>
            <w:tab/>
          </w:r>
          <w:r>
            <w:fldChar w:fldCharType="begin"/>
          </w:r>
          <w:r>
            <w:instrText xml:space="preserve"> PAGEREF _Toc8208 \h </w:instrText>
          </w:r>
          <w:r>
            <w:fldChar w:fldCharType="separate"/>
          </w:r>
          <w:r>
            <w:t>12</w:t>
          </w:r>
          <w:r>
            <w:fldChar w:fldCharType="end"/>
          </w:r>
          <w:r>
            <w:fldChar w:fldCharType="end"/>
          </w:r>
        </w:p>
        <w:p>
          <w:pPr>
            <w:pStyle w:val="2"/>
            <w:tabs>
              <w:tab w:val="right" w:leader="dot" w:pos="8312"/>
            </w:tabs>
          </w:pPr>
          <w:r>
            <w:fldChar w:fldCharType="begin"/>
          </w:r>
          <w:r>
            <w:instrText xml:space="preserve"> HYPERLINK \l _Toc14016 </w:instrText>
          </w:r>
          <w:r>
            <w:fldChar w:fldCharType="separate"/>
          </w:r>
          <w:r>
            <w:rPr>
              <w:rFonts w:hint="eastAsia" w:ascii="宋体" w:hAnsi="宋体" w:eastAsia="宋体" w:cs="宋体"/>
              <w:szCs w:val="21"/>
            </w:rPr>
            <w:t>1. 总则</w:t>
          </w:r>
          <w:r>
            <w:tab/>
          </w:r>
          <w:r>
            <w:fldChar w:fldCharType="begin"/>
          </w:r>
          <w:r>
            <w:instrText xml:space="preserve"> PAGEREF _Toc14016 \h </w:instrText>
          </w:r>
          <w:r>
            <w:fldChar w:fldCharType="separate"/>
          </w:r>
          <w:r>
            <w:t>12</w:t>
          </w:r>
          <w:r>
            <w:fldChar w:fldCharType="end"/>
          </w:r>
          <w:r>
            <w:fldChar w:fldCharType="end"/>
          </w:r>
        </w:p>
        <w:p>
          <w:pPr>
            <w:pStyle w:val="2"/>
            <w:tabs>
              <w:tab w:val="right" w:leader="dot" w:pos="8312"/>
            </w:tabs>
          </w:pPr>
          <w:r>
            <w:fldChar w:fldCharType="begin"/>
          </w:r>
          <w:r>
            <w:instrText xml:space="preserve"> HYPERLINK \l _Toc20058 </w:instrText>
          </w:r>
          <w:r>
            <w:fldChar w:fldCharType="separate"/>
          </w:r>
          <w:r>
            <w:rPr>
              <w:rFonts w:hint="eastAsia" w:ascii="宋体" w:hAnsi="宋体" w:eastAsia="宋体" w:cs="宋体"/>
              <w:szCs w:val="21"/>
            </w:rPr>
            <w:t>2. 对谈判响应文件的审查和确定</w:t>
          </w:r>
          <w:r>
            <w:tab/>
          </w:r>
          <w:r>
            <w:fldChar w:fldCharType="begin"/>
          </w:r>
          <w:r>
            <w:instrText xml:space="preserve"> PAGEREF _Toc20058 \h </w:instrText>
          </w:r>
          <w:r>
            <w:fldChar w:fldCharType="separate"/>
          </w:r>
          <w:r>
            <w:t>12</w:t>
          </w:r>
          <w:r>
            <w:fldChar w:fldCharType="end"/>
          </w:r>
          <w:r>
            <w:fldChar w:fldCharType="end"/>
          </w:r>
        </w:p>
        <w:p>
          <w:pPr>
            <w:pStyle w:val="2"/>
            <w:tabs>
              <w:tab w:val="right" w:leader="dot" w:pos="8312"/>
            </w:tabs>
          </w:pPr>
          <w:r>
            <w:fldChar w:fldCharType="begin"/>
          </w:r>
          <w:r>
            <w:instrText xml:space="preserve"> HYPERLINK \l _Toc32061 </w:instrText>
          </w:r>
          <w:r>
            <w:fldChar w:fldCharType="separate"/>
          </w:r>
          <w:r>
            <w:rPr>
              <w:rFonts w:hint="eastAsia" w:ascii="宋体" w:hAnsi="宋体" w:eastAsia="宋体" w:cs="宋体"/>
              <w:szCs w:val="21"/>
            </w:rPr>
            <w:t>3. 废标及招标失败</w:t>
          </w:r>
          <w:r>
            <w:tab/>
          </w:r>
          <w:r>
            <w:fldChar w:fldCharType="begin"/>
          </w:r>
          <w:r>
            <w:instrText xml:space="preserve"> PAGEREF _Toc32061 \h </w:instrText>
          </w:r>
          <w:r>
            <w:fldChar w:fldCharType="separate"/>
          </w:r>
          <w:r>
            <w:t>12</w:t>
          </w:r>
          <w:r>
            <w:fldChar w:fldCharType="end"/>
          </w:r>
          <w:r>
            <w:fldChar w:fldCharType="end"/>
          </w:r>
        </w:p>
        <w:p>
          <w:pPr>
            <w:pStyle w:val="2"/>
            <w:tabs>
              <w:tab w:val="right" w:leader="dot" w:pos="8312"/>
            </w:tabs>
          </w:pPr>
          <w:r>
            <w:fldChar w:fldCharType="begin"/>
          </w:r>
          <w:r>
            <w:instrText xml:space="preserve"> HYPERLINK \l _Toc13681 </w:instrText>
          </w:r>
          <w:r>
            <w:fldChar w:fldCharType="separate"/>
          </w:r>
          <w:r>
            <w:rPr>
              <w:rFonts w:hint="eastAsia" w:ascii="宋体" w:hAnsi="宋体" w:eastAsia="宋体" w:cs="宋体"/>
              <w:szCs w:val="21"/>
            </w:rPr>
            <w:t>4.谈判小组</w:t>
          </w:r>
          <w:r>
            <w:tab/>
          </w:r>
          <w:r>
            <w:fldChar w:fldCharType="begin"/>
          </w:r>
          <w:r>
            <w:instrText xml:space="preserve"> PAGEREF _Toc13681 \h </w:instrText>
          </w:r>
          <w:r>
            <w:fldChar w:fldCharType="separate"/>
          </w:r>
          <w:r>
            <w:t>12</w:t>
          </w:r>
          <w:r>
            <w:fldChar w:fldCharType="end"/>
          </w:r>
          <w:r>
            <w:fldChar w:fldCharType="end"/>
          </w:r>
        </w:p>
        <w:p>
          <w:pPr>
            <w:pStyle w:val="2"/>
            <w:tabs>
              <w:tab w:val="right" w:leader="dot" w:pos="8312"/>
            </w:tabs>
          </w:pPr>
          <w:r>
            <w:fldChar w:fldCharType="begin"/>
          </w:r>
          <w:r>
            <w:instrText xml:space="preserve"> HYPERLINK \l _Toc3179 </w:instrText>
          </w:r>
          <w:r>
            <w:fldChar w:fldCharType="separate"/>
          </w:r>
          <w:r>
            <w:rPr>
              <w:rFonts w:hint="eastAsia" w:ascii="宋体" w:hAnsi="宋体" w:eastAsia="宋体" w:cs="宋体"/>
              <w:szCs w:val="21"/>
            </w:rPr>
            <w:t>5.谈判响应文件的澄清</w:t>
          </w:r>
          <w:r>
            <w:tab/>
          </w:r>
          <w:r>
            <w:fldChar w:fldCharType="begin"/>
          </w:r>
          <w:r>
            <w:instrText xml:space="preserve"> PAGEREF _Toc3179 \h </w:instrText>
          </w:r>
          <w:r>
            <w:fldChar w:fldCharType="separate"/>
          </w:r>
          <w:r>
            <w:t>12</w:t>
          </w:r>
          <w:r>
            <w:fldChar w:fldCharType="end"/>
          </w:r>
          <w:r>
            <w:fldChar w:fldCharType="end"/>
          </w:r>
        </w:p>
        <w:p>
          <w:pPr>
            <w:pStyle w:val="2"/>
            <w:tabs>
              <w:tab w:val="right" w:leader="dot" w:pos="8312"/>
            </w:tabs>
          </w:pPr>
          <w:r>
            <w:fldChar w:fldCharType="begin"/>
          </w:r>
          <w:r>
            <w:instrText xml:space="preserve"> HYPERLINK \l _Toc24106 </w:instrText>
          </w:r>
          <w:r>
            <w:fldChar w:fldCharType="separate"/>
          </w:r>
          <w:r>
            <w:rPr>
              <w:rFonts w:hint="eastAsia" w:ascii="宋体" w:hAnsi="宋体" w:eastAsia="宋体" w:cs="宋体"/>
              <w:szCs w:val="21"/>
            </w:rPr>
            <w:t>6. 评标原则与方法</w:t>
          </w:r>
          <w:r>
            <w:tab/>
          </w:r>
          <w:r>
            <w:fldChar w:fldCharType="begin"/>
          </w:r>
          <w:r>
            <w:instrText xml:space="preserve"> PAGEREF _Toc24106 \h </w:instrText>
          </w:r>
          <w:r>
            <w:fldChar w:fldCharType="separate"/>
          </w:r>
          <w:r>
            <w:t>12</w:t>
          </w:r>
          <w:r>
            <w:fldChar w:fldCharType="end"/>
          </w:r>
          <w:r>
            <w:fldChar w:fldCharType="end"/>
          </w:r>
        </w:p>
        <w:p>
          <w:pPr>
            <w:pStyle w:val="14"/>
            <w:tabs>
              <w:tab w:val="right" w:leader="dot" w:pos="8312"/>
            </w:tabs>
          </w:pPr>
          <w:r>
            <w:fldChar w:fldCharType="begin"/>
          </w:r>
          <w:r>
            <w:instrText xml:space="preserve"> HYPERLINK \l _Toc9367 </w:instrText>
          </w:r>
          <w:r>
            <w:fldChar w:fldCharType="separate"/>
          </w:r>
          <w:r>
            <w:rPr>
              <w:rFonts w:hint="eastAsia" w:ascii="宋体" w:hAnsi="宋体" w:eastAsia="宋体" w:cs="宋体"/>
              <w:szCs w:val="21"/>
            </w:rPr>
            <w:t>附：评标文件</w:t>
          </w:r>
          <w:r>
            <w:tab/>
          </w:r>
          <w:r>
            <w:fldChar w:fldCharType="begin"/>
          </w:r>
          <w:r>
            <w:instrText xml:space="preserve"> PAGEREF _Toc9367 \h </w:instrText>
          </w:r>
          <w:r>
            <w:fldChar w:fldCharType="separate"/>
          </w:r>
          <w:r>
            <w:t>12</w:t>
          </w:r>
          <w:r>
            <w:fldChar w:fldCharType="end"/>
          </w:r>
          <w:r>
            <w:fldChar w:fldCharType="end"/>
          </w:r>
        </w:p>
        <w:p>
          <w:pPr>
            <w:pStyle w:val="14"/>
            <w:tabs>
              <w:tab w:val="right" w:leader="dot" w:pos="8312"/>
            </w:tabs>
          </w:pPr>
          <w:r>
            <w:fldChar w:fldCharType="begin"/>
          </w:r>
          <w:r>
            <w:instrText xml:space="preserve"> HYPERLINK \l _Toc7999 </w:instrText>
          </w:r>
          <w:r>
            <w:fldChar w:fldCharType="separate"/>
          </w:r>
          <w:r>
            <w:rPr>
              <w:rFonts w:hint="eastAsia" w:ascii="宋体" w:hAnsi="宋体" w:eastAsia="宋体" w:cs="宋体"/>
              <w:bCs/>
              <w:szCs w:val="21"/>
            </w:rPr>
            <w:t xml:space="preserve">第三节 </w:t>
          </w:r>
          <w:r>
            <w:rPr>
              <w:rFonts w:hint="eastAsia" w:ascii="宋体" w:hAnsi="宋体" w:eastAsia="宋体" w:cs="宋体"/>
              <w:bCs/>
              <w:szCs w:val="21"/>
              <w:lang w:eastAsia="zh-CN"/>
            </w:rPr>
            <w:t>投标文件</w:t>
          </w:r>
          <w:r>
            <w:rPr>
              <w:rFonts w:hint="eastAsia" w:ascii="宋体" w:hAnsi="宋体" w:eastAsia="宋体" w:cs="宋体"/>
              <w:bCs/>
              <w:szCs w:val="21"/>
            </w:rPr>
            <w:t>样式</w:t>
          </w:r>
          <w:r>
            <w:tab/>
          </w:r>
          <w:r>
            <w:fldChar w:fldCharType="begin"/>
          </w:r>
          <w:r>
            <w:instrText xml:space="preserve"> PAGEREF _Toc7999 \h </w:instrText>
          </w:r>
          <w:r>
            <w:fldChar w:fldCharType="separate"/>
          </w:r>
          <w:r>
            <w:t>17</w:t>
          </w:r>
          <w:r>
            <w:fldChar w:fldCharType="end"/>
          </w:r>
          <w:r>
            <w:fldChar w:fldCharType="end"/>
          </w:r>
        </w:p>
        <w:p>
          <w:pPr>
            <w:pStyle w:val="2"/>
            <w:tabs>
              <w:tab w:val="right" w:leader="dot" w:pos="8312"/>
            </w:tabs>
          </w:pPr>
          <w:r>
            <w:fldChar w:fldCharType="begin"/>
          </w:r>
          <w:r>
            <w:instrText xml:space="preserve"> HYPERLINK \l _Toc687 </w:instrText>
          </w:r>
          <w:r>
            <w:fldChar w:fldCharType="separate"/>
          </w:r>
          <w:r>
            <w:rPr>
              <w:rFonts w:hint="eastAsia" w:ascii="宋体" w:hAnsi="宋体" w:eastAsia="宋体" w:cs="宋体"/>
              <w:bCs w:val="0"/>
              <w:szCs w:val="21"/>
            </w:rPr>
            <w:t>一、 投标书</w:t>
          </w:r>
          <w:r>
            <w:tab/>
          </w:r>
          <w:r>
            <w:fldChar w:fldCharType="begin"/>
          </w:r>
          <w:r>
            <w:instrText xml:space="preserve"> PAGEREF _Toc687 \h </w:instrText>
          </w:r>
          <w:r>
            <w:fldChar w:fldCharType="separate"/>
          </w:r>
          <w:r>
            <w:t>19</w:t>
          </w:r>
          <w:r>
            <w:fldChar w:fldCharType="end"/>
          </w:r>
          <w:r>
            <w:fldChar w:fldCharType="end"/>
          </w:r>
        </w:p>
        <w:p>
          <w:pPr>
            <w:pStyle w:val="2"/>
            <w:tabs>
              <w:tab w:val="right" w:leader="dot" w:pos="8312"/>
            </w:tabs>
          </w:pPr>
          <w:r>
            <w:fldChar w:fldCharType="begin"/>
          </w:r>
          <w:r>
            <w:instrText xml:space="preserve"> HYPERLINK \l _Toc26264 </w:instrText>
          </w:r>
          <w:r>
            <w:fldChar w:fldCharType="separate"/>
          </w:r>
          <w:r>
            <w:rPr>
              <w:rFonts w:hint="eastAsia" w:ascii="宋体" w:hAnsi="宋体" w:eastAsia="宋体" w:cs="宋体"/>
              <w:bCs w:val="0"/>
              <w:szCs w:val="21"/>
              <w:lang w:val="en-US" w:eastAsia="zh-CN"/>
            </w:rPr>
            <w:t>二、 开标一览表</w:t>
          </w:r>
          <w:r>
            <w:tab/>
          </w:r>
          <w:r>
            <w:fldChar w:fldCharType="begin"/>
          </w:r>
          <w:r>
            <w:instrText xml:space="preserve"> PAGEREF _Toc26264 \h </w:instrText>
          </w:r>
          <w:r>
            <w:fldChar w:fldCharType="separate"/>
          </w:r>
          <w:r>
            <w:t>20</w:t>
          </w:r>
          <w:r>
            <w:fldChar w:fldCharType="end"/>
          </w:r>
          <w:r>
            <w:fldChar w:fldCharType="end"/>
          </w:r>
        </w:p>
        <w:p>
          <w:pPr>
            <w:pStyle w:val="2"/>
            <w:tabs>
              <w:tab w:val="right" w:leader="dot" w:pos="8312"/>
            </w:tabs>
          </w:pPr>
          <w:r>
            <w:fldChar w:fldCharType="begin"/>
          </w:r>
          <w:r>
            <w:instrText xml:space="preserve"> HYPERLINK \l _Toc14049 </w:instrText>
          </w:r>
          <w:r>
            <w:fldChar w:fldCharType="separate"/>
          </w:r>
          <w:r>
            <w:rPr>
              <w:rFonts w:hint="eastAsia" w:ascii="宋体" w:hAnsi="宋体" w:eastAsia="宋体" w:cs="宋体"/>
              <w:bCs w:val="0"/>
              <w:szCs w:val="21"/>
              <w:lang w:val="en-US" w:eastAsia="zh-CN"/>
            </w:rPr>
            <w:t>三、 投标分项报价表</w:t>
          </w:r>
          <w:r>
            <w:tab/>
          </w:r>
          <w:r>
            <w:fldChar w:fldCharType="begin"/>
          </w:r>
          <w:r>
            <w:instrText xml:space="preserve"> PAGEREF _Toc14049 \h </w:instrText>
          </w:r>
          <w:r>
            <w:fldChar w:fldCharType="separate"/>
          </w:r>
          <w:r>
            <w:t>21</w:t>
          </w:r>
          <w:r>
            <w:fldChar w:fldCharType="end"/>
          </w:r>
          <w:r>
            <w:fldChar w:fldCharType="end"/>
          </w:r>
        </w:p>
        <w:p>
          <w:pPr>
            <w:pStyle w:val="2"/>
            <w:tabs>
              <w:tab w:val="right" w:leader="dot" w:pos="8312"/>
            </w:tabs>
          </w:pPr>
          <w:r>
            <w:fldChar w:fldCharType="begin"/>
          </w:r>
          <w:r>
            <w:instrText xml:space="preserve"> HYPERLINK \l _Toc7662 </w:instrText>
          </w:r>
          <w:r>
            <w:fldChar w:fldCharType="separate"/>
          </w:r>
          <w:r>
            <w:rPr>
              <w:rFonts w:hint="eastAsia" w:ascii="宋体" w:hAnsi="宋体" w:eastAsia="宋体" w:cs="宋体"/>
              <w:bCs w:val="0"/>
              <w:kern w:val="44"/>
              <w:szCs w:val="21"/>
              <w:lang w:val="en-US" w:eastAsia="zh-CN" w:bidi="ar-SA"/>
            </w:rPr>
            <w:t>四、 投标报价函</w:t>
          </w:r>
          <w:r>
            <w:tab/>
          </w:r>
          <w:r>
            <w:fldChar w:fldCharType="begin"/>
          </w:r>
          <w:r>
            <w:instrText xml:space="preserve"> PAGEREF _Toc7662 \h </w:instrText>
          </w:r>
          <w:r>
            <w:fldChar w:fldCharType="separate"/>
          </w:r>
          <w:r>
            <w:t>22</w:t>
          </w:r>
          <w:r>
            <w:fldChar w:fldCharType="end"/>
          </w:r>
          <w:r>
            <w:fldChar w:fldCharType="end"/>
          </w:r>
        </w:p>
        <w:p>
          <w:pPr>
            <w:pStyle w:val="2"/>
            <w:tabs>
              <w:tab w:val="right" w:leader="dot" w:pos="8312"/>
            </w:tabs>
          </w:pPr>
          <w:r>
            <w:fldChar w:fldCharType="begin"/>
          </w:r>
          <w:r>
            <w:instrText xml:space="preserve"> HYPERLINK \l _Toc15675 </w:instrText>
          </w:r>
          <w:r>
            <w:fldChar w:fldCharType="separate"/>
          </w:r>
          <w:r>
            <w:rPr>
              <w:rFonts w:hint="eastAsia" w:ascii="宋体" w:hAnsi="宋体" w:eastAsia="宋体" w:cs="宋体"/>
              <w:bCs w:val="0"/>
              <w:szCs w:val="21"/>
              <w:lang w:val="en-US" w:eastAsia="zh-CN"/>
            </w:rPr>
            <w:t>五、 法定代表人证明书</w:t>
          </w:r>
          <w:r>
            <w:tab/>
          </w:r>
          <w:r>
            <w:fldChar w:fldCharType="begin"/>
          </w:r>
          <w:r>
            <w:instrText xml:space="preserve"> PAGEREF _Toc15675 \h </w:instrText>
          </w:r>
          <w:r>
            <w:fldChar w:fldCharType="separate"/>
          </w:r>
          <w:r>
            <w:t>23</w:t>
          </w:r>
          <w:r>
            <w:fldChar w:fldCharType="end"/>
          </w:r>
          <w:r>
            <w:fldChar w:fldCharType="end"/>
          </w:r>
        </w:p>
        <w:p>
          <w:pPr>
            <w:pStyle w:val="2"/>
            <w:tabs>
              <w:tab w:val="right" w:leader="dot" w:pos="8312"/>
            </w:tabs>
          </w:pPr>
          <w:r>
            <w:fldChar w:fldCharType="begin"/>
          </w:r>
          <w:r>
            <w:instrText xml:space="preserve"> HYPERLINK \l _Toc3431 </w:instrText>
          </w:r>
          <w:r>
            <w:fldChar w:fldCharType="separate"/>
          </w:r>
          <w:r>
            <w:rPr>
              <w:rFonts w:hint="eastAsia" w:ascii="宋体" w:hAnsi="宋体" w:eastAsia="宋体" w:cs="宋体"/>
              <w:bCs w:val="0"/>
              <w:szCs w:val="21"/>
              <w:lang w:val="en-US" w:eastAsia="zh-CN"/>
            </w:rPr>
            <w:t>六、 法定代表人授权委托书</w:t>
          </w:r>
          <w:r>
            <w:tab/>
          </w:r>
          <w:r>
            <w:fldChar w:fldCharType="begin"/>
          </w:r>
          <w:r>
            <w:instrText xml:space="preserve"> PAGEREF _Toc3431 \h </w:instrText>
          </w:r>
          <w:r>
            <w:fldChar w:fldCharType="separate"/>
          </w:r>
          <w:r>
            <w:t>24</w:t>
          </w:r>
          <w:r>
            <w:fldChar w:fldCharType="end"/>
          </w:r>
          <w:r>
            <w:fldChar w:fldCharType="end"/>
          </w:r>
        </w:p>
        <w:p>
          <w:pPr>
            <w:pStyle w:val="2"/>
            <w:tabs>
              <w:tab w:val="right" w:leader="dot" w:pos="8312"/>
            </w:tabs>
          </w:pPr>
          <w:r>
            <w:fldChar w:fldCharType="begin"/>
          </w:r>
          <w:r>
            <w:instrText xml:space="preserve"> HYPERLINK \l _Toc20568 </w:instrText>
          </w:r>
          <w:r>
            <w:fldChar w:fldCharType="separate"/>
          </w:r>
          <w:r>
            <w:rPr>
              <w:rFonts w:hint="eastAsia" w:ascii="宋体" w:hAnsi="宋体" w:eastAsia="宋体" w:cs="宋体"/>
              <w:bCs w:val="0"/>
              <w:szCs w:val="21"/>
              <w:lang w:val="en-US" w:eastAsia="zh-CN"/>
            </w:rPr>
            <w:t>七、 股权关系证明</w:t>
          </w:r>
          <w:r>
            <w:tab/>
          </w:r>
          <w:r>
            <w:fldChar w:fldCharType="begin"/>
          </w:r>
          <w:r>
            <w:instrText xml:space="preserve"> PAGEREF _Toc20568 \h </w:instrText>
          </w:r>
          <w:r>
            <w:fldChar w:fldCharType="separate"/>
          </w:r>
          <w:r>
            <w:t>25</w:t>
          </w:r>
          <w:r>
            <w:fldChar w:fldCharType="end"/>
          </w:r>
          <w:r>
            <w:fldChar w:fldCharType="end"/>
          </w:r>
        </w:p>
        <w:p>
          <w:pPr>
            <w:pStyle w:val="2"/>
            <w:tabs>
              <w:tab w:val="right" w:leader="dot" w:pos="8312"/>
            </w:tabs>
          </w:pPr>
          <w:r>
            <w:fldChar w:fldCharType="begin"/>
          </w:r>
          <w:r>
            <w:instrText xml:space="preserve"> HYPERLINK \l _Toc29718 </w:instrText>
          </w:r>
          <w:r>
            <w:fldChar w:fldCharType="separate"/>
          </w:r>
          <w:r>
            <w:rPr>
              <w:rFonts w:hint="eastAsia" w:ascii="宋体" w:hAnsi="宋体" w:eastAsia="宋体" w:cs="宋体"/>
              <w:szCs w:val="21"/>
            </w:rPr>
            <w:t xml:space="preserve">八、 </w:t>
          </w:r>
          <w:r>
            <w:rPr>
              <w:rFonts w:hint="eastAsia" w:ascii="宋体" w:hAnsi="宋体" w:eastAsia="宋体" w:cs="宋体"/>
              <w:bCs w:val="0"/>
              <w:szCs w:val="21"/>
              <w:lang w:val="en-US" w:eastAsia="zh-CN"/>
            </w:rPr>
            <w:t>营业执照</w:t>
          </w:r>
          <w:r>
            <w:tab/>
          </w:r>
          <w:r>
            <w:fldChar w:fldCharType="begin"/>
          </w:r>
          <w:r>
            <w:instrText xml:space="preserve"> PAGEREF _Toc29718 \h </w:instrText>
          </w:r>
          <w:r>
            <w:fldChar w:fldCharType="separate"/>
          </w:r>
          <w:r>
            <w:t>26</w:t>
          </w:r>
          <w:r>
            <w:fldChar w:fldCharType="end"/>
          </w:r>
          <w:r>
            <w:fldChar w:fldCharType="end"/>
          </w:r>
        </w:p>
        <w:p>
          <w:pPr>
            <w:pStyle w:val="2"/>
            <w:tabs>
              <w:tab w:val="right" w:leader="dot" w:pos="8312"/>
            </w:tabs>
          </w:pPr>
          <w:r>
            <w:fldChar w:fldCharType="begin"/>
          </w:r>
          <w:r>
            <w:instrText xml:space="preserve"> HYPERLINK \l _Toc28249 </w:instrText>
          </w:r>
          <w:r>
            <w:fldChar w:fldCharType="separate"/>
          </w:r>
          <w:r>
            <w:rPr>
              <w:rFonts w:hint="eastAsia" w:ascii="宋体" w:hAnsi="宋体" w:eastAsia="宋体" w:cs="宋体"/>
              <w:bCs w:val="0"/>
              <w:szCs w:val="21"/>
              <w:lang w:val="en-US" w:eastAsia="zh-CN"/>
            </w:rPr>
            <w:t>九、 诚信投标承诺书</w:t>
          </w:r>
          <w:r>
            <w:tab/>
          </w:r>
          <w:r>
            <w:fldChar w:fldCharType="begin"/>
          </w:r>
          <w:r>
            <w:instrText xml:space="preserve"> PAGEREF _Toc28249 \h </w:instrText>
          </w:r>
          <w:r>
            <w:fldChar w:fldCharType="separate"/>
          </w:r>
          <w:r>
            <w:t>27</w:t>
          </w:r>
          <w:r>
            <w:fldChar w:fldCharType="end"/>
          </w:r>
          <w:r>
            <w:fldChar w:fldCharType="end"/>
          </w:r>
        </w:p>
        <w:p>
          <w:pPr>
            <w:pStyle w:val="2"/>
            <w:tabs>
              <w:tab w:val="right" w:leader="dot" w:pos="8312"/>
            </w:tabs>
          </w:pPr>
          <w:r>
            <w:fldChar w:fldCharType="begin"/>
          </w:r>
          <w:r>
            <w:instrText xml:space="preserve"> HYPERLINK \l _Toc3467 </w:instrText>
          </w:r>
          <w:r>
            <w:fldChar w:fldCharType="separate"/>
          </w:r>
          <w:r>
            <w:rPr>
              <w:rFonts w:hint="eastAsia" w:ascii="宋体" w:hAnsi="宋体" w:eastAsia="宋体" w:cs="宋体"/>
              <w:szCs w:val="21"/>
            </w:rPr>
            <w:t>本企业郑重承诺：</w:t>
          </w:r>
          <w:r>
            <w:tab/>
          </w:r>
          <w:r>
            <w:fldChar w:fldCharType="begin"/>
          </w:r>
          <w:r>
            <w:instrText xml:space="preserve"> PAGEREF _Toc3467 \h </w:instrText>
          </w:r>
          <w:r>
            <w:fldChar w:fldCharType="separate"/>
          </w:r>
          <w:r>
            <w:t>27</w:t>
          </w:r>
          <w:r>
            <w:fldChar w:fldCharType="end"/>
          </w:r>
          <w:r>
            <w:fldChar w:fldCharType="end"/>
          </w:r>
        </w:p>
        <w:p>
          <w:pPr>
            <w:pStyle w:val="2"/>
            <w:tabs>
              <w:tab w:val="right" w:leader="dot" w:pos="8312"/>
            </w:tabs>
          </w:pPr>
          <w:r>
            <w:fldChar w:fldCharType="begin"/>
          </w:r>
          <w:r>
            <w:instrText xml:space="preserve"> HYPERLINK \l _Toc2744 </w:instrText>
          </w:r>
          <w:r>
            <w:fldChar w:fldCharType="separate"/>
          </w:r>
          <w:r>
            <w:rPr>
              <w:rFonts w:hint="eastAsia" w:ascii="宋体" w:hAnsi="宋体" w:eastAsia="宋体" w:cs="宋体"/>
              <w:bCs w:val="0"/>
              <w:szCs w:val="21"/>
              <w:lang w:val="en-US" w:eastAsia="zh-CN"/>
            </w:rPr>
            <w:t xml:space="preserve">十、 </w:t>
          </w:r>
          <w:r>
            <w:rPr>
              <w:rFonts w:hint="eastAsia" w:ascii="宋体" w:hAnsi="宋体" w:eastAsia="宋体" w:cs="宋体"/>
              <w:bCs w:val="0"/>
              <w:kern w:val="44"/>
              <w:szCs w:val="21"/>
              <w:lang w:val="en-US" w:eastAsia="zh-CN" w:bidi="ar-SA"/>
            </w:rPr>
            <w:t>无重大违法记录声明</w:t>
          </w:r>
          <w:r>
            <w:tab/>
          </w:r>
          <w:r>
            <w:fldChar w:fldCharType="begin"/>
          </w:r>
          <w:r>
            <w:instrText xml:space="preserve"> PAGEREF _Toc2744 \h </w:instrText>
          </w:r>
          <w:r>
            <w:fldChar w:fldCharType="separate"/>
          </w:r>
          <w:r>
            <w:t>28</w:t>
          </w:r>
          <w:r>
            <w:fldChar w:fldCharType="end"/>
          </w:r>
          <w:r>
            <w:fldChar w:fldCharType="end"/>
          </w:r>
        </w:p>
        <w:p>
          <w:pPr>
            <w:pStyle w:val="2"/>
            <w:tabs>
              <w:tab w:val="right" w:leader="dot" w:pos="8312"/>
            </w:tabs>
          </w:pPr>
          <w:r>
            <w:fldChar w:fldCharType="begin"/>
          </w:r>
          <w:r>
            <w:instrText xml:space="preserve"> HYPERLINK \l _Toc13524 </w:instrText>
          </w:r>
          <w:r>
            <w:fldChar w:fldCharType="separate"/>
          </w:r>
          <w:r>
            <w:rPr>
              <w:rFonts w:hint="eastAsia" w:ascii="宋体" w:hAnsi="宋体" w:eastAsia="宋体" w:cs="宋体"/>
              <w:bCs w:val="0"/>
              <w:kern w:val="44"/>
              <w:szCs w:val="21"/>
              <w:lang w:val="en-US" w:eastAsia="zh-CN" w:bidi="ar-SA"/>
            </w:rPr>
            <w:t>十一、 工期承诺</w:t>
          </w:r>
          <w:r>
            <w:tab/>
          </w:r>
          <w:r>
            <w:fldChar w:fldCharType="begin"/>
          </w:r>
          <w:r>
            <w:instrText xml:space="preserve"> PAGEREF _Toc13524 \h </w:instrText>
          </w:r>
          <w:r>
            <w:fldChar w:fldCharType="separate"/>
          </w:r>
          <w:r>
            <w:t>29</w:t>
          </w:r>
          <w:r>
            <w:fldChar w:fldCharType="end"/>
          </w:r>
          <w:r>
            <w:fldChar w:fldCharType="end"/>
          </w:r>
        </w:p>
        <w:p>
          <w:pPr>
            <w:pStyle w:val="2"/>
            <w:tabs>
              <w:tab w:val="right" w:leader="dot" w:pos="8312"/>
            </w:tabs>
          </w:pPr>
          <w:r>
            <w:fldChar w:fldCharType="begin"/>
          </w:r>
          <w:r>
            <w:instrText xml:space="preserve"> HYPERLINK \l _Toc31682 </w:instrText>
          </w:r>
          <w:r>
            <w:fldChar w:fldCharType="separate"/>
          </w:r>
          <w:r>
            <w:rPr>
              <w:rFonts w:hint="eastAsia" w:ascii="宋体" w:hAnsi="宋体" w:eastAsia="宋体" w:cs="宋体"/>
              <w:bCs w:val="0"/>
              <w:szCs w:val="21"/>
              <w:lang w:val="en-US" w:eastAsia="zh-CN"/>
            </w:rPr>
            <w:t>十二、 本项目的有关人员资料表</w:t>
          </w:r>
          <w:r>
            <w:tab/>
          </w:r>
          <w:r>
            <w:fldChar w:fldCharType="begin"/>
          </w:r>
          <w:r>
            <w:instrText xml:space="preserve"> PAGEREF _Toc31682 \h </w:instrText>
          </w:r>
          <w:r>
            <w:fldChar w:fldCharType="separate"/>
          </w:r>
          <w:r>
            <w:t>30</w:t>
          </w:r>
          <w:r>
            <w:fldChar w:fldCharType="end"/>
          </w:r>
          <w:r>
            <w:fldChar w:fldCharType="end"/>
          </w:r>
        </w:p>
        <w:p>
          <w:pPr>
            <w:pStyle w:val="2"/>
            <w:tabs>
              <w:tab w:val="right" w:leader="dot" w:pos="8312"/>
            </w:tabs>
          </w:pPr>
          <w:r>
            <w:fldChar w:fldCharType="begin"/>
          </w:r>
          <w:r>
            <w:instrText xml:space="preserve"> HYPERLINK \l _Toc6307 </w:instrText>
          </w:r>
          <w:r>
            <w:fldChar w:fldCharType="separate"/>
          </w:r>
          <w:r>
            <w:rPr>
              <w:rFonts w:hint="eastAsia" w:ascii="宋体" w:hAnsi="宋体" w:eastAsia="宋体" w:cs="宋体"/>
              <w:bCs w:val="0"/>
              <w:szCs w:val="21"/>
              <w:lang w:val="en-US" w:eastAsia="zh-CN"/>
            </w:rPr>
            <w:t>十三、 条款响应表</w:t>
          </w:r>
          <w:r>
            <w:tab/>
          </w:r>
          <w:r>
            <w:fldChar w:fldCharType="begin"/>
          </w:r>
          <w:r>
            <w:instrText xml:space="preserve"> PAGEREF _Toc6307 \h </w:instrText>
          </w:r>
          <w:r>
            <w:fldChar w:fldCharType="separate"/>
          </w:r>
          <w:r>
            <w:t>31</w:t>
          </w:r>
          <w:r>
            <w:fldChar w:fldCharType="end"/>
          </w:r>
          <w:r>
            <w:fldChar w:fldCharType="end"/>
          </w:r>
        </w:p>
        <w:p>
          <w:pPr>
            <w:pStyle w:val="2"/>
            <w:tabs>
              <w:tab w:val="right" w:leader="dot" w:pos="8312"/>
            </w:tabs>
          </w:pPr>
          <w:r>
            <w:fldChar w:fldCharType="begin"/>
          </w:r>
          <w:r>
            <w:instrText xml:space="preserve"> HYPERLINK \l _Toc26800 </w:instrText>
          </w:r>
          <w:r>
            <w:fldChar w:fldCharType="separate"/>
          </w:r>
          <w:r>
            <w:rPr>
              <w:rFonts w:hint="eastAsia" w:ascii="宋体" w:hAnsi="宋体" w:eastAsia="宋体" w:cs="宋体"/>
              <w:bCs w:val="0"/>
              <w:szCs w:val="21"/>
              <w:lang w:val="en-US" w:eastAsia="zh-CN"/>
            </w:rPr>
            <w:t>十四、 关于资格的声明函</w:t>
          </w:r>
          <w:r>
            <w:tab/>
          </w:r>
          <w:r>
            <w:fldChar w:fldCharType="begin"/>
          </w:r>
          <w:r>
            <w:instrText xml:space="preserve"> PAGEREF _Toc26800 \h </w:instrText>
          </w:r>
          <w:r>
            <w:fldChar w:fldCharType="separate"/>
          </w:r>
          <w:r>
            <w:t>32</w:t>
          </w:r>
          <w:r>
            <w:fldChar w:fldCharType="end"/>
          </w:r>
          <w:r>
            <w:fldChar w:fldCharType="end"/>
          </w:r>
        </w:p>
        <w:p>
          <w:pPr>
            <w:pStyle w:val="2"/>
            <w:tabs>
              <w:tab w:val="right" w:leader="dot" w:pos="8312"/>
            </w:tabs>
          </w:pPr>
          <w:r>
            <w:fldChar w:fldCharType="begin"/>
          </w:r>
          <w:r>
            <w:instrText xml:space="preserve"> HYPERLINK \l _Toc20846 </w:instrText>
          </w:r>
          <w:r>
            <w:fldChar w:fldCharType="separate"/>
          </w:r>
          <w:r>
            <w:rPr>
              <w:rFonts w:hint="eastAsia" w:ascii="宋体" w:hAnsi="宋体" w:eastAsia="宋体" w:cs="宋体"/>
              <w:bCs w:val="0"/>
              <w:szCs w:val="21"/>
              <w:lang w:val="en-US" w:eastAsia="zh-CN"/>
            </w:rPr>
            <w:t>十五、 投标人情况表</w:t>
          </w:r>
          <w:r>
            <w:tab/>
          </w:r>
          <w:r>
            <w:fldChar w:fldCharType="begin"/>
          </w:r>
          <w:r>
            <w:instrText xml:space="preserve"> PAGEREF _Toc20846 \h </w:instrText>
          </w:r>
          <w:r>
            <w:fldChar w:fldCharType="separate"/>
          </w:r>
          <w:r>
            <w:t>33</w:t>
          </w:r>
          <w:r>
            <w:fldChar w:fldCharType="end"/>
          </w:r>
          <w:r>
            <w:fldChar w:fldCharType="end"/>
          </w:r>
        </w:p>
        <w:p>
          <w:pPr>
            <w:pStyle w:val="2"/>
            <w:tabs>
              <w:tab w:val="right" w:leader="dot" w:pos="8312"/>
            </w:tabs>
          </w:pPr>
          <w:r>
            <w:fldChar w:fldCharType="begin"/>
          </w:r>
          <w:r>
            <w:instrText xml:space="preserve"> HYPERLINK \l _Toc26039 </w:instrText>
          </w:r>
          <w:r>
            <w:fldChar w:fldCharType="separate"/>
          </w:r>
          <w:r>
            <w:rPr>
              <w:rFonts w:hint="eastAsia" w:ascii="宋体" w:hAnsi="宋体" w:eastAsia="宋体" w:cs="宋体"/>
              <w:bCs w:val="0"/>
              <w:szCs w:val="21"/>
              <w:lang w:val="en-US" w:eastAsia="zh-CN"/>
            </w:rPr>
            <w:t>十六、 近三年经营业绩一览表</w:t>
          </w:r>
          <w:r>
            <w:tab/>
          </w:r>
          <w:r>
            <w:fldChar w:fldCharType="begin"/>
          </w:r>
          <w:r>
            <w:instrText xml:space="preserve"> PAGEREF _Toc26039 \h </w:instrText>
          </w:r>
          <w:r>
            <w:fldChar w:fldCharType="separate"/>
          </w:r>
          <w:r>
            <w:t>34</w:t>
          </w:r>
          <w:r>
            <w:fldChar w:fldCharType="end"/>
          </w:r>
          <w:r>
            <w:fldChar w:fldCharType="end"/>
          </w:r>
        </w:p>
        <w:p>
          <w:pPr>
            <w:pStyle w:val="2"/>
            <w:tabs>
              <w:tab w:val="right" w:leader="dot" w:pos="8312"/>
            </w:tabs>
          </w:pPr>
          <w:r>
            <w:fldChar w:fldCharType="begin"/>
          </w:r>
          <w:r>
            <w:instrText xml:space="preserve"> HYPERLINK \l _Toc29124 </w:instrText>
          </w:r>
          <w:r>
            <w:fldChar w:fldCharType="separate"/>
          </w:r>
          <w:r>
            <w:rPr>
              <w:rFonts w:hint="eastAsia" w:ascii="宋体" w:hAnsi="宋体" w:eastAsia="宋体" w:cs="宋体"/>
              <w:bCs w:val="0"/>
              <w:szCs w:val="21"/>
              <w:lang w:val="en-US" w:eastAsia="zh-CN"/>
            </w:rPr>
            <w:t>十七、 项目执行/技术方案</w:t>
          </w:r>
          <w:r>
            <w:tab/>
          </w:r>
          <w:r>
            <w:fldChar w:fldCharType="begin"/>
          </w:r>
          <w:r>
            <w:instrText xml:space="preserve"> PAGEREF _Toc29124 \h </w:instrText>
          </w:r>
          <w:r>
            <w:fldChar w:fldCharType="separate"/>
          </w:r>
          <w:r>
            <w:t>35</w:t>
          </w:r>
          <w:r>
            <w:fldChar w:fldCharType="end"/>
          </w:r>
          <w:r>
            <w:fldChar w:fldCharType="end"/>
          </w:r>
        </w:p>
        <w:p>
          <w:pPr>
            <w:pStyle w:val="2"/>
            <w:tabs>
              <w:tab w:val="right" w:leader="dot" w:pos="8312"/>
            </w:tabs>
          </w:pPr>
          <w:r>
            <w:fldChar w:fldCharType="begin"/>
          </w:r>
          <w:r>
            <w:instrText xml:space="preserve"> HYPERLINK \l _Toc5523 </w:instrText>
          </w:r>
          <w:r>
            <w:fldChar w:fldCharType="separate"/>
          </w:r>
          <w:r>
            <w:rPr>
              <w:rFonts w:hint="eastAsia" w:ascii="宋体" w:hAnsi="宋体" w:eastAsia="宋体" w:cs="宋体"/>
              <w:bCs w:val="0"/>
              <w:szCs w:val="21"/>
              <w:lang w:val="en-US" w:eastAsia="zh-CN"/>
            </w:rPr>
            <w:t>（请供应商根据标书需求部分制度）</w:t>
          </w:r>
          <w:r>
            <w:tab/>
          </w:r>
          <w:r>
            <w:fldChar w:fldCharType="begin"/>
          </w:r>
          <w:r>
            <w:instrText xml:space="preserve"> PAGEREF _Toc5523 \h </w:instrText>
          </w:r>
          <w:r>
            <w:fldChar w:fldCharType="separate"/>
          </w:r>
          <w:r>
            <w:t>35</w:t>
          </w:r>
          <w:r>
            <w:fldChar w:fldCharType="end"/>
          </w:r>
          <w:r>
            <w:fldChar w:fldCharType="end"/>
          </w:r>
        </w:p>
        <w:p>
          <w:pPr>
            <w:pStyle w:val="2"/>
            <w:tabs>
              <w:tab w:val="right" w:leader="dot" w:pos="8312"/>
            </w:tabs>
          </w:pPr>
          <w:r>
            <w:fldChar w:fldCharType="begin"/>
          </w:r>
          <w:r>
            <w:instrText xml:space="preserve"> HYPERLINK \l _Toc10805 </w:instrText>
          </w:r>
          <w:r>
            <w:fldChar w:fldCharType="separate"/>
          </w:r>
          <w:r>
            <w:rPr>
              <w:rFonts w:hint="eastAsia" w:ascii="宋体" w:hAnsi="宋体" w:eastAsia="宋体" w:cs="宋体"/>
              <w:bCs w:val="0"/>
              <w:szCs w:val="21"/>
              <w:lang w:val="en-US" w:eastAsia="zh-CN"/>
            </w:rPr>
            <w:t>十八、 应急保障及安全措施</w:t>
          </w:r>
          <w:r>
            <w:tab/>
          </w:r>
          <w:r>
            <w:fldChar w:fldCharType="begin"/>
          </w:r>
          <w:r>
            <w:instrText xml:space="preserve"> PAGEREF _Toc10805 \h </w:instrText>
          </w:r>
          <w:r>
            <w:fldChar w:fldCharType="separate"/>
          </w:r>
          <w:r>
            <w:t>36</w:t>
          </w:r>
          <w:r>
            <w:fldChar w:fldCharType="end"/>
          </w:r>
          <w:r>
            <w:fldChar w:fldCharType="end"/>
          </w:r>
        </w:p>
        <w:p>
          <w:pPr>
            <w:pStyle w:val="2"/>
            <w:tabs>
              <w:tab w:val="right" w:leader="dot" w:pos="8312"/>
            </w:tabs>
          </w:pPr>
          <w:r>
            <w:fldChar w:fldCharType="begin"/>
          </w:r>
          <w:r>
            <w:instrText xml:space="preserve"> HYPERLINK \l _Toc9293 </w:instrText>
          </w:r>
          <w:r>
            <w:fldChar w:fldCharType="separate"/>
          </w:r>
          <w:r>
            <w:rPr>
              <w:rFonts w:hint="eastAsia" w:ascii="宋体" w:hAnsi="宋体" w:eastAsia="宋体" w:cs="宋体"/>
              <w:bCs w:val="0"/>
              <w:szCs w:val="21"/>
              <w:lang w:val="en-US" w:eastAsia="zh-CN"/>
            </w:rPr>
            <w:t>（请供应商根据标书需求部分制度）</w:t>
          </w:r>
          <w:r>
            <w:tab/>
          </w:r>
          <w:r>
            <w:fldChar w:fldCharType="begin"/>
          </w:r>
          <w:r>
            <w:instrText xml:space="preserve"> PAGEREF _Toc9293 \h </w:instrText>
          </w:r>
          <w:r>
            <w:fldChar w:fldCharType="separate"/>
          </w:r>
          <w:r>
            <w:t>36</w:t>
          </w:r>
          <w:r>
            <w:fldChar w:fldCharType="end"/>
          </w:r>
          <w:r>
            <w:fldChar w:fldCharType="end"/>
          </w:r>
        </w:p>
        <w:p>
          <w:pPr>
            <w:pStyle w:val="2"/>
            <w:tabs>
              <w:tab w:val="right" w:leader="dot" w:pos="8312"/>
            </w:tabs>
          </w:pPr>
          <w:r>
            <w:fldChar w:fldCharType="begin"/>
          </w:r>
          <w:r>
            <w:instrText xml:space="preserve"> HYPERLINK \l _Toc9592 </w:instrText>
          </w:r>
          <w:r>
            <w:fldChar w:fldCharType="separate"/>
          </w:r>
          <w:r>
            <w:rPr>
              <w:rFonts w:hint="eastAsia" w:ascii="宋体" w:hAnsi="宋体" w:eastAsia="宋体" w:cs="宋体"/>
              <w:bCs w:val="0"/>
              <w:szCs w:val="21"/>
            </w:rPr>
            <w:t xml:space="preserve">十九、 </w:t>
          </w:r>
          <w:r>
            <w:rPr>
              <w:rFonts w:hint="eastAsia" w:ascii="宋体" w:hAnsi="宋体" w:eastAsia="宋体" w:cs="宋体"/>
              <w:bCs w:val="0"/>
              <w:szCs w:val="21"/>
              <w:lang w:val="en-US" w:eastAsia="zh-CN"/>
            </w:rPr>
            <w:t>参保证明</w:t>
          </w:r>
          <w:r>
            <w:tab/>
          </w:r>
          <w:r>
            <w:fldChar w:fldCharType="begin"/>
          </w:r>
          <w:r>
            <w:instrText xml:space="preserve"> PAGEREF _Toc9592 \h </w:instrText>
          </w:r>
          <w:r>
            <w:fldChar w:fldCharType="separate"/>
          </w:r>
          <w:r>
            <w:t>37</w:t>
          </w:r>
          <w:r>
            <w:fldChar w:fldCharType="end"/>
          </w:r>
          <w:r>
            <w:fldChar w:fldCharType="end"/>
          </w:r>
        </w:p>
        <w:p>
          <w:pPr>
            <w:pStyle w:val="2"/>
            <w:tabs>
              <w:tab w:val="right" w:leader="dot" w:pos="8312"/>
            </w:tabs>
          </w:pPr>
          <w:r>
            <w:fldChar w:fldCharType="begin"/>
          </w:r>
          <w:r>
            <w:instrText xml:space="preserve"> HYPERLINK \l _Toc19792 </w:instrText>
          </w:r>
          <w:r>
            <w:fldChar w:fldCharType="separate"/>
          </w:r>
          <w:r>
            <w:rPr>
              <w:rFonts w:hint="eastAsia" w:ascii="宋体" w:hAnsi="宋体" w:eastAsia="宋体" w:cs="宋体"/>
              <w:szCs w:val="21"/>
            </w:rPr>
            <w:t xml:space="preserve">二十、 </w:t>
          </w:r>
          <w:r>
            <w:rPr>
              <w:rFonts w:hint="eastAsia" w:ascii="宋体" w:hAnsi="宋体" w:eastAsia="宋体" w:cs="宋体"/>
              <w:bCs w:val="0"/>
              <w:szCs w:val="21"/>
              <w:lang w:val="en-US" w:eastAsia="zh-CN"/>
            </w:rPr>
            <w:t>近三年财务报表/审计报告/所得税汇算清缴报表</w:t>
          </w:r>
          <w:r>
            <w:tab/>
          </w:r>
          <w:r>
            <w:fldChar w:fldCharType="begin"/>
          </w:r>
          <w:r>
            <w:instrText xml:space="preserve"> PAGEREF _Toc19792 \h </w:instrText>
          </w:r>
          <w:r>
            <w:fldChar w:fldCharType="separate"/>
          </w:r>
          <w:r>
            <w:t>38</w:t>
          </w:r>
          <w:r>
            <w:fldChar w:fldCharType="end"/>
          </w:r>
          <w:r>
            <w:fldChar w:fldCharType="end"/>
          </w:r>
        </w:p>
        <w:p>
          <w:pPr>
            <w:pStyle w:val="2"/>
            <w:tabs>
              <w:tab w:val="right" w:leader="dot" w:pos="8312"/>
            </w:tabs>
          </w:pPr>
          <w:r>
            <w:fldChar w:fldCharType="begin"/>
          </w:r>
          <w:r>
            <w:instrText xml:space="preserve"> HYPERLINK \l _Toc9904 </w:instrText>
          </w:r>
          <w:r>
            <w:fldChar w:fldCharType="separate"/>
          </w:r>
          <w:r>
            <w:rPr>
              <w:rFonts w:hint="eastAsia" w:ascii="宋体" w:hAnsi="宋体" w:eastAsia="宋体" w:cs="宋体"/>
              <w:bCs w:val="0"/>
              <w:szCs w:val="21"/>
            </w:rPr>
            <w:t xml:space="preserve">二十一、 </w:t>
          </w:r>
          <w:r>
            <w:rPr>
              <w:rFonts w:hint="eastAsia" w:ascii="宋体" w:hAnsi="宋体" w:eastAsia="宋体" w:cs="宋体"/>
              <w:bCs w:val="0"/>
              <w:szCs w:val="21"/>
              <w:lang w:val="en-US" w:eastAsia="zh-CN"/>
            </w:rPr>
            <w:t>其他资质证明</w:t>
          </w:r>
          <w:r>
            <w:tab/>
          </w:r>
          <w:r>
            <w:fldChar w:fldCharType="begin"/>
          </w:r>
          <w:r>
            <w:instrText xml:space="preserve"> PAGEREF _Toc9904 \h </w:instrText>
          </w:r>
          <w:r>
            <w:fldChar w:fldCharType="separate"/>
          </w:r>
          <w:r>
            <w:t>39</w:t>
          </w:r>
          <w:r>
            <w:fldChar w:fldCharType="end"/>
          </w:r>
          <w:r>
            <w:fldChar w:fldCharType="end"/>
          </w:r>
        </w:p>
        <w:p>
          <w:r>
            <w:fldChar w:fldCharType="end"/>
          </w:r>
        </w:p>
      </w:sdtContent>
    </w:sdt>
    <w:p>
      <w:pPr>
        <w:rPr>
          <w:rFonts w:hint="eastAsia" w:ascii="宋体" w:hAnsi="宋体" w:eastAsia="宋体" w:cs="宋体"/>
          <w:szCs w:val="21"/>
        </w:rPr>
      </w:pPr>
      <w:r>
        <w:rPr>
          <w:rFonts w:hint="eastAsia" w:ascii="宋体" w:hAnsi="宋体" w:eastAsia="宋体" w:cs="宋体"/>
          <w:szCs w:val="21"/>
        </w:rPr>
        <w:br w:type="page"/>
      </w:r>
    </w:p>
    <w:p>
      <w:pPr>
        <w:pStyle w:val="3"/>
        <w:numPr>
          <w:ilvl w:val="0"/>
          <w:numId w:val="1"/>
        </w:numPr>
        <w:spacing w:line="240" w:lineRule="auto"/>
        <w:ind w:firstLine="402"/>
        <w:jc w:val="center"/>
        <w:rPr>
          <w:rFonts w:hint="eastAsia" w:ascii="宋体" w:hAnsi="宋体" w:cs="宋体"/>
          <w:sz w:val="21"/>
          <w:szCs w:val="21"/>
        </w:rPr>
      </w:pPr>
      <w:bookmarkStart w:id="10" w:name="_Toc12237"/>
      <w:r>
        <w:rPr>
          <w:rFonts w:hint="eastAsia" w:ascii="宋体" w:hAnsi="宋体" w:cs="宋体"/>
          <w:sz w:val="21"/>
          <w:szCs w:val="21"/>
        </w:rPr>
        <w:t>竞争性谈判邀请</w:t>
      </w:r>
      <w:bookmarkEnd w:id="10"/>
    </w:p>
    <w:p>
      <w:pPr>
        <w:autoSpaceDE w:val="0"/>
        <w:autoSpaceDN w:val="0"/>
        <w:adjustRightInd w:val="0"/>
        <w:snapToGrid w:val="0"/>
        <w:spacing w:line="240" w:lineRule="auto"/>
        <w:ind w:firstLine="426" w:firstLineChars="200"/>
        <w:rPr>
          <w:rFonts w:hint="eastAsia" w:ascii="宋体" w:hAnsi="宋体" w:eastAsia="宋体" w:cs="宋体"/>
          <w:b w:val="0"/>
          <w:bCs/>
          <w:color w:val="000000" w:themeColor="text1"/>
          <w:szCs w:val="21"/>
          <w14:textFill>
            <w14:solidFill>
              <w14:schemeClr w14:val="tx1"/>
            </w14:solidFill>
          </w14:textFill>
        </w:rPr>
      </w:pPr>
      <w:r>
        <w:rPr>
          <w:rFonts w:hint="eastAsia" w:ascii="宋体" w:hAnsi="宋体" w:eastAsia="宋体" w:cs="宋体"/>
          <w:b w:val="0"/>
          <w:bCs/>
          <w:color w:val="000000" w:themeColor="text1"/>
          <w:szCs w:val="21"/>
          <w:u w:val="none"/>
          <w:lang w:eastAsia="zh-CN"/>
          <w14:textFill>
            <w14:solidFill>
              <w14:schemeClr w14:val="tx1"/>
            </w14:solidFill>
          </w14:textFill>
        </w:rPr>
        <w:t>深圳市设计之都运营发展有限公司</w:t>
      </w:r>
      <w:r>
        <w:rPr>
          <w:rFonts w:hint="eastAsia" w:ascii="宋体" w:hAnsi="宋体" w:eastAsia="宋体" w:cs="宋体"/>
          <w:b w:val="0"/>
          <w:bCs/>
          <w:color w:val="000000" w:themeColor="text1"/>
          <w:szCs w:val="21"/>
          <w14:textFill>
            <w14:solidFill>
              <w14:schemeClr w14:val="tx1"/>
            </w14:solidFill>
          </w14:textFill>
        </w:rPr>
        <w:t>对</w:t>
      </w:r>
      <w:r>
        <w:rPr>
          <w:rFonts w:hint="eastAsia" w:ascii="宋体" w:hAnsi="宋体" w:eastAsia="宋体" w:cs="宋体"/>
          <w:b w:val="0"/>
          <w:bCs/>
          <w:color w:val="auto"/>
          <w:szCs w:val="21"/>
        </w:rPr>
        <w:t>天空美术馆二期改造项目48楼改造设计项目</w:t>
      </w:r>
      <w:r>
        <w:rPr>
          <w:rFonts w:hint="eastAsia" w:ascii="宋体" w:hAnsi="宋体" w:eastAsia="宋体" w:cs="宋体"/>
          <w:b w:val="0"/>
          <w:bCs/>
          <w:color w:val="000000" w:themeColor="text1"/>
          <w:szCs w:val="21"/>
          <w14:textFill>
            <w14:solidFill>
              <w14:schemeClr w14:val="tx1"/>
            </w14:solidFill>
          </w14:textFill>
        </w:rPr>
        <w:t>采用竞争性谈判方式。现邀请收到要约邀请书的合格的供应商参加报价和谈判。 </w:t>
      </w:r>
    </w:p>
    <w:p>
      <w:pPr>
        <w:numPr>
          <w:ilvl w:val="0"/>
          <w:numId w:val="2"/>
        </w:numPr>
        <w:autoSpaceDE w:val="0"/>
        <w:autoSpaceDN w:val="0"/>
        <w:adjustRightInd w:val="0"/>
        <w:snapToGrid w:val="0"/>
        <w:spacing w:line="240" w:lineRule="auto"/>
        <w:ind w:firstLine="420"/>
        <w:rPr>
          <w:rFonts w:hint="eastAsia" w:ascii="宋体" w:hAnsi="宋体" w:eastAsia="宋体" w:cs="宋体"/>
          <w:b w:val="0"/>
          <w:bCs/>
          <w:color w:val="000000" w:themeColor="text1"/>
          <w:szCs w:val="21"/>
          <w:highlight w:val="none"/>
          <w:lang w:eastAsia="zh-CN"/>
          <w14:textFill>
            <w14:solidFill>
              <w14:schemeClr w14:val="tx1"/>
            </w14:solidFill>
          </w14:textFill>
        </w:rPr>
      </w:pPr>
      <w:r>
        <w:rPr>
          <w:rFonts w:hint="eastAsia" w:ascii="宋体" w:hAnsi="宋体" w:eastAsia="宋体" w:cs="宋体"/>
          <w:b w:val="0"/>
          <w:bCs/>
          <w:color w:val="000000" w:themeColor="text1"/>
          <w:szCs w:val="21"/>
          <w:highlight w:val="none"/>
          <w14:textFill>
            <w14:solidFill>
              <w14:schemeClr w14:val="tx1"/>
            </w14:solidFill>
          </w14:textFill>
        </w:rPr>
        <w:t>项目编号：</w:t>
      </w:r>
      <w:r>
        <w:rPr>
          <w:rFonts w:hint="eastAsia" w:ascii="宋体" w:hAnsi="宋体" w:eastAsia="宋体" w:cs="宋体"/>
          <w:b/>
          <w:bCs w:val="0"/>
          <w:color w:val="000000" w:themeColor="text1"/>
          <w:szCs w:val="21"/>
          <w:highlight w:val="none"/>
          <w:lang w:val="en-US" w:eastAsia="zh-CN"/>
          <w14:textFill>
            <w14:solidFill>
              <w14:schemeClr w14:val="tx1"/>
            </w14:solidFill>
          </w14:textFill>
        </w:rPr>
        <w:t>SJZD</w:t>
      </w:r>
      <w:r>
        <w:rPr>
          <w:rFonts w:hint="eastAsia" w:ascii="宋体" w:hAnsi="宋体" w:eastAsia="宋体" w:cs="宋体"/>
          <w:b/>
          <w:bCs w:val="0"/>
          <w:color w:val="000000" w:themeColor="text1"/>
          <w:szCs w:val="21"/>
          <w:highlight w:val="none"/>
          <w14:textFill>
            <w14:solidFill>
              <w14:schemeClr w14:val="tx1"/>
            </w14:solidFill>
          </w14:textFill>
        </w:rPr>
        <w:t>-20</w:t>
      </w:r>
      <w:r>
        <w:rPr>
          <w:rFonts w:hint="eastAsia" w:ascii="宋体" w:hAnsi="宋体" w:eastAsia="宋体" w:cs="宋体"/>
          <w:b/>
          <w:bCs w:val="0"/>
          <w:color w:val="000000" w:themeColor="text1"/>
          <w:szCs w:val="21"/>
          <w:highlight w:val="none"/>
          <w:lang w:val="en-US" w:eastAsia="zh-CN"/>
          <w14:textFill>
            <w14:solidFill>
              <w14:schemeClr w14:val="tx1"/>
            </w14:solidFill>
          </w14:textFill>
        </w:rPr>
        <w:t>25</w:t>
      </w:r>
      <w:r>
        <w:rPr>
          <w:rFonts w:hint="eastAsia" w:ascii="宋体" w:hAnsi="宋体" w:eastAsia="宋体" w:cs="宋体"/>
          <w:b/>
          <w:bCs w:val="0"/>
          <w:color w:val="000000" w:themeColor="text1"/>
          <w:szCs w:val="21"/>
          <w:highlight w:val="none"/>
          <w14:textFill>
            <w14:solidFill>
              <w14:schemeClr w14:val="tx1"/>
            </w14:solidFill>
          </w14:textFill>
        </w:rPr>
        <w:t>00</w:t>
      </w:r>
      <w:r>
        <w:rPr>
          <w:rFonts w:hint="eastAsia" w:ascii="宋体" w:hAnsi="宋体" w:eastAsia="宋体" w:cs="宋体"/>
          <w:b/>
          <w:bCs w:val="0"/>
          <w:color w:val="000000" w:themeColor="text1"/>
          <w:szCs w:val="21"/>
          <w:highlight w:val="none"/>
          <w:lang w:val="en-US" w:eastAsia="zh-CN"/>
          <w14:textFill>
            <w14:solidFill>
              <w14:schemeClr w14:val="tx1"/>
            </w14:solidFill>
          </w14:textFill>
        </w:rPr>
        <w:t>1</w:t>
      </w:r>
    </w:p>
    <w:p>
      <w:pPr>
        <w:numPr>
          <w:ilvl w:val="-1"/>
          <w:numId w:val="0"/>
        </w:numPr>
        <w:autoSpaceDE w:val="0"/>
        <w:autoSpaceDN w:val="0"/>
        <w:adjustRightInd w:val="0"/>
        <w:snapToGrid w:val="0"/>
        <w:spacing w:line="240" w:lineRule="auto"/>
        <w:ind w:left="420" w:firstLine="0"/>
        <w:rPr>
          <w:rFonts w:hint="eastAsia" w:ascii="宋体" w:hAnsi="宋体" w:eastAsia="宋体" w:cs="宋体"/>
          <w:b w:val="0"/>
          <w:bCs/>
          <w:color w:val="000000" w:themeColor="text1"/>
          <w:szCs w:val="21"/>
          <w:lang w:eastAsia="zh-CN"/>
          <w14:textFill>
            <w14:solidFill>
              <w14:schemeClr w14:val="tx1"/>
            </w14:solidFill>
          </w14:textFill>
        </w:rPr>
      </w:pPr>
    </w:p>
    <w:p>
      <w:pPr>
        <w:numPr>
          <w:ilvl w:val="0"/>
          <w:numId w:val="2"/>
        </w:numPr>
        <w:autoSpaceDE w:val="0"/>
        <w:autoSpaceDN w:val="0"/>
        <w:adjustRightInd w:val="0"/>
        <w:snapToGrid w:val="0"/>
        <w:spacing w:line="240" w:lineRule="auto"/>
        <w:ind w:firstLine="420"/>
        <w:rPr>
          <w:rFonts w:hint="eastAsia" w:ascii="宋体" w:hAnsi="宋体" w:eastAsia="宋体" w:cs="宋体"/>
          <w:b w:val="0"/>
          <w:bCs/>
          <w:color w:val="000000" w:themeColor="text1"/>
          <w:szCs w:val="21"/>
          <w:u w:val="single"/>
          <w14:textFill>
            <w14:solidFill>
              <w14:schemeClr w14:val="tx1"/>
            </w14:solidFill>
          </w14:textFill>
        </w:rPr>
      </w:pPr>
      <w:r>
        <w:rPr>
          <w:rFonts w:hint="eastAsia" w:ascii="宋体" w:hAnsi="宋体" w:eastAsia="宋体" w:cs="宋体"/>
          <w:b w:val="0"/>
          <w:bCs/>
          <w:color w:val="000000" w:themeColor="text1"/>
          <w:szCs w:val="21"/>
          <w14:textFill>
            <w14:solidFill>
              <w14:schemeClr w14:val="tx1"/>
            </w14:solidFill>
          </w14:textFill>
        </w:rPr>
        <w:t>项目名称：</w:t>
      </w:r>
      <w:r>
        <w:rPr>
          <w:rFonts w:hint="eastAsia" w:ascii="宋体" w:hAnsi="宋体" w:eastAsia="宋体" w:cs="宋体"/>
          <w:b/>
          <w:bCs w:val="0"/>
          <w:color w:val="FF0000"/>
          <w:szCs w:val="21"/>
        </w:rPr>
        <w:t>天空美术馆二期改造项目48楼改造设计项目</w:t>
      </w:r>
    </w:p>
    <w:p>
      <w:pPr>
        <w:autoSpaceDE w:val="0"/>
        <w:autoSpaceDN w:val="0"/>
        <w:adjustRightInd w:val="0"/>
        <w:snapToGrid w:val="0"/>
        <w:spacing w:line="240" w:lineRule="auto"/>
        <w:ind w:firstLine="482"/>
        <w:rPr>
          <w:rFonts w:hint="eastAsia" w:ascii="宋体" w:hAnsi="宋体" w:eastAsia="宋体" w:cs="宋体"/>
          <w:b/>
          <w:color w:val="000000" w:themeColor="text1"/>
          <w:szCs w:val="21"/>
          <w:u w:val="single"/>
          <w14:textFill>
            <w14:solidFill>
              <w14:schemeClr w14:val="tx1"/>
            </w14:solidFill>
          </w14:textFill>
        </w:rPr>
      </w:pPr>
      <w:r>
        <w:rPr>
          <w:rFonts w:hint="eastAsia" w:ascii="宋体" w:hAnsi="宋体" w:eastAsia="宋体" w:cs="宋体"/>
          <w:b/>
          <w:bCs/>
          <w:color w:val="000000"/>
          <w:szCs w:val="21"/>
        </w:rPr>
        <w:t>★</w:t>
      </w:r>
      <w:r>
        <w:rPr>
          <w:rFonts w:hint="eastAsia" w:ascii="宋体" w:hAnsi="宋体" w:eastAsia="宋体" w:cs="宋体"/>
          <w:b/>
          <w:color w:val="000000" w:themeColor="text1"/>
          <w:szCs w:val="21"/>
          <w:u w:val="single"/>
          <w14:textFill>
            <w14:solidFill>
              <w14:schemeClr w14:val="tx1"/>
            </w14:solidFill>
          </w14:textFill>
        </w:rPr>
        <w:t>本项目最高限价：人民币</w:t>
      </w:r>
      <w:r>
        <w:rPr>
          <w:rFonts w:hint="eastAsia" w:ascii="宋体" w:hAnsi="宋体" w:eastAsia="宋体" w:cs="宋体"/>
          <w:b/>
          <w:color w:val="FF0000"/>
          <w:szCs w:val="21"/>
          <w:u w:val="single"/>
          <w:lang w:val="en-US" w:eastAsia="zh-CN"/>
        </w:rPr>
        <w:t>玖</w:t>
      </w:r>
      <w:r>
        <w:rPr>
          <w:rFonts w:hint="eastAsia" w:ascii="宋体" w:hAnsi="宋体" w:eastAsia="宋体" w:cs="宋体"/>
          <w:b/>
          <w:color w:val="FF0000"/>
          <w:szCs w:val="21"/>
          <w:u w:val="single"/>
        </w:rPr>
        <w:t>万元整 （¥</w:t>
      </w:r>
      <w:r>
        <w:rPr>
          <w:rFonts w:hint="eastAsia" w:ascii="宋体" w:hAnsi="宋体" w:eastAsia="宋体" w:cs="宋体"/>
          <w:b/>
          <w:color w:val="FF0000"/>
          <w:szCs w:val="21"/>
          <w:highlight w:val="none"/>
          <w:u w:val="single"/>
          <w:lang w:val="en-US" w:eastAsia="zh-CN"/>
        </w:rPr>
        <w:t>90000</w:t>
      </w:r>
      <w:r>
        <w:rPr>
          <w:rFonts w:hint="eastAsia" w:ascii="宋体" w:hAnsi="宋体" w:eastAsia="宋体" w:cs="宋体"/>
          <w:b/>
          <w:color w:val="FF0000"/>
          <w:szCs w:val="21"/>
          <w:highlight w:val="none"/>
          <w:u w:val="single"/>
        </w:rPr>
        <w:t>元）</w:t>
      </w:r>
      <w:r>
        <w:rPr>
          <w:rFonts w:hint="eastAsia" w:ascii="宋体" w:hAnsi="宋体" w:eastAsia="宋体" w:cs="宋体"/>
          <w:b/>
          <w:color w:val="000000" w:themeColor="text1"/>
          <w:szCs w:val="21"/>
          <w:u w:val="single"/>
          <w14:textFill>
            <w14:solidFill>
              <w14:schemeClr w14:val="tx1"/>
            </w14:solidFill>
          </w14:textFill>
        </w:rPr>
        <w:t>，任何超过此限价的竞标报价，采购人不予接受。（最高限价为控制价）</w:t>
      </w:r>
    </w:p>
    <w:p>
      <w:pPr>
        <w:autoSpaceDE w:val="0"/>
        <w:autoSpaceDN w:val="0"/>
        <w:adjustRightInd w:val="0"/>
        <w:snapToGrid w:val="0"/>
        <w:spacing w:line="240" w:lineRule="auto"/>
        <w:ind w:firstLine="482"/>
        <w:rPr>
          <w:rFonts w:hint="eastAsia" w:ascii="宋体" w:hAnsi="宋体" w:eastAsia="宋体" w:cs="宋体"/>
          <w:b/>
          <w:color w:val="000000" w:themeColor="text1"/>
          <w:szCs w:val="21"/>
          <w:u w:val="single"/>
          <w14:textFill>
            <w14:solidFill>
              <w14:schemeClr w14:val="tx1"/>
            </w14:solidFill>
          </w14:textFill>
        </w:rPr>
      </w:pPr>
    </w:p>
    <w:p>
      <w:pPr>
        <w:numPr>
          <w:ilvl w:val="0"/>
          <w:numId w:val="2"/>
        </w:numPr>
        <w:autoSpaceDE w:val="0"/>
        <w:autoSpaceDN w:val="0"/>
        <w:adjustRightInd w:val="0"/>
        <w:snapToGrid w:val="0"/>
        <w:spacing w:line="240" w:lineRule="auto"/>
        <w:ind w:firstLine="420"/>
        <w:outlineLvl w:val="1"/>
        <w:rPr>
          <w:rFonts w:hint="eastAsia" w:ascii="宋体" w:hAnsi="宋体" w:eastAsia="宋体" w:cs="宋体"/>
          <w:color w:val="000000" w:themeColor="text1"/>
          <w:szCs w:val="21"/>
          <w14:textFill>
            <w14:solidFill>
              <w14:schemeClr w14:val="tx1"/>
            </w14:solidFill>
          </w14:textFill>
        </w:rPr>
      </w:pPr>
      <w:bookmarkStart w:id="11" w:name="_Toc18280"/>
      <w:bookmarkStart w:id="12" w:name="_Toc15227"/>
      <w:bookmarkStart w:id="13" w:name="_Toc15377"/>
      <w:bookmarkStart w:id="14" w:name="_Toc4805"/>
      <w:r>
        <w:rPr>
          <w:rFonts w:hint="eastAsia" w:ascii="宋体" w:hAnsi="宋体" w:eastAsia="宋体" w:cs="宋体"/>
          <w:color w:val="000000" w:themeColor="text1"/>
          <w:szCs w:val="21"/>
          <w14:textFill>
            <w14:solidFill>
              <w14:schemeClr w14:val="tx1"/>
            </w14:solidFill>
          </w14:textFill>
        </w:rPr>
        <w:t>资格要求</w:t>
      </w:r>
      <w:bookmarkEnd w:id="11"/>
      <w:bookmarkEnd w:id="12"/>
      <w:bookmarkEnd w:id="13"/>
      <w:bookmarkEnd w:id="14"/>
    </w:p>
    <w:p>
      <w:pPr>
        <w:autoSpaceDE w:val="0"/>
        <w:autoSpaceDN w:val="0"/>
        <w:adjustRightInd w:val="0"/>
        <w:snapToGrid w:val="0"/>
        <w:spacing w:line="240" w:lineRule="auto"/>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（一）行业资质要求：竞争性谈判人必须是在中国境内注册的独立法人企业，具有履行合同的服务能力、专业技术能力、供应保障能力及风险控制能力；</w:t>
      </w:r>
    </w:p>
    <w:p>
      <w:pPr>
        <w:autoSpaceDE w:val="0"/>
        <w:autoSpaceDN w:val="0"/>
        <w:adjustRightInd w:val="0"/>
        <w:snapToGrid w:val="0"/>
        <w:spacing w:line="240" w:lineRule="auto"/>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（二）供应商必须具备</w:t>
      </w:r>
      <w:r>
        <w:rPr>
          <w:rFonts w:hint="eastAsia" w:ascii="宋体" w:hAnsi="宋体" w:eastAsia="宋体" w:cs="宋体"/>
          <w:color w:val="000000" w:themeColor="text1"/>
          <w:szCs w:val="21"/>
          <w:highlight w:val="none"/>
          <w:lang w:val="en-US" w:eastAsia="zh-CN"/>
          <w14:textFill>
            <w14:solidFill>
              <w14:schemeClr w14:val="tx1"/>
            </w14:solidFill>
          </w14:textFill>
        </w:rPr>
        <w:t>设计</w:t>
      </w:r>
      <w:r>
        <w:rPr>
          <w:rFonts w:hint="eastAsia" w:ascii="宋体" w:hAnsi="宋体" w:eastAsia="宋体" w:cs="宋体"/>
          <w:color w:val="000000" w:themeColor="text1"/>
          <w:szCs w:val="21"/>
          <w14:textFill>
            <w14:solidFill>
              <w14:schemeClr w14:val="tx1"/>
            </w14:solidFill>
          </w14:textFill>
        </w:rPr>
        <w:t>等经营范围，并且是本领域的专业公司；</w:t>
      </w:r>
    </w:p>
    <w:p>
      <w:pPr>
        <w:autoSpaceDE w:val="0"/>
        <w:autoSpaceDN w:val="0"/>
        <w:adjustRightInd w:val="0"/>
        <w:snapToGrid w:val="0"/>
        <w:spacing w:line="240" w:lineRule="auto"/>
        <w:ind w:firstLine="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（三）不接受联合体竞争性谈判，不得分包、转包。</w:t>
      </w:r>
    </w:p>
    <w:p>
      <w:pPr>
        <w:autoSpaceDE w:val="0"/>
        <w:autoSpaceDN w:val="0"/>
        <w:adjustRightInd w:val="0"/>
        <w:snapToGrid w:val="0"/>
        <w:spacing w:line="240" w:lineRule="auto"/>
        <w:ind w:firstLine="420"/>
        <w:rPr>
          <w:rFonts w:hint="eastAsia" w:ascii="宋体" w:hAnsi="宋体" w:eastAsia="宋体" w:cs="宋体"/>
          <w:color w:val="000000" w:themeColor="text1"/>
          <w:szCs w:val="21"/>
          <w14:textFill>
            <w14:solidFill>
              <w14:schemeClr w14:val="tx1"/>
            </w14:solidFill>
          </w14:textFill>
        </w:rPr>
      </w:pPr>
    </w:p>
    <w:p>
      <w:pPr>
        <w:numPr>
          <w:ilvl w:val="0"/>
          <w:numId w:val="2"/>
        </w:numPr>
        <w:autoSpaceDE w:val="0"/>
        <w:autoSpaceDN w:val="0"/>
        <w:adjustRightInd w:val="0"/>
        <w:snapToGrid w:val="0"/>
        <w:spacing w:line="240" w:lineRule="auto"/>
        <w:ind w:firstLine="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响应性文件份数：</w:t>
      </w:r>
      <w:r>
        <w:rPr>
          <w:rFonts w:hint="eastAsia" w:ascii="宋体" w:hAnsi="宋体" w:eastAsia="宋体" w:cs="宋体"/>
          <w:b/>
          <w:bCs/>
          <w:color w:val="000000" w:themeColor="text1"/>
          <w:szCs w:val="21"/>
          <w14:textFill>
            <w14:solidFill>
              <w14:schemeClr w14:val="tx1"/>
            </w14:solidFill>
          </w14:textFill>
        </w:rPr>
        <w:t>正本壹份、副本伍份</w:t>
      </w:r>
      <w:r>
        <w:rPr>
          <w:rFonts w:hint="eastAsia" w:ascii="宋体" w:hAnsi="宋体" w:eastAsia="宋体" w:cs="宋体"/>
          <w:color w:val="000000" w:themeColor="text1"/>
          <w:szCs w:val="21"/>
          <w14:textFill>
            <w14:solidFill>
              <w14:schemeClr w14:val="tx1"/>
            </w14:solidFill>
          </w14:textFill>
        </w:rPr>
        <w:t>。 </w:t>
      </w:r>
    </w:p>
    <w:p>
      <w:pPr>
        <w:numPr>
          <w:ilvl w:val="-1"/>
          <w:numId w:val="0"/>
        </w:numPr>
        <w:autoSpaceDE w:val="0"/>
        <w:autoSpaceDN w:val="0"/>
        <w:adjustRightInd w:val="0"/>
        <w:snapToGrid w:val="0"/>
        <w:spacing w:line="240" w:lineRule="auto"/>
        <w:ind w:left="0" w:firstLine="0"/>
        <w:rPr>
          <w:rFonts w:hint="eastAsia" w:ascii="宋体" w:hAnsi="宋体" w:eastAsia="宋体" w:cs="宋体"/>
          <w:color w:val="000000" w:themeColor="text1"/>
          <w:szCs w:val="21"/>
          <w14:textFill>
            <w14:solidFill>
              <w14:schemeClr w14:val="tx1"/>
            </w14:solidFill>
          </w14:textFill>
        </w:rPr>
      </w:pPr>
    </w:p>
    <w:p>
      <w:pPr>
        <w:numPr>
          <w:ilvl w:val="0"/>
          <w:numId w:val="2"/>
        </w:numPr>
        <w:autoSpaceDE w:val="0"/>
        <w:autoSpaceDN w:val="0"/>
        <w:adjustRightInd w:val="0"/>
        <w:snapToGrid w:val="0"/>
        <w:spacing w:line="240" w:lineRule="auto"/>
        <w:ind w:firstLine="42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递交响应性文件截止时间：</w:t>
      </w:r>
      <w:r>
        <w:rPr>
          <w:rFonts w:hint="eastAsia" w:ascii="宋体" w:hAnsi="宋体" w:eastAsia="宋体" w:cs="宋体"/>
          <w:b/>
          <w:bCs/>
          <w:color w:val="FF0000"/>
          <w:szCs w:val="21"/>
          <w:highlight w:val="none"/>
          <w:u w:val="none"/>
          <w:lang w:val="en-US" w:eastAsia="zh-CN"/>
        </w:rPr>
        <w:t>2025</w:t>
      </w:r>
      <w:r>
        <w:rPr>
          <w:rFonts w:hint="eastAsia" w:ascii="宋体" w:hAnsi="宋体" w:eastAsia="宋体" w:cs="宋体"/>
          <w:b/>
          <w:bCs/>
          <w:color w:val="FF0000"/>
          <w:szCs w:val="21"/>
          <w:highlight w:val="none"/>
          <w:u w:val="none"/>
        </w:rPr>
        <w:t>年</w:t>
      </w:r>
      <w:r>
        <w:rPr>
          <w:rFonts w:hint="eastAsia" w:ascii="宋体" w:hAnsi="宋体" w:eastAsia="宋体" w:cs="宋体"/>
          <w:b/>
          <w:bCs/>
          <w:color w:val="FF0000"/>
          <w:szCs w:val="21"/>
          <w:highlight w:val="none"/>
          <w:u w:val="none"/>
          <w:lang w:val="en-US" w:eastAsia="zh-CN"/>
        </w:rPr>
        <w:t>2</w:t>
      </w:r>
      <w:r>
        <w:rPr>
          <w:rFonts w:hint="eastAsia" w:ascii="宋体" w:hAnsi="宋体" w:eastAsia="宋体" w:cs="宋体"/>
          <w:b/>
          <w:bCs/>
          <w:color w:val="FF0000"/>
          <w:szCs w:val="21"/>
          <w:highlight w:val="none"/>
          <w:u w:val="none"/>
        </w:rPr>
        <w:t>月</w:t>
      </w:r>
      <w:r>
        <w:rPr>
          <w:rFonts w:hint="eastAsia" w:ascii="宋体" w:hAnsi="宋体" w:eastAsia="宋体" w:cs="宋体"/>
          <w:b/>
          <w:bCs/>
          <w:color w:val="FF0000"/>
          <w:szCs w:val="21"/>
          <w:highlight w:val="none"/>
          <w:u w:val="none"/>
          <w:lang w:val="en-US" w:eastAsia="zh-CN"/>
        </w:rPr>
        <w:t>12</w:t>
      </w:r>
      <w:r>
        <w:rPr>
          <w:rFonts w:hint="eastAsia" w:ascii="宋体" w:hAnsi="宋体" w:eastAsia="宋体" w:cs="宋体"/>
          <w:b/>
          <w:bCs/>
          <w:color w:val="FF0000"/>
          <w:szCs w:val="21"/>
          <w:highlight w:val="none"/>
          <w:u w:val="none"/>
        </w:rPr>
        <w:t>日</w:t>
      </w:r>
      <w:r>
        <w:rPr>
          <w:rFonts w:hint="eastAsia" w:ascii="宋体" w:hAnsi="宋体" w:eastAsia="宋体" w:cs="宋体"/>
          <w:b/>
          <w:bCs/>
          <w:color w:val="FF0000"/>
          <w:szCs w:val="21"/>
          <w:highlight w:val="none"/>
          <w:u w:val="none"/>
          <w:lang w:eastAsia="zh-CN"/>
        </w:rPr>
        <w:t>周三</w:t>
      </w:r>
      <w:r>
        <w:rPr>
          <w:rFonts w:hint="eastAsia" w:ascii="宋体" w:hAnsi="宋体" w:eastAsia="宋体" w:cs="宋体"/>
          <w:b/>
          <w:bCs/>
          <w:color w:val="FF0000"/>
          <w:szCs w:val="21"/>
          <w:highlight w:val="none"/>
          <w:u w:val="none"/>
          <w:lang w:val="en-US" w:eastAsia="zh-CN"/>
        </w:rPr>
        <w:t>10</w:t>
      </w:r>
      <w:r>
        <w:rPr>
          <w:rFonts w:hint="eastAsia" w:ascii="宋体" w:hAnsi="宋体" w:eastAsia="宋体" w:cs="宋体"/>
          <w:b/>
          <w:bCs/>
          <w:color w:val="FF0000"/>
          <w:szCs w:val="21"/>
          <w:highlight w:val="none"/>
          <w:u w:val="none"/>
        </w:rPr>
        <w:t>时</w:t>
      </w:r>
      <w:r>
        <w:rPr>
          <w:rFonts w:hint="eastAsia" w:ascii="宋体" w:hAnsi="宋体" w:eastAsia="宋体" w:cs="宋体"/>
          <w:b/>
          <w:bCs/>
          <w:color w:val="FF0000"/>
          <w:szCs w:val="21"/>
          <w:highlight w:val="none"/>
          <w:u w:val="none"/>
          <w:lang w:val="en-US" w:eastAsia="zh-CN"/>
        </w:rPr>
        <w:t>30</w:t>
      </w:r>
      <w:r>
        <w:rPr>
          <w:rFonts w:hint="eastAsia" w:ascii="宋体" w:hAnsi="宋体" w:eastAsia="宋体" w:cs="宋体"/>
          <w:b/>
          <w:bCs/>
          <w:color w:val="FF0000"/>
          <w:szCs w:val="21"/>
          <w:highlight w:val="none"/>
          <w:u w:val="none"/>
        </w:rPr>
        <w:t>分。</w:t>
      </w:r>
    </w:p>
    <w:p>
      <w:pPr>
        <w:autoSpaceDE w:val="0"/>
        <w:autoSpaceDN w:val="0"/>
        <w:adjustRightInd w:val="0"/>
        <w:snapToGrid w:val="0"/>
        <w:spacing w:line="240" w:lineRule="auto"/>
        <w:ind w:firstLine="482"/>
        <w:rPr>
          <w:rFonts w:hint="eastAsia" w:ascii="宋体" w:hAnsi="宋体" w:eastAsia="宋体" w:cs="宋体"/>
          <w:b/>
          <w:color w:val="FF0000"/>
          <w:szCs w:val="21"/>
          <w:highlight w:val="none"/>
          <w:u w:val="single"/>
        </w:rPr>
      </w:pPr>
      <w:r>
        <w:rPr>
          <w:rFonts w:hint="eastAsia" w:ascii="宋体" w:hAnsi="宋体" w:eastAsia="宋体" w:cs="宋体"/>
          <w:b w:val="0"/>
          <w:bCs/>
          <w:color w:val="auto"/>
          <w:szCs w:val="21"/>
          <w:highlight w:val="none"/>
          <w:u w:val="single"/>
        </w:rPr>
        <w:t>递交地点：</w:t>
      </w:r>
      <w:r>
        <w:rPr>
          <w:rFonts w:hint="eastAsia" w:ascii="宋体" w:hAnsi="宋体" w:eastAsia="宋体" w:cs="宋体"/>
          <w:b/>
          <w:color w:val="FF0000"/>
          <w:szCs w:val="21"/>
          <w:highlight w:val="none"/>
          <w:u w:val="single"/>
          <w:lang w:val="en-US" w:eastAsia="zh-CN"/>
        </w:rPr>
        <w:t>深圳市广电金融中心48楼大会议室</w:t>
      </w:r>
      <w:r>
        <w:rPr>
          <w:rFonts w:hint="eastAsia" w:ascii="宋体" w:hAnsi="宋体" w:eastAsia="宋体" w:cs="宋体"/>
          <w:b/>
          <w:color w:val="FF0000"/>
          <w:szCs w:val="21"/>
          <w:highlight w:val="none"/>
          <w:u w:val="single"/>
        </w:rPr>
        <w:t>。</w:t>
      </w:r>
    </w:p>
    <w:p>
      <w:pPr>
        <w:autoSpaceDE w:val="0"/>
        <w:autoSpaceDN w:val="0"/>
        <w:adjustRightInd w:val="0"/>
        <w:snapToGrid w:val="0"/>
        <w:spacing w:line="240" w:lineRule="auto"/>
        <w:ind w:firstLine="482"/>
        <w:rPr>
          <w:rFonts w:hint="eastAsia" w:ascii="宋体" w:hAnsi="宋体" w:eastAsia="宋体" w:cs="宋体"/>
          <w:b w:val="0"/>
          <w:bCs/>
          <w:color w:val="auto"/>
          <w:szCs w:val="21"/>
          <w:highlight w:val="none"/>
          <w:u w:val="single"/>
          <w:lang w:eastAsia="zh-CN"/>
        </w:rPr>
      </w:pPr>
      <w:r>
        <w:rPr>
          <w:rFonts w:hint="eastAsia" w:ascii="宋体" w:hAnsi="宋体" w:eastAsia="宋体" w:cs="宋体"/>
          <w:b w:val="0"/>
          <w:bCs/>
          <w:color w:val="auto"/>
          <w:szCs w:val="21"/>
          <w:highlight w:val="none"/>
          <w:u w:val="single"/>
        </w:rPr>
        <w:t>响应性文件接收人：</w:t>
      </w:r>
      <w:r>
        <w:rPr>
          <w:rFonts w:hint="eastAsia" w:ascii="宋体" w:hAnsi="宋体" w:eastAsia="宋体" w:cs="宋体"/>
          <w:b w:val="0"/>
          <w:bCs/>
          <w:color w:val="auto"/>
          <w:szCs w:val="21"/>
          <w:highlight w:val="none"/>
          <w:u w:val="single"/>
          <w:lang w:eastAsia="zh-CN"/>
        </w:rPr>
        <w:t>深圳市设计之都运营发展有限公司</w:t>
      </w:r>
    </w:p>
    <w:p>
      <w:pPr>
        <w:autoSpaceDE w:val="0"/>
        <w:autoSpaceDN w:val="0"/>
        <w:adjustRightInd w:val="0"/>
        <w:snapToGrid w:val="0"/>
        <w:spacing w:line="240" w:lineRule="auto"/>
        <w:ind w:firstLine="482"/>
        <w:rPr>
          <w:rFonts w:hint="default" w:ascii="宋体" w:hAnsi="宋体" w:eastAsia="宋体" w:cs="宋体"/>
          <w:b/>
          <w:color w:val="FF0000"/>
          <w:szCs w:val="21"/>
          <w:highlight w:val="yellow"/>
          <w:u w:val="single"/>
          <w:lang w:val="en-US" w:eastAsia="zh-CN"/>
        </w:rPr>
      </w:pPr>
    </w:p>
    <w:p>
      <w:pPr>
        <w:numPr>
          <w:ilvl w:val="0"/>
          <w:numId w:val="2"/>
        </w:numPr>
        <w:autoSpaceDE w:val="0"/>
        <w:autoSpaceDN w:val="0"/>
        <w:adjustRightInd w:val="0"/>
        <w:snapToGrid w:val="0"/>
        <w:spacing w:line="240" w:lineRule="auto"/>
        <w:ind w:firstLine="420"/>
        <w:outlineLvl w:val="1"/>
        <w:rPr>
          <w:rFonts w:hint="eastAsia" w:ascii="宋体" w:hAnsi="宋体" w:eastAsia="宋体" w:cs="宋体"/>
          <w:color w:val="000000" w:themeColor="text1"/>
          <w:szCs w:val="21"/>
          <w14:textFill>
            <w14:solidFill>
              <w14:schemeClr w14:val="tx1"/>
            </w14:solidFill>
          </w14:textFill>
        </w:rPr>
      </w:pPr>
      <w:bookmarkStart w:id="15" w:name="_Toc18735"/>
      <w:bookmarkStart w:id="16" w:name="_Toc25284"/>
      <w:bookmarkStart w:id="17" w:name="_Toc4493"/>
      <w:bookmarkStart w:id="18" w:name="_Toc20918"/>
      <w:r>
        <w:rPr>
          <w:rFonts w:hint="eastAsia" w:ascii="宋体" w:hAnsi="宋体" w:eastAsia="宋体" w:cs="宋体"/>
          <w:color w:val="000000" w:themeColor="text1"/>
          <w:szCs w:val="21"/>
          <w14:textFill>
            <w14:solidFill>
              <w14:schemeClr w14:val="tx1"/>
            </w14:solidFill>
          </w14:textFill>
        </w:rPr>
        <w:t>竞争性谈判方式：</w:t>
      </w:r>
      <w:bookmarkEnd w:id="15"/>
      <w:bookmarkEnd w:id="16"/>
      <w:bookmarkEnd w:id="17"/>
      <w:bookmarkEnd w:id="18"/>
    </w:p>
    <w:p>
      <w:pPr>
        <w:numPr>
          <w:ilvl w:val="-1"/>
          <w:numId w:val="0"/>
        </w:numPr>
        <w:autoSpaceDE w:val="0"/>
        <w:autoSpaceDN w:val="0"/>
        <w:adjustRightInd w:val="0"/>
        <w:snapToGrid w:val="0"/>
        <w:spacing w:line="240" w:lineRule="auto"/>
        <w:ind w:left="0" w:firstLine="426"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谈判小组所有成员集中，与供应商就技术参数、售后服务等分别进行谈判，谈判小组要求符合条件所有供应商在规定的时间内提出最终的报价。本次谈判将进行</w:t>
      </w:r>
      <w:r>
        <w:rPr>
          <w:rFonts w:hint="eastAsia" w:ascii="宋体" w:hAnsi="宋体" w:eastAsia="宋体" w:cs="宋体"/>
          <w:color w:val="000000" w:themeColor="text1"/>
          <w:szCs w:val="21"/>
          <w:lang w:eastAsia="zh-CN"/>
          <w14:textFill>
            <w14:solidFill>
              <w14:schemeClr w14:val="tx1"/>
            </w14:solidFill>
          </w14:textFill>
        </w:rPr>
        <w:t>两</w:t>
      </w:r>
      <w:r>
        <w:rPr>
          <w:rFonts w:hint="eastAsia" w:ascii="宋体" w:hAnsi="宋体" w:eastAsia="宋体" w:cs="宋体"/>
          <w:color w:val="000000" w:themeColor="text1"/>
          <w:szCs w:val="21"/>
          <w14:textFill>
            <w14:solidFill>
              <w14:schemeClr w14:val="tx1"/>
            </w14:solidFill>
          </w14:textFill>
        </w:rPr>
        <w:t>轮三次报价。</w:t>
      </w:r>
    </w:p>
    <w:p>
      <w:pPr>
        <w:autoSpaceDE w:val="0"/>
        <w:autoSpaceDN w:val="0"/>
        <w:adjustRightInd w:val="0"/>
        <w:snapToGrid w:val="0"/>
        <w:spacing w:line="240" w:lineRule="auto"/>
        <w:ind w:firstLine="482"/>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谈判小组及有关当事人严格遵循保密原则，任何人不得透露除报价排名外的一切与谈判有关的供应商的技术、价格等影响公平竞争的信息。</w:t>
      </w:r>
    </w:p>
    <w:p>
      <w:pPr>
        <w:autoSpaceDE w:val="0"/>
        <w:autoSpaceDN w:val="0"/>
        <w:adjustRightInd w:val="0"/>
        <w:snapToGrid w:val="0"/>
        <w:spacing w:line="240" w:lineRule="auto"/>
        <w:ind w:firstLine="482"/>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谈判时间：</w:t>
      </w:r>
      <w:r>
        <w:rPr>
          <w:rFonts w:hint="eastAsia" w:ascii="宋体" w:hAnsi="宋体" w:eastAsia="宋体" w:cs="宋体"/>
          <w:b/>
          <w:bCs/>
          <w:color w:val="FF0000"/>
          <w:szCs w:val="21"/>
          <w:highlight w:val="none"/>
          <w:u w:val="none"/>
          <w:lang w:val="en-US" w:eastAsia="zh-CN"/>
        </w:rPr>
        <w:t>2025</w:t>
      </w:r>
      <w:r>
        <w:rPr>
          <w:rFonts w:hint="eastAsia" w:ascii="宋体" w:hAnsi="宋体" w:eastAsia="宋体" w:cs="宋体"/>
          <w:b/>
          <w:bCs/>
          <w:color w:val="FF0000"/>
          <w:szCs w:val="21"/>
          <w:highlight w:val="none"/>
          <w:u w:val="none"/>
        </w:rPr>
        <w:t>年</w:t>
      </w:r>
      <w:r>
        <w:rPr>
          <w:rFonts w:hint="eastAsia" w:ascii="宋体" w:hAnsi="宋体" w:eastAsia="宋体" w:cs="宋体"/>
          <w:b/>
          <w:bCs/>
          <w:color w:val="FF0000"/>
          <w:szCs w:val="21"/>
          <w:highlight w:val="none"/>
          <w:u w:val="none"/>
          <w:lang w:val="en-US" w:eastAsia="zh-CN"/>
        </w:rPr>
        <w:t>2</w:t>
      </w:r>
      <w:r>
        <w:rPr>
          <w:rFonts w:hint="eastAsia" w:ascii="宋体" w:hAnsi="宋体" w:eastAsia="宋体" w:cs="宋体"/>
          <w:b/>
          <w:bCs/>
          <w:color w:val="FF0000"/>
          <w:szCs w:val="21"/>
          <w:highlight w:val="none"/>
          <w:u w:val="none"/>
        </w:rPr>
        <w:t>月</w:t>
      </w:r>
      <w:r>
        <w:rPr>
          <w:rFonts w:hint="eastAsia" w:ascii="宋体" w:hAnsi="宋体" w:eastAsia="宋体" w:cs="宋体"/>
          <w:b/>
          <w:bCs/>
          <w:color w:val="FF0000"/>
          <w:szCs w:val="21"/>
          <w:highlight w:val="none"/>
          <w:u w:val="none"/>
          <w:lang w:val="en-US" w:eastAsia="zh-CN"/>
        </w:rPr>
        <w:t>12</w:t>
      </w:r>
      <w:r>
        <w:rPr>
          <w:rFonts w:hint="eastAsia" w:ascii="宋体" w:hAnsi="宋体" w:eastAsia="宋体" w:cs="宋体"/>
          <w:b/>
          <w:bCs/>
          <w:color w:val="FF0000"/>
          <w:szCs w:val="21"/>
          <w:highlight w:val="none"/>
          <w:u w:val="none"/>
        </w:rPr>
        <w:t>日</w:t>
      </w:r>
      <w:r>
        <w:rPr>
          <w:rFonts w:hint="eastAsia" w:ascii="宋体" w:hAnsi="宋体" w:eastAsia="宋体" w:cs="宋体"/>
          <w:b/>
          <w:bCs/>
          <w:color w:val="FF0000"/>
          <w:szCs w:val="21"/>
          <w:highlight w:val="none"/>
          <w:u w:val="none"/>
          <w:lang w:eastAsia="zh-CN"/>
        </w:rPr>
        <w:t>周三</w:t>
      </w:r>
      <w:r>
        <w:rPr>
          <w:rFonts w:hint="eastAsia" w:ascii="宋体" w:hAnsi="宋体" w:eastAsia="宋体" w:cs="宋体"/>
          <w:b/>
          <w:bCs/>
          <w:color w:val="FF0000"/>
          <w:szCs w:val="21"/>
          <w:highlight w:val="none"/>
          <w:u w:val="none"/>
          <w:lang w:val="en-US" w:eastAsia="zh-CN"/>
        </w:rPr>
        <w:t>10</w:t>
      </w:r>
      <w:r>
        <w:rPr>
          <w:rFonts w:hint="eastAsia" w:ascii="宋体" w:hAnsi="宋体" w:eastAsia="宋体" w:cs="宋体"/>
          <w:b/>
          <w:bCs/>
          <w:color w:val="FF0000"/>
          <w:szCs w:val="21"/>
          <w:highlight w:val="none"/>
          <w:u w:val="none"/>
        </w:rPr>
        <w:t>时</w:t>
      </w:r>
      <w:r>
        <w:rPr>
          <w:rFonts w:hint="eastAsia" w:ascii="宋体" w:hAnsi="宋体" w:eastAsia="宋体" w:cs="宋体"/>
          <w:b/>
          <w:bCs/>
          <w:color w:val="FF0000"/>
          <w:szCs w:val="21"/>
          <w:highlight w:val="none"/>
          <w:u w:val="none"/>
          <w:lang w:val="en-US" w:eastAsia="zh-CN"/>
        </w:rPr>
        <w:t>30</w:t>
      </w:r>
      <w:r>
        <w:rPr>
          <w:rFonts w:hint="eastAsia" w:ascii="宋体" w:hAnsi="宋体" w:eastAsia="宋体" w:cs="宋体"/>
          <w:b/>
          <w:bCs/>
          <w:color w:val="FF0000"/>
          <w:szCs w:val="21"/>
          <w:highlight w:val="none"/>
          <w:u w:val="none"/>
        </w:rPr>
        <w:t>分</w:t>
      </w:r>
      <w:r>
        <w:rPr>
          <w:rFonts w:hint="eastAsia" w:ascii="宋体" w:hAnsi="宋体" w:eastAsia="宋体" w:cs="宋体"/>
          <w:b/>
          <w:bCs/>
          <w:color w:val="FF0000"/>
          <w:szCs w:val="21"/>
          <w:highlight w:val="none"/>
          <w:u w:val="single"/>
        </w:rPr>
        <w:t>。</w:t>
      </w:r>
    </w:p>
    <w:p>
      <w:pPr>
        <w:autoSpaceDE w:val="0"/>
        <w:autoSpaceDN w:val="0"/>
        <w:adjustRightInd w:val="0"/>
        <w:snapToGrid w:val="0"/>
        <w:spacing w:line="240" w:lineRule="auto"/>
        <w:ind w:firstLine="482"/>
        <w:rPr>
          <w:rFonts w:hint="default" w:ascii="宋体" w:hAnsi="宋体" w:eastAsia="宋体" w:cs="宋体"/>
          <w:b/>
          <w:color w:val="FF0000"/>
          <w:szCs w:val="21"/>
          <w:highlight w:val="none"/>
          <w:u w:val="single"/>
          <w:lang w:val="en-US" w:eastAsia="zh-CN"/>
        </w:rPr>
      </w:pPr>
      <w:r>
        <w:rPr>
          <w:rFonts w:hint="eastAsia" w:ascii="宋体" w:hAnsi="宋体" w:eastAsia="宋体" w:cs="宋体"/>
          <w:color w:val="000000" w:themeColor="text1"/>
          <w:szCs w:val="21"/>
          <w:highlight w:val="none"/>
          <w14:textFill>
            <w14:solidFill>
              <w14:schemeClr w14:val="tx1"/>
            </w14:solidFill>
          </w14:textFill>
        </w:rPr>
        <w:t>谈判地点：</w:t>
      </w:r>
      <w:r>
        <w:rPr>
          <w:rFonts w:hint="eastAsia" w:ascii="宋体" w:hAnsi="宋体" w:eastAsia="宋体" w:cs="宋体"/>
          <w:color w:val="FF0000"/>
          <w:szCs w:val="21"/>
          <w:highlight w:val="none"/>
          <w:lang w:eastAsia="zh-CN"/>
        </w:rPr>
        <w:t>深圳市福田区广电金融</w:t>
      </w:r>
      <w:r>
        <w:rPr>
          <w:rFonts w:hint="eastAsia" w:ascii="宋体" w:hAnsi="宋体" w:eastAsia="宋体" w:cs="宋体"/>
          <w:color w:val="FF0000"/>
          <w:szCs w:val="21"/>
          <w:highlight w:val="none"/>
          <w:lang w:val="en-US" w:eastAsia="zh-CN"/>
        </w:rPr>
        <w:t>48楼大会议室。</w:t>
      </w:r>
    </w:p>
    <w:p>
      <w:pPr>
        <w:autoSpaceDE w:val="0"/>
        <w:autoSpaceDN w:val="0"/>
        <w:adjustRightInd w:val="0"/>
        <w:snapToGrid w:val="0"/>
        <w:spacing w:line="240" w:lineRule="auto"/>
        <w:ind w:firstLine="482"/>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届时请参加谈判的单位法定代表人或法人委托人参与谈判。</w:t>
      </w:r>
    </w:p>
    <w:p>
      <w:pPr>
        <w:autoSpaceDE w:val="0"/>
        <w:autoSpaceDN w:val="0"/>
        <w:adjustRightInd w:val="0"/>
        <w:snapToGrid w:val="0"/>
        <w:spacing w:line="240" w:lineRule="auto"/>
        <w:ind w:firstLine="482"/>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联系人：</w:t>
      </w:r>
      <w:r>
        <w:rPr>
          <w:rFonts w:hint="eastAsia" w:ascii="宋体" w:hAnsi="宋体" w:eastAsia="宋体" w:cs="宋体"/>
          <w:color w:val="000000" w:themeColor="text1"/>
          <w:szCs w:val="21"/>
          <w:highlight w:val="none"/>
          <w:lang w:eastAsia="zh-CN"/>
          <w14:textFill>
            <w14:solidFill>
              <w14:schemeClr w14:val="tx1"/>
            </w14:solidFill>
          </w14:textFill>
        </w:rPr>
        <w:t>黄先生</w:t>
      </w:r>
    </w:p>
    <w:p>
      <w:pPr>
        <w:autoSpaceDE w:val="0"/>
        <w:autoSpaceDN w:val="0"/>
        <w:adjustRightInd w:val="0"/>
        <w:snapToGrid w:val="0"/>
        <w:spacing w:line="240" w:lineRule="auto"/>
        <w:ind w:firstLine="482"/>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联系电话：</w:t>
      </w:r>
      <w:r>
        <w:rPr>
          <w:rFonts w:hint="eastAsia" w:ascii="宋体" w:hAnsi="宋体" w:eastAsia="宋体" w:cs="宋体"/>
          <w:color w:val="000000" w:themeColor="text1"/>
          <w:szCs w:val="21"/>
          <w:highlight w:val="none"/>
          <w:lang w:val="en-US" w:eastAsia="zh-CN"/>
          <w14:textFill>
            <w14:solidFill>
              <w14:schemeClr w14:val="tx1"/>
            </w14:solidFill>
          </w14:textFill>
        </w:rPr>
        <w:t>15975626327</w:t>
      </w:r>
    </w:p>
    <w:p>
      <w:pPr>
        <w:autoSpaceDE w:val="0"/>
        <w:autoSpaceDN w:val="0"/>
        <w:adjustRightInd w:val="0"/>
        <w:snapToGrid w:val="0"/>
        <w:spacing w:line="240" w:lineRule="auto"/>
        <w:ind w:firstLine="482"/>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邮箱地址：</w:t>
      </w:r>
      <w:r>
        <w:rPr>
          <w:rFonts w:hint="eastAsia" w:ascii="宋体" w:hAnsi="宋体" w:eastAsia="宋体" w:cs="宋体"/>
          <w:color w:val="000000" w:themeColor="text1"/>
          <w:szCs w:val="21"/>
          <w:highlight w:val="none"/>
          <w:lang w:val="en-US" w:eastAsia="zh-CN"/>
          <w14:textFill>
            <w14:solidFill>
              <w14:schemeClr w14:val="tx1"/>
            </w14:solidFill>
          </w14:textFill>
        </w:rPr>
        <w:t>service@designcities.cn</w:t>
      </w:r>
      <w:r>
        <w:rPr>
          <w:rFonts w:hint="eastAsia" w:ascii="宋体" w:hAnsi="宋体" w:eastAsia="宋体" w:cs="宋体"/>
          <w:b/>
          <w:bCs/>
          <w:color w:val="FF0000"/>
          <w:szCs w:val="21"/>
          <w:highlight w:val="none"/>
          <w:lang w:val="en-US" w:eastAsia="zh-CN"/>
        </w:rPr>
        <w:t>（请在开标结束后发电子版标书到此邮箱）</w:t>
      </w:r>
    </w:p>
    <w:p>
      <w:pPr>
        <w:autoSpaceDE w:val="0"/>
        <w:autoSpaceDN w:val="0"/>
        <w:adjustRightInd w:val="0"/>
        <w:snapToGrid w:val="0"/>
        <w:spacing w:line="240" w:lineRule="auto"/>
        <w:ind w:firstLine="482"/>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公司地址：</w:t>
      </w:r>
      <w:r>
        <w:rPr>
          <w:rFonts w:hint="eastAsia" w:ascii="宋体" w:hAnsi="宋体" w:eastAsia="宋体" w:cs="宋体"/>
          <w:color w:val="000000" w:themeColor="text1"/>
          <w:szCs w:val="21"/>
          <w:highlight w:val="none"/>
          <w:lang w:eastAsia="zh-CN"/>
          <w14:textFill>
            <w14:solidFill>
              <w14:schemeClr w14:val="tx1"/>
            </w14:solidFill>
          </w14:textFill>
        </w:rPr>
        <w:t>深圳市福田区广电金融</w:t>
      </w:r>
      <w:r>
        <w:rPr>
          <w:rFonts w:hint="eastAsia" w:ascii="宋体" w:hAnsi="宋体" w:eastAsia="宋体" w:cs="宋体"/>
          <w:color w:val="000000" w:themeColor="text1"/>
          <w:szCs w:val="21"/>
          <w:highlight w:val="none"/>
          <w:lang w:val="en-US" w:eastAsia="zh-CN"/>
          <w14:textFill>
            <w14:solidFill>
              <w14:schemeClr w14:val="tx1"/>
            </w14:solidFill>
          </w14:textFill>
        </w:rPr>
        <w:t>48楼</w:t>
      </w:r>
    </w:p>
    <w:p>
      <w:pPr>
        <w:rPr>
          <w:rFonts w:hint="eastAsia" w:ascii="宋体" w:hAnsi="宋体" w:eastAsia="宋体" w:cs="宋体"/>
          <w:b/>
          <w:sz w:val="21"/>
          <w:szCs w:val="21"/>
        </w:rPr>
      </w:pPr>
      <w:r>
        <w:rPr>
          <w:rFonts w:hint="eastAsia" w:ascii="宋体" w:hAnsi="宋体" w:eastAsia="宋体" w:cs="宋体"/>
          <w:b/>
          <w:sz w:val="21"/>
          <w:szCs w:val="21"/>
        </w:rPr>
        <w:br w:type="page"/>
      </w:r>
    </w:p>
    <w:p>
      <w:pPr>
        <w:pStyle w:val="3"/>
        <w:numPr>
          <w:ilvl w:val="0"/>
          <w:numId w:val="1"/>
        </w:numPr>
        <w:spacing w:line="240" w:lineRule="auto"/>
        <w:ind w:firstLine="402"/>
        <w:jc w:val="center"/>
        <w:rPr>
          <w:rFonts w:hint="eastAsia" w:ascii="宋体" w:hAnsi="宋体" w:eastAsia="宋体" w:cs="宋体"/>
          <w:b/>
          <w:sz w:val="21"/>
          <w:szCs w:val="21"/>
        </w:rPr>
      </w:pPr>
      <w:bookmarkStart w:id="19" w:name="_Toc385"/>
      <w:r>
        <w:rPr>
          <w:rFonts w:hint="eastAsia" w:ascii="宋体" w:hAnsi="宋体" w:eastAsia="宋体" w:cs="宋体"/>
          <w:b/>
          <w:sz w:val="21"/>
          <w:szCs w:val="21"/>
        </w:rPr>
        <w:t>竞争性谈判须知</w:t>
      </w:r>
      <w:bookmarkEnd w:id="19"/>
    </w:p>
    <w:p>
      <w:pPr>
        <w:adjustRightInd w:val="0"/>
        <w:snapToGrid w:val="0"/>
        <w:spacing w:line="240" w:lineRule="auto"/>
        <w:ind w:firstLine="435"/>
        <w:rPr>
          <w:rFonts w:hint="eastAsia" w:ascii="宋体" w:hAnsi="宋体" w:eastAsia="宋体" w:cs="宋体"/>
          <w:color w:val="000000"/>
          <w:szCs w:val="21"/>
        </w:rPr>
      </w:pPr>
      <w:r>
        <w:rPr>
          <w:rFonts w:hint="eastAsia" w:ascii="宋体" w:hAnsi="宋体" w:eastAsia="宋体" w:cs="宋体"/>
          <w:color w:val="000000"/>
          <w:szCs w:val="21"/>
        </w:rPr>
        <w:t>供应商必须认真阅读以下内容，以免造成竞争性谈判失败。</w:t>
      </w:r>
    </w:p>
    <w:p>
      <w:pPr>
        <w:pStyle w:val="25"/>
        <w:numPr>
          <w:ilvl w:val="0"/>
          <w:numId w:val="3"/>
        </w:numPr>
        <w:snapToGrid w:val="0"/>
        <w:spacing w:beforeLines="0" w:afterLines="0" w:line="240" w:lineRule="auto"/>
        <w:outlineLvl w:val="1"/>
        <w:rPr>
          <w:rFonts w:hint="eastAsia" w:ascii="宋体" w:hAnsi="宋体" w:eastAsia="宋体" w:cs="宋体"/>
          <w:color w:val="000000" w:themeColor="text1"/>
          <w:sz w:val="21"/>
          <w:szCs w:val="21"/>
          <w14:textFill>
            <w14:solidFill>
              <w14:schemeClr w14:val="tx1"/>
            </w14:solidFill>
          </w14:textFill>
        </w:rPr>
      </w:pPr>
      <w:bookmarkStart w:id="20" w:name="_Toc142370531"/>
      <w:bookmarkStart w:id="21" w:name="_Toc27570"/>
      <w:bookmarkStart w:id="22" w:name="_Toc271798792"/>
      <w:bookmarkStart w:id="23" w:name="_Toc2437"/>
      <w:bookmarkStart w:id="24" w:name="_Toc5759"/>
      <w:bookmarkStart w:id="25" w:name="_Toc32694"/>
      <w:r>
        <w:rPr>
          <w:rFonts w:hint="eastAsia" w:ascii="宋体" w:hAnsi="宋体" w:eastAsia="宋体" w:cs="宋体"/>
          <w:color w:val="000000" w:themeColor="text1"/>
          <w:sz w:val="21"/>
          <w:szCs w:val="21"/>
          <w14:textFill>
            <w14:solidFill>
              <w14:schemeClr w14:val="tx1"/>
            </w14:solidFill>
          </w14:textFill>
        </w:rPr>
        <w:t>关于定标方式</w:t>
      </w:r>
      <w:bookmarkEnd w:id="20"/>
      <w:bookmarkEnd w:id="21"/>
      <w:bookmarkEnd w:id="22"/>
      <w:bookmarkEnd w:id="23"/>
      <w:bookmarkEnd w:id="24"/>
      <w:bookmarkEnd w:id="25"/>
      <w:bookmarkStart w:id="26" w:name="_Toc142370532"/>
      <w:bookmarkStart w:id="27" w:name="_Toc271798793"/>
    </w:p>
    <w:p>
      <w:pPr>
        <w:pStyle w:val="25"/>
        <w:snapToGrid w:val="0"/>
        <w:spacing w:beforeLines="0" w:afterLines="0" w:line="240" w:lineRule="auto"/>
        <w:rPr>
          <w:rFonts w:hint="eastAsia" w:ascii="宋体" w:hAnsi="宋体" w:eastAsia="宋体" w:cs="宋体"/>
          <w:color w:val="FF0000"/>
          <w:sz w:val="21"/>
          <w:szCs w:val="21"/>
        </w:rPr>
      </w:pPr>
      <w:bookmarkStart w:id="28" w:name="_Toc8712"/>
      <w:r>
        <w:rPr>
          <w:rFonts w:hint="eastAsia" w:ascii="宋体" w:hAnsi="宋体" w:eastAsia="宋体" w:cs="宋体"/>
          <w:sz w:val="21"/>
          <w:szCs w:val="21"/>
        </w:rPr>
        <w:t>本项目的评标办法为综合评估法。</w:t>
      </w:r>
      <w:bookmarkEnd w:id="28"/>
    </w:p>
    <w:p>
      <w:pPr>
        <w:pStyle w:val="25"/>
        <w:numPr>
          <w:ilvl w:val="0"/>
          <w:numId w:val="3"/>
        </w:numPr>
        <w:snapToGrid w:val="0"/>
        <w:spacing w:beforeLines="0" w:afterLines="0" w:line="240" w:lineRule="auto"/>
        <w:outlineLvl w:val="1"/>
        <w:rPr>
          <w:rFonts w:hint="eastAsia" w:ascii="宋体" w:hAnsi="宋体" w:eastAsia="宋体" w:cs="宋体"/>
          <w:color w:val="000000" w:themeColor="text1"/>
          <w:sz w:val="21"/>
          <w:szCs w:val="21"/>
          <w14:textFill>
            <w14:solidFill>
              <w14:schemeClr w14:val="tx1"/>
            </w14:solidFill>
          </w14:textFill>
        </w:rPr>
      </w:pPr>
      <w:bookmarkStart w:id="29" w:name="_Toc12016"/>
      <w:bookmarkStart w:id="30" w:name="_Toc10114"/>
      <w:bookmarkStart w:id="31" w:name="_Toc8580"/>
      <w:bookmarkStart w:id="32" w:name="_Toc21299"/>
      <w:r>
        <w:rPr>
          <w:rFonts w:hint="eastAsia" w:ascii="宋体" w:hAnsi="宋体" w:eastAsia="宋体" w:cs="宋体"/>
          <w:color w:val="000000" w:themeColor="text1"/>
          <w:sz w:val="21"/>
          <w:szCs w:val="21"/>
          <w14:textFill>
            <w14:solidFill>
              <w14:schemeClr w14:val="tx1"/>
            </w14:solidFill>
          </w14:textFill>
        </w:rPr>
        <w:t>关于谈判文件</w:t>
      </w:r>
      <w:bookmarkEnd w:id="26"/>
      <w:bookmarkEnd w:id="27"/>
      <w:bookmarkEnd w:id="29"/>
      <w:bookmarkEnd w:id="30"/>
      <w:bookmarkEnd w:id="31"/>
      <w:bookmarkEnd w:id="32"/>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2.1 本谈判文件仅适用于本次谈判公告中所叙述的项目。</w:t>
      </w:r>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 xml:space="preserve">2.2 </w:t>
      </w:r>
      <w:r>
        <w:rPr>
          <w:rFonts w:hint="eastAsia" w:ascii="宋体" w:hAnsi="宋体" w:eastAsia="宋体" w:cs="宋体"/>
          <w:b/>
          <w:bCs/>
          <w:color w:val="000000"/>
          <w:szCs w:val="21"/>
        </w:rPr>
        <w:t>本谈判文件要求中，凡标有“★”的地方均被视为重要的技术指标要求或性能要求。谈判供应商要特别加以注意，必须对此回答并完全满足这些要求。否则若有一项“★”的指标未响应或不满足，将按投标无效处理，即废标。</w:t>
      </w:r>
    </w:p>
    <w:p>
      <w:pPr>
        <w:adjustRightInd w:val="0"/>
        <w:snapToGrid w:val="0"/>
        <w:spacing w:line="240" w:lineRule="auto"/>
        <w:rPr>
          <w:rFonts w:hint="eastAsia" w:ascii="宋体" w:hAnsi="宋体" w:eastAsia="宋体" w:cs="宋体"/>
          <w:b/>
          <w:color w:val="000000"/>
          <w:szCs w:val="21"/>
        </w:rPr>
      </w:pPr>
      <w:bookmarkStart w:id="33" w:name="_Toc142370533"/>
      <w:r>
        <w:rPr>
          <w:rFonts w:hint="eastAsia" w:ascii="宋体" w:hAnsi="宋体" w:eastAsia="宋体" w:cs="宋体"/>
          <w:b/>
          <w:color w:val="000000"/>
          <w:szCs w:val="21"/>
        </w:rPr>
        <w:t xml:space="preserve">2.3 </w:t>
      </w:r>
      <w:r>
        <w:rPr>
          <w:rFonts w:hint="eastAsia" w:ascii="宋体" w:hAnsi="宋体" w:eastAsia="宋体" w:cs="宋体"/>
          <w:b/>
          <w:bCs/>
          <w:color w:val="000000"/>
          <w:szCs w:val="21"/>
        </w:rPr>
        <w:t>谈判文件</w:t>
      </w:r>
      <w:r>
        <w:rPr>
          <w:rFonts w:hint="eastAsia" w:ascii="宋体" w:hAnsi="宋体" w:eastAsia="宋体" w:cs="宋体"/>
          <w:b/>
          <w:color w:val="000000"/>
          <w:szCs w:val="21"/>
        </w:rPr>
        <w:t>的修改</w:t>
      </w:r>
    </w:p>
    <w:p>
      <w:pPr>
        <w:adjustRightInd w:val="0"/>
        <w:snapToGrid w:val="0"/>
        <w:spacing w:line="240" w:lineRule="auto"/>
        <w:ind w:firstLine="418" w:firstLineChars="200"/>
        <w:rPr>
          <w:rFonts w:hint="eastAsia" w:ascii="宋体" w:hAnsi="宋体" w:eastAsia="宋体" w:cs="宋体"/>
          <w:color w:val="000000"/>
          <w:spacing w:val="-2"/>
          <w:szCs w:val="21"/>
        </w:rPr>
      </w:pPr>
      <w:r>
        <w:rPr>
          <w:rFonts w:hint="eastAsia" w:ascii="宋体" w:hAnsi="宋体" w:eastAsia="宋体" w:cs="宋体"/>
          <w:color w:val="000000"/>
          <w:spacing w:val="-2"/>
          <w:szCs w:val="21"/>
        </w:rPr>
        <w:t>2.3.1采购人对已发出的</w:t>
      </w:r>
      <w:r>
        <w:rPr>
          <w:rFonts w:hint="eastAsia" w:ascii="宋体" w:hAnsi="宋体" w:eastAsia="宋体" w:cs="宋体"/>
          <w:color w:val="000000"/>
          <w:szCs w:val="21"/>
        </w:rPr>
        <w:t>谈判文件</w:t>
      </w:r>
      <w:r>
        <w:rPr>
          <w:rFonts w:hint="eastAsia" w:ascii="宋体" w:hAnsi="宋体" w:eastAsia="宋体" w:cs="宋体"/>
          <w:color w:val="000000"/>
          <w:spacing w:val="-2"/>
          <w:szCs w:val="21"/>
        </w:rPr>
        <w:t>进行必要的澄清或者修改的，该澄清或者修改的内容为竞争性谈判文件的组成部分。</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2.3.2 谈判文件的修改将以电话或邮件（补充更正或重要通知）形式通知所有已得到谈判文件的谈判供应商，并对其具有约束力。谈判供应商在知悉更改内容后，应立即向采购人回函确认。</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2.3.3为使谈判供应商在准备谈判响应文件时有合理的时间考虑谈判文件的修改，采购人可酌情推迟投标截止日期的开标时间，并以电话或邮件的形式通知已得到谈判文件的每一谈判供应商。</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2.3.4 谈判文件的澄清（修改）将构成谈判文件的一部分，对谈判供应商有约束力。</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2.3.6 如谈判供应商认为本谈判文件中存在不合理的条件对谈判供应商构成差别待遇或者歧视待遇，或对其它条款有异议的，均请谈判公告规定的时间内采购人提出；逾期未提出的，视为无异议，对此后因谈判文件的异议提出的投诉亦不予受理。</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2.3.7谈判供应商</w:t>
      </w:r>
      <w:r>
        <w:rPr>
          <w:rFonts w:hint="eastAsia" w:ascii="宋体" w:hAnsi="宋体" w:eastAsia="宋体" w:cs="宋体"/>
          <w:color w:val="000000"/>
          <w:szCs w:val="21"/>
          <w:lang w:val="zh-CN"/>
        </w:rPr>
        <w:t>得到了谈判文件后不参加竞争性谈判的，</w:t>
      </w:r>
      <w:r>
        <w:rPr>
          <w:rFonts w:hint="eastAsia" w:ascii="宋体" w:hAnsi="宋体" w:eastAsia="宋体" w:cs="宋体"/>
          <w:b/>
          <w:color w:val="000000"/>
          <w:szCs w:val="21"/>
          <w:lang w:val="zh-CN"/>
        </w:rPr>
        <w:t>请在谈判前3日以书面形式通知采购人</w:t>
      </w:r>
      <w:r>
        <w:rPr>
          <w:rFonts w:hint="eastAsia" w:ascii="宋体" w:hAnsi="宋体" w:eastAsia="宋体" w:cs="宋体"/>
          <w:b/>
          <w:color w:val="000000"/>
          <w:spacing w:val="-2"/>
          <w:szCs w:val="21"/>
        </w:rPr>
        <w:t>（谈判当日不计算在内）</w:t>
      </w:r>
      <w:r>
        <w:rPr>
          <w:rFonts w:hint="eastAsia" w:ascii="宋体" w:hAnsi="宋体" w:eastAsia="宋体" w:cs="宋体"/>
          <w:color w:val="000000"/>
          <w:szCs w:val="21"/>
          <w:lang w:val="zh-CN"/>
        </w:rPr>
        <w:t>。</w:t>
      </w:r>
    </w:p>
    <w:p>
      <w:pPr>
        <w:pStyle w:val="25"/>
        <w:numPr>
          <w:ilvl w:val="0"/>
          <w:numId w:val="3"/>
        </w:numPr>
        <w:snapToGrid w:val="0"/>
        <w:spacing w:beforeLines="0" w:afterLines="0" w:line="240" w:lineRule="auto"/>
        <w:outlineLvl w:val="1"/>
        <w:rPr>
          <w:rFonts w:hint="eastAsia" w:ascii="宋体" w:hAnsi="宋体" w:eastAsia="宋体" w:cs="宋体"/>
          <w:color w:val="000000" w:themeColor="text1"/>
          <w:sz w:val="21"/>
          <w:szCs w:val="21"/>
          <w14:textFill>
            <w14:solidFill>
              <w14:schemeClr w14:val="tx1"/>
            </w14:solidFill>
          </w14:textFill>
        </w:rPr>
      </w:pPr>
      <w:bookmarkStart w:id="34" w:name="_Toc271798794"/>
      <w:bookmarkStart w:id="35" w:name="_Toc17213"/>
      <w:bookmarkStart w:id="36" w:name="_Toc28134"/>
      <w:bookmarkStart w:id="37" w:name="_Toc30925"/>
      <w:bookmarkStart w:id="38" w:name="_Toc27257"/>
      <w:r>
        <w:rPr>
          <w:rFonts w:hint="eastAsia" w:ascii="宋体" w:hAnsi="宋体" w:eastAsia="宋体" w:cs="宋体"/>
          <w:color w:val="000000" w:themeColor="text1"/>
          <w:sz w:val="21"/>
          <w:szCs w:val="21"/>
          <w14:textFill>
            <w14:solidFill>
              <w14:schemeClr w14:val="tx1"/>
            </w14:solidFill>
          </w14:textFill>
        </w:rPr>
        <w:t>关于谈判供应商</w:t>
      </w:r>
      <w:bookmarkEnd w:id="33"/>
      <w:bookmarkEnd w:id="34"/>
      <w:bookmarkEnd w:id="35"/>
      <w:bookmarkEnd w:id="36"/>
      <w:bookmarkEnd w:id="37"/>
      <w:bookmarkEnd w:id="38"/>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w:t>
      </w:r>
      <w:r>
        <w:rPr>
          <w:rFonts w:hint="eastAsia" w:ascii="宋体" w:hAnsi="宋体" w:eastAsia="宋体" w:cs="宋体"/>
          <w:b/>
          <w:color w:val="000000"/>
          <w:szCs w:val="21"/>
        </w:rPr>
        <w:t>3.1谈判供应商须提供资质证明文件：</w:t>
      </w:r>
      <w:r>
        <w:rPr>
          <w:rFonts w:hint="eastAsia" w:ascii="宋体" w:hAnsi="宋体" w:eastAsia="宋体" w:cs="宋体"/>
          <w:color w:val="000000"/>
          <w:szCs w:val="21"/>
        </w:rPr>
        <w:t xml:space="preserve">见《竞争性谈判文件》附件。 </w:t>
      </w:r>
    </w:p>
    <w:p>
      <w:pPr>
        <w:adjustRightInd w:val="0"/>
        <w:snapToGrid w:val="0"/>
        <w:spacing w:line="240" w:lineRule="auto"/>
        <w:rPr>
          <w:rFonts w:hint="eastAsia" w:ascii="宋体" w:hAnsi="宋体" w:eastAsia="宋体" w:cs="宋体"/>
          <w:bCs/>
          <w:color w:val="000000"/>
          <w:szCs w:val="21"/>
        </w:rPr>
      </w:pPr>
      <w:bookmarkStart w:id="39" w:name="OLE_LINK1"/>
      <w:r>
        <w:rPr>
          <w:rFonts w:hint="eastAsia" w:ascii="宋体" w:hAnsi="宋体" w:eastAsia="宋体" w:cs="宋体"/>
          <w:b/>
          <w:color w:val="000000"/>
          <w:szCs w:val="21"/>
        </w:rPr>
        <w:t>3.2</w:t>
      </w:r>
      <w:r>
        <w:rPr>
          <w:rFonts w:hint="eastAsia" w:ascii="宋体" w:hAnsi="宋体" w:eastAsia="宋体" w:cs="宋体"/>
          <w:bCs/>
          <w:color w:val="000000"/>
          <w:szCs w:val="21"/>
        </w:rPr>
        <w:t>参加谈判会议的</w:t>
      </w:r>
      <w:r>
        <w:rPr>
          <w:rFonts w:hint="eastAsia" w:ascii="宋体" w:hAnsi="宋体" w:eastAsia="宋体" w:cs="宋体"/>
          <w:color w:val="000000"/>
          <w:szCs w:val="21"/>
        </w:rPr>
        <w:t>谈判供应商</w:t>
      </w:r>
      <w:r>
        <w:rPr>
          <w:rFonts w:hint="eastAsia" w:ascii="宋体" w:hAnsi="宋体" w:eastAsia="宋体" w:cs="宋体"/>
          <w:bCs/>
          <w:color w:val="000000"/>
          <w:szCs w:val="21"/>
        </w:rPr>
        <w:t>的法定代表人或其委托代理人应随身携带法人代表授权委托书及法定代表人证明书及有效身份证明，以证明其身份。</w:t>
      </w:r>
      <w:r>
        <w:rPr>
          <w:rFonts w:hint="eastAsia" w:ascii="宋体" w:hAnsi="宋体" w:eastAsia="宋体" w:cs="宋体"/>
          <w:color w:val="000000"/>
          <w:szCs w:val="21"/>
        </w:rPr>
        <w:t>在评标过程中随时接受评委就谈判响应文件内容提出的质询，并予以解答。</w:t>
      </w:r>
    </w:p>
    <w:bookmarkEnd w:id="39"/>
    <w:p>
      <w:pPr>
        <w:adjustRightInd w:val="0"/>
        <w:snapToGrid w:val="0"/>
        <w:spacing w:line="240" w:lineRule="auto"/>
        <w:rPr>
          <w:rFonts w:hint="eastAsia" w:ascii="宋体" w:hAnsi="宋体" w:eastAsia="宋体" w:cs="宋体"/>
          <w:b/>
          <w:bCs w:val="0"/>
          <w:color w:val="000000"/>
          <w:szCs w:val="21"/>
        </w:rPr>
      </w:pPr>
      <w:r>
        <w:rPr>
          <w:rFonts w:hint="eastAsia" w:ascii="宋体" w:hAnsi="宋体" w:eastAsia="宋体" w:cs="宋体"/>
          <w:b/>
          <w:color w:val="000000"/>
          <w:szCs w:val="21"/>
        </w:rPr>
        <w:t>3.3 关于联合体竞争性谈判</w:t>
      </w:r>
      <w:r>
        <w:rPr>
          <w:rFonts w:hint="eastAsia" w:ascii="宋体" w:hAnsi="宋体" w:eastAsia="宋体" w:cs="宋体"/>
          <w:b/>
          <w:bCs w:val="0"/>
          <w:color w:val="000000"/>
          <w:szCs w:val="21"/>
        </w:rPr>
        <w:t>（本项目不允许）</w:t>
      </w:r>
    </w:p>
    <w:p>
      <w:pPr>
        <w:pStyle w:val="25"/>
        <w:numPr>
          <w:ilvl w:val="0"/>
          <w:numId w:val="3"/>
        </w:numPr>
        <w:snapToGrid w:val="0"/>
        <w:spacing w:beforeLines="0" w:afterLines="0" w:line="240" w:lineRule="auto"/>
        <w:outlineLvl w:val="1"/>
        <w:rPr>
          <w:rFonts w:hint="eastAsia" w:ascii="宋体" w:hAnsi="宋体" w:eastAsia="宋体" w:cs="宋体"/>
          <w:color w:val="000000" w:themeColor="text1"/>
          <w:sz w:val="21"/>
          <w:szCs w:val="21"/>
          <w14:textFill>
            <w14:solidFill>
              <w14:schemeClr w14:val="tx1"/>
            </w14:solidFill>
          </w14:textFill>
        </w:rPr>
      </w:pPr>
      <w:bookmarkStart w:id="40" w:name="_Toc271798795"/>
      <w:bookmarkStart w:id="41" w:name="_Toc142370534"/>
      <w:bookmarkStart w:id="42" w:name="_Toc14885"/>
      <w:bookmarkStart w:id="43" w:name="_Toc7529"/>
      <w:bookmarkStart w:id="44" w:name="_Toc32471"/>
      <w:bookmarkStart w:id="45" w:name="_Toc2754"/>
      <w:bookmarkStart w:id="46" w:name="OLE_LINK2"/>
      <w:r>
        <w:rPr>
          <w:rFonts w:hint="eastAsia" w:ascii="宋体" w:hAnsi="宋体" w:eastAsia="宋体" w:cs="宋体"/>
          <w:color w:val="000000" w:themeColor="text1"/>
          <w:sz w:val="21"/>
          <w:szCs w:val="21"/>
          <w14:textFill>
            <w14:solidFill>
              <w14:schemeClr w14:val="tx1"/>
            </w14:solidFill>
          </w14:textFill>
        </w:rPr>
        <w:t>关于谈判响应文件</w:t>
      </w:r>
      <w:bookmarkEnd w:id="40"/>
      <w:bookmarkEnd w:id="41"/>
      <w:bookmarkEnd w:id="42"/>
      <w:bookmarkEnd w:id="43"/>
      <w:bookmarkEnd w:id="44"/>
      <w:bookmarkEnd w:id="45"/>
    </w:p>
    <w:bookmarkEnd w:id="46"/>
    <w:p>
      <w:pPr>
        <w:adjustRightInd w:val="0"/>
        <w:snapToGrid w:val="0"/>
        <w:spacing w:line="240" w:lineRule="auto"/>
        <w:rPr>
          <w:rFonts w:hint="eastAsia" w:ascii="宋体" w:hAnsi="宋体" w:eastAsia="宋体" w:cs="宋体"/>
          <w:b/>
          <w:color w:val="000000"/>
          <w:szCs w:val="21"/>
        </w:rPr>
      </w:pPr>
      <w:r>
        <w:rPr>
          <w:rFonts w:hint="eastAsia" w:ascii="宋体" w:hAnsi="宋体" w:eastAsia="宋体" w:cs="宋体"/>
          <w:color w:val="000000"/>
          <w:szCs w:val="21"/>
        </w:rPr>
        <w:t>★</w:t>
      </w:r>
      <w:r>
        <w:rPr>
          <w:rFonts w:hint="eastAsia" w:ascii="宋体" w:hAnsi="宋体" w:eastAsia="宋体" w:cs="宋体"/>
          <w:b/>
          <w:color w:val="000000"/>
          <w:szCs w:val="21"/>
        </w:rPr>
        <w:t>4.1谈判响应文件的组成和格式</w:t>
      </w:r>
    </w:p>
    <w:p>
      <w:pPr>
        <w:adjustRightInd w:val="0"/>
        <w:snapToGrid w:val="0"/>
        <w:spacing w:line="240" w:lineRule="auto"/>
        <w:ind w:firstLine="426" w:firstLineChars="200"/>
        <w:rPr>
          <w:rFonts w:hint="eastAsia" w:ascii="宋体" w:hAnsi="宋体" w:eastAsia="宋体" w:cs="宋体"/>
          <w:b w:val="0"/>
          <w:bCs w:val="0"/>
          <w:color w:val="auto"/>
          <w:szCs w:val="21"/>
          <w:lang w:eastAsia="zh-CN"/>
        </w:rPr>
      </w:pPr>
      <w:r>
        <w:rPr>
          <w:rFonts w:hint="eastAsia" w:ascii="宋体" w:hAnsi="宋体" w:eastAsia="宋体" w:cs="宋体"/>
          <w:b w:val="0"/>
          <w:bCs w:val="0"/>
          <w:color w:val="000000"/>
          <w:szCs w:val="21"/>
        </w:rPr>
        <w:t>4.1.1谈判响应文件</w:t>
      </w:r>
      <w:r>
        <w:rPr>
          <w:rFonts w:hint="eastAsia" w:ascii="宋体" w:hAnsi="宋体" w:eastAsia="宋体" w:cs="宋体"/>
          <w:b w:val="0"/>
          <w:bCs w:val="0"/>
          <w:color w:val="auto"/>
          <w:szCs w:val="21"/>
          <w:lang w:eastAsia="zh-CN"/>
        </w:rPr>
        <w:t>详</w:t>
      </w:r>
      <w:r>
        <w:rPr>
          <w:rFonts w:hint="eastAsia" w:ascii="宋体" w:hAnsi="宋体" w:eastAsia="宋体" w:cs="宋体"/>
          <w:b w:val="0"/>
          <w:bCs w:val="0"/>
          <w:color w:val="auto"/>
          <w:szCs w:val="21"/>
        </w:rPr>
        <w:t>见附件</w:t>
      </w:r>
      <w:r>
        <w:rPr>
          <w:rFonts w:hint="eastAsia" w:ascii="宋体" w:hAnsi="宋体" w:eastAsia="宋体" w:cs="宋体"/>
          <w:b w:val="0"/>
          <w:bCs w:val="0"/>
          <w:color w:val="auto"/>
          <w:szCs w:val="21"/>
          <w:lang w:eastAsia="zh-CN"/>
        </w:rPr>
        <w:t>。</w:t>
      </w:r>
    </w:p>
    <w:p>
      <w:pPr>
        <w:adjustRightInd w:val="0"/>
        <w:snapToGrid w:val="0"/>
        <w:spacing w:line="240" w:lineRule="auto"/>
        <w:rPr>
          <w:rFonts w:hint="eastAsia" w:ascii="宋体" w:hAnsi="宋体" w:eastAsia="宋体" w:cs="宋体"/>
          <w:color w:val="000000"/>
          <w:szCs w:val="21"/>
        </w:rPr>
      </w:pPr>
      <w:bookmarkStart w:id="47" w:name="OLE_LINK3"/>
      <w:r>
        <w:rPr>
          <w:rFonts w:hint="eastAsia" w:ascii="宋体" w:hAnsi="宋体" w:eastAsia="宋体" w:cs="宋体"/>
          <w:color w:val="000000"/>
          <w:szCs w:val="21"/>
        </w:rPr>
        <w:t>4.1.2 谈判供应商必须保证所提供的全部资料的真实性、有效性、合法性。</w:t>
      </w:r>
      <w:bookmarkEnd w:id="47"/>
    </w:p>
    <w:p>
      <w:pPr>
        <w:adjustRightInd w:val="0"/>
        <w:snapToGrid w:val="0"/>
        <w:spacing w:line="240" w:lineRule="auto"/>
        <w:rPr>
          <w:rFonts w:hint="eastAsia" w:ascii="宋体" w:hAnsi="宋体" w:eastAsia="宋体" w:cs="宋体"/>
          <w:b/>
          <w:color w:val="000000"/>
          <w:szCs w:val="21"/>
        </w:rPr>
      </w:pPr>
      <w:r>
        <w:rPr>
          <w:rFonts w:hint="eastAsia" w:ascii="宋体" w:hAnsi="宋体" w:eastAsia="宋体" w:cs="宋体"/>
          <w:b/>
          <w:color w:val="000000"/>
          <w:szCs w:val="21"/>
        </w:rPr>
        <w:t>4.2 谈判响应文件的编写</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4.2.1谈判供应商必须对本竞争性谈判文件的每一项要求给予实质性、唯一的响应。否则其投标将被拒绝。</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4.2.2 谈判响应文件和来往函件用中文书写，除非“技术规格”中另有规定。计量单位应使用国际单位。</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4.2.3 谈判供应商应以人民币报价。</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4.2.4 提交的谈判响应文件、技术文件和资料,应提交中文本, 谈判供应商如提交英文本时应附中文详译本, 并以中文本为准。</w:t>
      </w:r>
    </w:p>
    <w:p>
      <w:pPr>
        <w:adjustRightInd w:val="0"/>
        <w:snapToGrid w:val="0"/>
        <w:spacing w:line="240" w:lineRule="auto"/>
        <w:outlineLvl w:val="0"/>
        <w:rPr>
          <w:rFonts w:hint="eastAsia" w:ascii="宋体" w:hAnsi="宋体" w:eastAsia="宋体" w:cs="宋体"/>
          <w:b/>
          <w:color w:val="000000"/>
          <w:szCs w:val="21"/>
        </w:rPr>
      </w:pPr>
      <w:bookmarkStart w:id="48" w:name="_Toc271798798"/>
      <w:bookmarkStart w:id="49" w:name="_Toc7036"/>
      <w:bookmarkStart w:id="50" w:name="_Toc243201839"/>
      <w:bookmarkStart w:id="51" w:name="_Toc243212905"/>
      <w:bookmarkStart w:id="52" w:name="_Toc17511"/>
      <w:bookmarkStart w:id="53" w:name="_Toc142881997"/>
      <w:bookmarkStart w:id="54" w:name="_Toc4209"/>
      <w:bookmarkStart w:id="55" w:name="_Toc188959589"/>
      <w:bookmarkStart w:id="56" w:name="_Toc271608971"/>
      <w:bookmarkStart w:id="57" w:name="_Toc10808"/>
      <w:bookmarkStart w:id="58" w:name="_Toc1093"/>
      <w:r>
        <w:rPr>
          <w:rFonts w:hint="eastAsia" w:ascii="宋体" w:hAnsi="宋体" w:eastAsia="宋体" w:cs="宋体"/>
          <w:b/>
          <w:color w:val="000000"/>
          <w:szCs w:val="21"/>
        </w:rPr>
        <w:t>4.3 谈判响应文件的签署和印刷规定</w:t>
      </w:r>
      <w:bookmarkEnd w:id="48"/>
      <w:bookmarkEnd w:id="49"/>
      <w:bookmarkEnd w:id="50"/>
      <w:bookmarkEnd w:id="51"/>
      <w:bookmarkEnd w:id="52"/>
      <w:bookmarkEnd w:id="53"/>
      <w:bookmarkEnd w:id="54"/>
      <w:bookmarkEnd w:id="55"/>
      <w:bookmarkEnd w:id="56"/>
      <w:bookmarkEnd w:id="57"/>
      <w:bookmarkEnd w:id="58"/>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4.3.1谈判响应文件须打印并由谈判供应商法定代表人或其委托代理人（具有法定代表人签署的授权书）在正本封面上签字、加盖公章。谈判响应文件须加盖骑缝章。</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4.3.2谈判响应文件除签字外必须是印刷形式，其中不许有加行、涂抹或改写。若有修改须由签署谈判响应文件的授权人在修改处旁签字。副本可采用正本的复印件。</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4.3.3电报、电话、传真形式的竞争性谈判概不接受。</w:t>
      </w:r>
    </w:p>
    <w:p>
      <w:pPr>
        <w:adjustRightInd w:val="0"/>
        <w:snapToGrid w:val="0"/>
        <w:spacing w:line="240" w:lineRule="auto"/>
        <w:outlineLvl w:val="0"/>
        <w:rPr>
          <w:rFonts w:hint="eastAsia" w:ascii="宋体" w:hAnsi="宋体" w:eastAsia="宋体" w:cs="宋体"/>
          <w:b/>
          <w:color w:val="000000"/>
          <w:szCs w:val="21"/>
        </w:rPr>
      </w:pPr>
      <w:bookmarkStart w:id="59" w:name="_Toc6438"/>
      <w:bookmarkStart w:id="60" w:name="_Toc243201840"/>
      <w:bookmarkStart w:id="61" w:name="_Toc32109"/>
      <w:bookmarkStart w:id="62" w:name="_Toc188959590"/>
      <w:bookmarkStart w:id="63" w:name="_Toc22359"/>
      <w:bookmarkStart w:id="64" w:name="_Toc243212906"/>
      <w:bookmarkStart w:id="65" w:name="_Toc271608972"/>
      <w:bookmarkStart w:id="66" w:name="_Toc142881998"/>
      <w:bookmarkStart w:id="67" w:name="_Toc271798799"/>
      <w:bookmarkStart w:id="68" w:name="_Toc3087"/>
      <w:bookmarkStart w:id="69" w:name="_Toc8853"/>
      <w:r>
        <w:rPr>
          <w:rFonts w:hint="eastAsia" w:ascii="宋体" w:hAnsi="宋体" w:eastAsia="宋体" w:cs="宋体"/>
          <w:b/>
          <w:color w:val="000000"/>
          <w:szCs w:val="21"/>
        </w:rPr>
        <w:t>★4.4 谈判响应文件的装订、密封和标记</w:t>
      </w:r>
      <w:bookmarkEnd w:id="59"/>
      <w:bookmarkEnd w:id="60"/>
      <w:bookmarkEnd w:id="61"/>
      <w:bookmarkEnd w:id="62"/>
      <w:bookmarkEnd w:id="63"/>
      <w:bookmarkEnd w:id="64"/>
      <w:bookmarkEnd w:id="65"/>
      <w:bookmarkEnd w:id="66"/>
      <w:bookmarkEnd w:id="67"/>
      <w:bookmarkEnd w:id="68"/>
      <w:bookmarkEnd w:id="69"/>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4.4.1谈判供应商应准备谈判响应文件</w:t>
      </w:r>
      <w:r>
        <w:rPr>
          <w:rFonts w:hint="eastAsia" w:ascii="宋体" w:hAnsi="宋体" w:eastAsia="宋体" w:cs="宋体"/>
          <w:b/>
          <w:color w:val="000000"/>
          <w:szCs w:val="21"/>
          <w:u w:val="single"/>
        </w:rPr>
        <w:t>正本一份</w:t>
      </w:r>
      <w:r>
        <w:rPr>
          <w:rFonts w:hint="eastAsia" w:ascii="宋体" w:hAnsi="宋体" w:eastAsia="宋体" w:cs="宋体"/>
          <w:color w:val="000000"/>
          <w:szCs w:val="21"/>
          <w:u w:val="single"/>
        </w:rPr>
        <w:t>，</w:t>
      </w:r>
      <w:r>
        <w:rPr>
          <w:rFonts w:hint="eastAsia" w:ascii="宋体" w:hAnsi="宋体" w:eastAsia="宋体" w:cs="宋体"/>
          <w:b/>
          <w:color w:val="000000"/>
          <w:szCs w:val="21"/>
          <w:u w:val="single"/>
        </w:rPr>
        <w:t>副本五份</w:t>
      </w:r>
      <w:r>
        <w:rPr>
          <w:rFonts w:hint="eastAsia" w:ascii="宋体" w:hAnsi="宋体" w:eastAsia="宋体" w:cs="宋体"/>
          <w:color w:val="000000"/>
          <w:szCs w:val="21"/>
        </w:rPr>
        <w:t>，在每一份谈判响应文件封面上要明确注明采购编号、项目名称、谈判供应商名称、“正本”或“副本”字样。一旦正本和副本内容有差异，以正本为准；</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4.4.2谈判供应商应将谈判响应文件“正本”和“副本”中的文件应按顺序分别编制。</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4.4.3正本封装于一个包装内，所有副本一齐封装于另一包装内，所有包装的封面须注明“正本”或“副本”，包装的封口密封处加盖公章，并注明“于</w:t>
      </w:r>
      <w:r>
        <w:rPr>
          <w:rFonts w:hint="eastAsia" w:ascii="宋体" w:hAnsi="宋体" w:eastAsia="宋体" w:cs="宋体"/>
          <w:color w:val="000000"/>
          <w:szCs w:val="21"/>
          <w:u w:val="single"/>
        </w:rPr>
        <w:t>X</w:t>
      </w:r>
      <w:r>
        <w:rPr>
          <w:rFonts w:hint="eastAsia" w:ascii="宋体" w:hAnsi="宋体" w:eastAsia="宋体" w:cs="宋体"/>
          <w:color w:val="000000"/>
          <w:szCs w:val="21"/>
        </w:rPr>
        <w:t>年</w:t>
      </w:r>
      <w:r>
        <w:rPr>
          <w:rFonts w:hint="eastAsia" w:ascii="宋体" w:hAnsi="宋体" w:eastAsia="宋体" w:cs="宋体"/>
          <w:color w:val="000000"/>
          <w:szCs w:val="21"/>
          <w:u w:val="single"/>
        </w:rPr>
        <w:t>X</w:t>
      </w:r>
      <w:r>
        <w:rPr>
          <w:rFonts w:hint="eastAsia" w:ascii="宋体" w:hAnsi="宋体" w:eastAsia="宋体" w:cs="宋体"/>
          <w:color w:val="000000"/>
          <w:szCs w:val="21"/>
        </w:rPr>
        <w:t>月</w:t>
      </w:r>
      <w:r>
        <w:rPr>
          <w:rFonts w:hint="eastAsia" w:ascii="宋体" w:hAnsi="宋体" w:eastAsia="宋体" w:cs="宋体"/>
          <w:color w:val="000000"/>
          <w:szCs w:val="21"/>
          <w:u w:val="single"/>
        </w:rPr>
        <w:t>X</w:t>
      </w:r>
      <w:r>
        <w:rPr>
          <w:rFonts w:hint="eastAsia" w:ascii="宋体" w:hAnsi="宋体" w:eastAsia="宋体" w:cs="宋体"/>
          <w:color w:val="000000"/>
          <w:szCs w:val="21"/>
        </w:rPr>
        <w:t>日开标之前不得启封”的字样，并在包装面作具体标识：采购编号、项目名称、谈判时间、谈判地点、采购人名称、谈判供应商名称。</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4.4.4为方便谈判，谈判供应商应将谈判响应文件中的“</w:t>
      </w:r>
      <w:r>
        <w:rPr>
          <w:rFonts w:hint="eastAsia" w:ascii="宋体" w:hAnsi="宋体" w:eastAsia="宋体" w:cs="宋体"/>
          <w:b/>
          <w:color w:val="000000"/>
          <w:szCs w:val="21"/>
        </w:rPr>
        <w:t>开标一览表”另外单独密封于一个</w:t>
      </w:r>
      <w:bookmarkStart w:id="70" w:name="OLE_LINK7"/>
      <w:r>
        <w:rPr>
          <w:rFonts w:hint="eastAsia" w:ascii="宋体" w:hAnsi="宋体" w:eastAsia="宋体" w:cs="宋体"/>
          <w:b/>
          <w:color w:val="000000"/>
          <w:szCs w:val="21"/>
        </w:rPr>
        <w:t>包装袋</w:t>
      </w:r>
      <w:bookmarkEnd w:id="70"/>
      <w:r>
        <w:rPr>
          <w:rFonts w:hint="eastAsia" w:ascii="宋体" w:hAnsi="宋体" w:eastAsia="宋体" w:cs="宋体"/>
          <w:b/>
          <w:color w:val="000000"/>
          <w:szCs w:val="21"/>
        </w:rPr>
        <w:t>内（此包装袋单独递交）</w:t>
      </w:r>
      <w:r>
        <w:rPr>
          <w:rFonts w:hint="eastAsia" w:ascii="宋体" w:hAnsi="宋体" w:eastAsia="宋体" w:cs="宋体"/>
          <w:color w:val="000000"/>
          <w:szCs w:val="21"/>
        </w:rPr>
        <w:t>。在封口密封处加盖公章，并注明“于</w:t>
      </w:r>
      <w:r>
        <w:rPr>
          <w:rFonts w:hint="eastAsia" w:ascii="宋体" w:hAnsi="宋体" w:eastAsia="宋体" w:cs="宋体"/>
          <w:color w:val="000000"/>
          <w:szCs w:val="21"/>
          <w:u w:val="single"/>
        </w:rPr>
        <w:t>X</w:t>
      </w:r>
      <w:r>
        <w:rPr>
          <w:rFonts w:hint="eastAsia" w:ascii="宋体" w:hAnsi="宋体" w:eastAsia="宋体" w:cs="宋体"/>
          <w:color w:val="000000"/>
          <w:szCs w:val="21"/>
        </w:rPr>
        <w:t>年</w:t>
      </w:r>
      <w:r>
        <w:rPr>
          <w:rFonts w:hint="eastAsia" w:ascii="宋体" w:hAnsi="宋体" w:eastAsia="宋体" w:cs="宋体"/>
          <w:color w:val="000000"/>
          <w:szCs w:val="21"/>
          <w:u w:val="single"/>
        </w:rPr>
        <w:t>X</w:t>
      </w:r>
      <w:r>
        <w:rPr>
          <w:rFonts w:hint="eastAsia" w:ascii="宋体" w:hAnsi="宋体" w:eastAsia="宋体" w:cs="宋体"/>
          <w:color w:val="000000"/>
          <w:szCs w:val="21"/>
        </w:rPr>
        <w:t>月</w:t>
      </w:r>
      <w:r>
        <w:rPr>
          <w:rFonts w:hint="eastAsia" w:ascii="宋体" w:hAnsi="宋体" w:eastAsia="宋体" w:cs="宋体"/>
          <w:color w:val="000000"/>
          <w:szCs w:val="21"/>
          <w:u w:val="single"/>
        </w:rPr>
        <w:t>XX</w:t>
      </w:r>
      <w:r>
        <w:rPr>
          <w:rFonts w:hint="eastAsia" w:ascii="宋体" w:hAnsi="宋体" w:eastAsia="宋体" w:cs="宋体"/>
          <w:color w:val="000000"/>
          <w:szCs w:val="21"/>
        </w:rPr>
        <w:t>日开标之前不得启封”的字样，在该信封上标明“开标一览表”字样，并作具体标识：采购编号、项目名称、谈判时间、谈判地点、采购人名称、谈判供应商名称。</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4.4.5为方便专家评标整本标书请标注统一的页码，非电子文档（各种资质、成功案例合同、财务报表等复印件）可以手工填上统一的页码。</w:t>
      </w:r>
    </w:p>
    <w:p>
      <w:pPr>
        <w:adjustRightInd w:val="0"/>
        <w:snapToGrid w:val="0"/>
        <w:spacing w:line="240" w:lineRule="auto"/>
        <w:rPr>
          <w:rFonts w:hint="eastAsia" w:ascii="宋体" w:hAnsi="宋体" w:eastAsia="宋体" w:cs="宋体"/>
          <w:b/>
          <w:color w:val="000000"/>
          <w:szCs w:val="21"/>
        </w:rPr>
      </w:pPr>
      <w:r>
        <w:rPr>
          <w:rFonts w:hint="eastAsia" w:ascii="宋体" w:hAnsi="宋体" w:eastAsia="宋体" w:cs="宋体"/>
          <w:b/>
          <w:color w:val="000000"/>
          <w:szCs w:val="21"/>
        </w:rPr>
        <w:t>4.5谈判响应文件的递交</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谈判供应商将谈判响应文件按上述规定进行密封和标记后，按谈判时间，由谈判供应商亲自带到谈判地点。</w:t>
      </w:r>
    </w:p>
    <w:p>
      <w:pPr>
        <w:adjustRightInd w:val="0"/>
        <w:snapToGrid w:val="0"/>
        <w:spacing w:line="240" w:lineRule="auto"/>
        <w:rPr>
          <w:rFonts w:hint="eastAsia" w:ascii="宋体" w:hAnsi="宋体" w:eastAsia="宋体" w:cs="宋体"/>
          <w:b/>
          <w:color w:val="000000"/>
          <w:szCs w:val="21"/>
        </w:rPr>
      </w:pPr>
      <w:r>
        <w:rPr>
          <w:rFonts w:hint="eastAsia" w:ascii="宋体" w:hAnsi="宋体" w:eastAsia="宋体" w:cs="宋体"/>
          <w:b/>
          <w:color w:val="000000"/>
          <w:szCs w:val="21"/>
        </w:rPr>
        <w:t>4.6谈判响应文件的有效期</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谈判响应文件从投标截止之日起，有效期为90天。</w:t>
      </w:r>
    </w:p>
    <w:p>
      <w:pPr>
        <w:pStyle w:val="25"/>
        <w:snapToGrid w:val="0"/>
        <w:spacing w:beforeLines="0" w:afterLines="0" w:line="240" w:lineRule="auto"/>
        <w:rPr>
          <w:rFonts w:hint="eastAsia" w:ascii="宋体" w:hAnsi="宋体" w:eastAsia="宋体" w:cs="宋体"/>
          <w:color w:val="000000"/>
          <w:sz w:val="21"/>
          <w:szCs w:val="21"/>
        </w:rPr>
      </w:pPr>
      <w:bookmarkStart w:id="71" w:name="_Toc142370535"/>
      <w:bookmarkStart w:id="72" w:name="_Toc271798800"/>
      <w:bookmarkStart w:id="73" w:name="_Toc6481"/>
      <w:r>
        <w:rPr>
          <w:rFonts w:hint="eastAsia" w:ascii="宋体" w:hAnsi="宋体" w:eastAsia="宋体" w:cs="宋体"/>
          <w:b/>
          <w:color w:val="000000"/>
          <w:sz w:val="21"/>
          <w:szCs w:val="21"/>
        </w:rPr>
        <w:t>★</w:t>
      </w:r>
      <w:r>
        <w:rPr>
          <w:rFonts w:hint="eastAsia" w:ascii="宋体" w:hAnsi="宋体" w:eastAsia="宋体" w:cs="宋体"/>
          <w:color w:val="000000"/>
          <w:sz w:val="21"/>
          <w:szCs w:val="21"/>
        </w:rPr>
        <w:t>5．关于谈判保证金</w:t>
      </w:r>
      <w:bookmarkEnd w:id="71"/>
      <w:bookmarkEnd w:id="72"/>
      <w:r>
        <w:rPr>
          <w:rFonts w:hint="eastAsia" w:ascii="宋体" w:hAnsi="宋体" w:eastAsia="宋体" w:cs="宋体"/>
          <w:b/>
          <w:color w:val="FF0000"/>
          <w:sz w:val="21"/>
          <w:szCs w:val="21"/>
          <w:u w:val="single"/>
        </w:rPr>
        <w:t>（本项目不要求谈判保证金）</w:t>
      </w:r>
      <w:bookmarkEnd w:id="73"/>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5.1 竞争性谈判保证金为谈判响应文件的组成部分。</w:t>
      </w:r>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5.2 谈判供应商须在</w:t>
      </w:r>
      <w:r>
        <w:rPr>
          <w:rFonts w:hint="eastAsia" w:ascii="宋体" w:hAnsi="宋体" w:eastAsia="宋体" w:cs="宋体"/>
          <w:b/>
          <w:color w:val="000000"/>
          <w:szCs w:val="21"/>
        </w:rPr>
        <w:t>XXXX年</w:t>
      </w:r>
      <w:r>
        <w:rPr>
          <w:rFonts w:hint="eastAsia" w:ascii="宋体" w:hAnsi="宋体" w:eastAsia="宋体" w:cs="宋体"/>
          <w:b/>
          <w:color w:val="000000"/>
          <w:szCs w:val="21"/>
          <w:lang w:val="zh-CN"/>
        </w:rPr>
        <w:t>XX</w:t>
      </w:r>
      <w:r>
        <w:rPr>
          <w:rFonts w:hint="eastAsia" w:ascii="宋体" w:hAnsi="宋体" w:eastAsia="宋体" w:cs="宋体"/>
          <w:b/>
          <w:color w:val="000000"/>
          <w:szCs w:val="21"/>
        </w:rPr>
        <w:t>月XX日X时XX分</w:t>
      </w:r>
      <w:r>
        <w:rPr>
          <w:rFonts w:hint="eastAsia" w:ascii="宋体" w:hAnsi="宋体" w:eastAsia="宋体" w:cs="宋体"/>
          <w:color w:val="000000"/>
          <w:szCs w:val="21"/>
        </w:rPr>
        <w:t>前递交投标保证金</w:t>
      </w:r>
      <w:r>
        <w:rPr>
          <w:rFonts w:hint="eastAsia" w:ascii="宋体" w:hAnsi="宋体" w:eastAsia="宋体" w:cs="宋体"/>
          <w:b/>
          <w:color w:val="000000"/>
          <w:szCs w:val="21"/>
        </w:rPr>
        <w:t xml:space="preserve">人民币  </w:t>
      </w:r>
      <w:r>
        <w:rPr>
          <w:rFonts w:hint="eastAsia" w:ascii="宋体" w:hAnsi="宋体" w:eastAsia="宋体" w:cs="宋体"/>
          <w:b/>
          <w:color w:val="000000"/>
          <w:szCs w:val="21"/>
          <w:u w:val="single"/>
        </w:rPr>
        <w:t>元整</w:t>
      </w:r>
      <w:r>
        <w:rPr>
          <w:rFonts w:hint="eastAsia" w:ascii="宋体" w:hAnsi="宋体" w:eastAsia="宋体" w:cs="宋体"/>
          <w:b/>
          <w:color w:val="000000"/>
          <w:szCs w:val="21"/>
        </w:rPr>
        <w:t>（￥  元）</w:t>
      </w:r>
      <w:r>
        <w:rPr>
          <w:rFonts w:hint="eastAsia" w:ascii="宋体" w:hAnsi="宋体" w:eastAsia="宋体" w:cs="宋体"/>
          <w:color w:val="000000"/>
          <w:szCs w:val="21"/>
        </w:rPr>
        <w:t>，以投标保证金到达采购人指定帐户，并经采购人确认为准。</w:t>
      </w:r>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5.3投标保证金以银行本票、汇票、保付支票、汇款或现金等形式交纳。</w:t>
      </w:r>
    </w:p>
    <w:p>
      <w:pPr>
        <w:snapToGrid w:val="0"/>
        <w:spacing w:line="240" w:lineRule="auto"/>
        <w:ind w:left="709"/>
        <w:rPr>
          <w:rFonts w:hint="eastAsia" w:ascii="宋体" w:hAnsi="宋体" w:eastAsia="宋体" w:cs="宋体"/>
          <w:b/>
          <w:color w:val="000000"/>
          <w:sz w:val="21"/>
          <w:szCs w:val="21"/>
          <w:u w:val="single"/>
        </w:rPr>
      </w:pPr>
      <w:r>
        <w:rPr>
          <w:rFonts w:hint="eastAsia" w:ascii="宋体" w:hAnsi="宋体" w:eastAsia="宋体" w:cs="宋体"/>
          <w:b/>
          <w:color w:val="000000"/>
          <w:sz w:val="21"/>
          <w:szCs w:val="21"/>
          <w:u w:val="single"/>
        </w:rPr>
        <w:t>账户名称：</w:t>
      </w:r>
      <w:r>
        <w:rPr>
          <w:rFonts w:hint="eastAsia" w:ascii="宋体" w:hAnsi="宋体" w:eastAsia="宋体" w:cs="宋体"/>
          <w:b/>
          <w:color w:val="000000"/>
          <w:sz w:val="21"/>
          <w:szCs w:val="21"/>
          <w:u w:val="single"/>
          <w:lang w:eastAsia="zh-CN"/>
        </w:rPr>
        <w:t>深圳市设计之都运营发展有限公司</w:t>
      </w:r>
      <w:r>
        <w:rPr>
          <w:rFonts w:hint="eastAsia" w:ascii="宋体" w:hAnsi="宋体" w:eastAsia="宋体" w:cs="宋体"/>
          <w:b/>
          <w:color w:val="000000"/>
          <w:sz w:val="21"/>
          <w:szCs w:val="21"/>
          <w:u w:val="single"/>
        </w:rPr>
        <w:br w:type="textWrapping"/>
      </w:r>
      <w:r>
        <w:rPr>
          <w:rFonts w:hint="eastAsia" w:ascii="宋体" w:hAnsi="宋体" w:eastAsia="宋体" w:cs="宋体"/>
          <w:b/>
          <w:color w:val="000000"/>
          <w:sz w:val="21"/>
          <w:szCs w:val="21"/>
          <w:u w:val="single"/>
        </w:rPr>
        <w:t>账户号码：338200100100051632</w:t>
      </w:r>
      <w:r>
        <w:rPr>
          <w:rFonts w:hint="eastAsia" w:ascii="宋体" w:hAnsi="宋体" w:eastAsia="宋体" w:cs="宋体"/>
          <w:b/>
          <w:color w:val="000000"/>
          <w:sz w:val="21"/>
          <w:szCs w:val="21"/>
          <w:u w:val="single"/>
        </w:rPr>
        <w:br w:type="textWrapping"/>
      </w:r>
      <w:r>
        <w:rPr>
          <w:rFonts w:hint="eastAsia" w:ascii="宋体" w:hAnsi="宋体" w:eastAsia="宋体" w:cs="宋体"/>
          <w:b/>
          <w:color w:val="000000"/>
          <w:sz w:val="21"/>
          <w:szCs w:val="21"/>
          <w:u w:val="single"/>
        </w:rPr>
        <w:t>开户银行：兴业银行深圳民治支行 </w:t>
      </w:r>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5.4未按规定提交谈判保证金的投标，将被视为无效竞争性谈判。</w:t>
      </w:r>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5.5未中标的谈判供应商的保证金，在中标通知书发出后 5 个工作日内予以无息退还。</w:t>
      </w:r>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5.6中标的谈判供应商的投标保证金，在采购合同签订后 5个工作日内无息退还，同时结算中标服务费。</w:t>
      </w:r>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5.7 谈判供应商因自身因素逾期未向采购人办理退还保证金手续的，采购人不承担任何利率费用。</w:t>
      </w:r>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5.8下列情况之一发生，保证金将被不予退回：</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5.8.1谈判供应商已递交投标书，并在投标截止时间之后，谈判响应文件有效期满之前，撤回其谈判响应文件；</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5.8.2中标后，成交供应商不按中标的谈判结果签订合同，视为放弃成交；</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5.8.3</w:t>
      </w:r>
      <w:r>
        <w:rPr>
          <w:rFonts w:hint="eastAsia" w:ascii="宋体" w:hAnsi="宋体" w:eastAsia="宋体" w:cs="宋体"/>
          <w:bCs/>
          <w:color w:val="000000"/>
          <w:szCs w:val="21"/>
        </w:rPr>
        <w:t>放弃竞争性谈判的</w:t>
      </w:r>
      <w:r>
        <w:rPr>
          <w:rFonts w:hint="eastAsia" w:ascii="宋体" w:hAnsi="宋体" w:eastAsia="宋体" w:cs="宋体"/>
          <w:color w:val="000000"/>
          <w:szCs w:val="21"/>
        </w:rPr>
        <w:t>谈判供应商</w:t>
      </w:r>
      <w:r>
        <w:rPr>
          <w:rFonts w:hint="eastAsia" w:ascii="宋体" w:hAnsi="宋体" w:eastAsia="宋体" w:cs="宋体"/>
          <w:bCs/>
          <w:color w:val="000000"/>
          <w:szCs w:val="21"/>
        </w:rPr>
        <w:t>在开标前三日未书面通知采购人的</w:t>
      </w:r>
      <w:r>
        <w:rPr>
          <w:rFonts w:hint="eastAsia" w:ascii="宋体" w:hAnsi="宋体" w:eastAsia="宋体" w:cs="宋体"/>
          <w:color w:val="000000"/>
          <w:szCs w:val="21"/>
        </w:rPr>
        <w:t>；</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5.8.4在竞争性谈判期间用不正当手段影响评标结果。</w:t>
      </w:r>
    </w:p>
    <w:p>
      <w:pPr>
        <w:pStyle w:val="25"/>
        <w:snapToGrid w:val="0"/>
        <w:spacing w:beforeLines="0" w:afterLines="0" w:line="240" w:lineRule="auto"/>
        <w:outlineLvl w:val="1"/>
        <w:rPr>
          <w:rFonts w:hint="eastAsia" w:ascii="宋体" w:hAnsi="宋体" w:eastAsia="宋体" w:cs="宋体"/>
          <w:color w:val="000000"/>
          <w:sz w:val="21"/>
          <w:szCs w:val="21"/>
        </w:rPr>
      </w:pPr>
      <w:bookmarkStart w:id="74" w:name="_Toc26154"/>
      <w:bookmarkStart w:id="75" w:name="_Toc142370536"/>
      <w:bookmarkStart w:id="76" w:name="_Toc32079"/>
      <w:bookmarkStart w:id="77" w:name="_Toc271798801"/>
      <w:bookmarkStart w:id="78" w:name="_Toc9543"/>
      <w:bookmarkStart w:id="79" w:name="_Toc10634"/>
      <w:r>
        <w:rPr>
          <w:rFonts w:hint="eastAsia" w:ascii="宋体" w:hAnsi="宋体" w:eastAsia="宋体" w:cs="宋体"/>
          <w:color w:val="000000"/>
          <w:sz w:val="21"/>
          <w:szCs w:val="21"/>
        </w:rPr>
        <w:t>6</w:t>
      </w:r>
      <w:r>
        <w:rPr>
          <w:rFonts w:hint="eastAsia" w:ascii="宋体" w:hAnsi="宋体" w:eastAsia="宋体" w:cs="宋体"/>
          <w:color w:val="000000"/>
          <w:kern w:val="2"/>
          <w:sz w:val="21"/>
          <w:szCs w:val="21"/>
        </w:rPr>
        <w:t>．关于竞争性谈判和竞争性谈判费用</w:t>
      </w:r>
      <w:bookmarkEnd w:id="74"/>
      <w:bookmarkEnd w:id="75"/>
      <w:bookmarkEnd w:id="76"/>
      <w:bookmarkEnd w:id="77"/>
      <w:bookmarkEnd w:id="78"/>
      <w:bookmarkEnd w:id="79"/>
    </w:p>
    <w:p>
      <w:pPr>
        <w:adjustRightInd w:val="0"/>
        <w:snapToGrid w:val="0"/>
        <w:spacing w:line="240" w:lineRule="auto"/>
        <w:ind w:left="476"/>
        <w:rPr>
          <w:rFonts w:hint="eastAsia" w:ascii="宋体" w:hAnsi="宋体" w:eastAsia="宋体" w:cs="宋体"/>
          <w:b/>
          <w:color w:val="000000"/>
          <w:szCs w:val="21"/>
        </w:rPr>
      </w:pPr>
      <w:r>
        <w:rPr>
          <w:rFonts w:hint="eastAsia" w:ascii="宋体" w:hAnsi="宋体" w:eastAsia="宋体" w:cs="宋体"/>
          <w:color w:val="000000"/>
          <w:szCs w:val="21"/>
        </w:rPr>
        <w:t>谈判供应商自行承担各种原因所致的所有参加竞争性谈判有关的费用。</w:t>
      </w:r>
      <w:r>
        <w:rPr>
          <w:rFonts w:hint="eastAsia" w:ascii="宋体" w:hAnsi="宋体" w:eastAsia="宋体" w:cs="宋体"/>
          <w:b/>
          <w:color w:val="000000"/>
          <w:szCs w:val="21"/>
        </w:rPr>
        <w:tab/>
      </w:r>
    </w:p>
    <w:p>
      <w:pPr>
        <w:pStyle w:val="25"/>
        <w:snapToGrid w:val="0"/>
        <w:spacing w:beforeLines="0" w:afterLines="0" w:line="240" w:lineRule="auto"/>
        <w:outlineLvl w:val="1"/>
        <w:rPr>
          <w:rFonts w:hint="eastAsia" w:ascii="宋体" w:hAnsi="宋体" w:eastAsia="宋体" w:cs="宋体"/>
          <w:color w:val="000000"/>
          <w:sz w:val="21"/>
          <w:szCs w:val="21"/>
        </w:rPr>
      </w:pPr>
      <w:bookmarkStart w:id="80" w:name="_Toc271798802"/>
      <w:bookmarkStart w:id="81" w:name="_Toc142370537"/>
      <w:bookmarkStart w:id="82" w:name="_Toc7673"/>
      <w:bookmarkStart w:id="83" w:name="_Toc27622"/>
      <w:bookmarkStart w:id="84" w:name="_Toc7506"/>
      <w:bookmarkStart w:id="85" w:name="_Toc8007"/>
      <w:r>
        <w:rPr>
          <w:rFonts w:hint="eastAsia" w:ascii="宋体" w:hAnsi="宋体" w:eastAsia="宋体" w:cs="宋体"/>
          <w:color w:val="000000"/>
          <w:sz w:val="21"/>
          <w:szCs w:val="21"/>
        </w:rPr>
        <w:t>7．关于</w:t>
      </w:r>
      <w:bookmarkEnd w:id="80"/>
      <w:bookmarkEnd w:id="81"/>
      <w:r>
        <w:rPr>
          <w:rFonts w:hint="eastAsia" w:ascii="宋体" w:hAnsi="宋体" w:eastAsia="宋体" w:cs="宋体"/>
          <w:color w:val="000000"/>
          <w:sz w:val="21"/>
          <w:szCs w:val="21"/>
        </w:rPr>
        <w:t>竞争性谈判</w:t>
      </w:r>
      <w:bookmarkEnd w:id="82"/>
      <w:bookmarkEnd w:id="83"/>
      <w:bookmarkEnd w:id="84"/>
      <w:bookmarkEnd w:id="85"/>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7.1采购人按竞争性谈判文件中规定的时间和地点谈判。</w:t>
      </w:r>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 xml:space="preserve">7.2竞争性谈判截止时如前来参加竞争性谈判的谈判供应商少于二家，采购人有权宣布此次竞争性谈判无效，重新组织采购； </w:t>
      </w:r>
    </w:p>
    <w:p>
      <w:pPr>
        <w:pStyle w:val="25"/>
        <w:snapToGrid w:val="0"/>
        <w:spacing w:beforeLines="0" w:afterLines="0" w:line="240" w:lineRule="auto"/>
        <w:outlineLvl w:val="1"/>
        <w:rPr>
          <w:rFonts w:hint="eastAsia" w:ascii="宋体" w:hAnsi="宋体" w:eastAsia="宋体" w:cs="宋体"/>
          <w:color w:val="000000"/>
          <w:sz w:val="21"/>
          <w:szCs w:val="21"/>
        </w:rPr>
      </w:pPr>
      <w:bookmarkStart w:id="86" w:name="_Toc142370538"/>
      <w:bookmarkStart w:id="87" w:name="_Toc26300"/>
      <w:bookmarkStart w:id="88" w:name="_Toc28108"/>
      <w:bookmarkStart w:id="89" w:name="_Toc271798803"/>
      <w:bookmarkStart w:id="90" w:name="_Toc10827"/>
      <w:bookmarkStart w:id="91" w:name="_Toc32710"/>
      <w:r>
        <w:rPr>
          <w:rFonts w:hint="eastAsia" w:ascii="宋体" w:hAnsi="宋体" w:eastAsia="宋体" w:cs="宋体"/>
          <w:color w:val="000000"/>
          <w:sz w:val="21"/>
          <w:szCs w:val="21"/>
        </w:rPr>
        <w:t>8．关于评标</w:t>
      </w:r>
      <w:bookmarkEnd w:id="86"/>
      <w:bookmarkEnd w:id="87"/>
      <w:bookmarkEnd w:id="88"/>
      <w:bookmarkEnd w:id="89"/>
      <w:bookmarkEnd w:id="90"/>
      <w:bookmarkEnd w:id="91"/>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8.1评标是谈判工作的重要环节，评标工作在谈判小组内独立进行。</w:t>
      </w:r>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8.2在竞争性谈判期间，谈判供应商不得向谈判小组询问情况，不得进行旨在影响评标结果的活动。</w:t>
      </w:r>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8.3谈判小组不向落标方解释落标原因，不退还谈判响应文件。</w:t>
      </w:r>
    </w:p>
    <w:p>
      <w:pPr>
        <w:pStyle w:val="25"/>
        <w:snapToGrid w:val="0"/>
        <w:spacing w:beforeLines="0" w:afterLines="0" w:line="240" w:lineRule="auto"/>
        <w:outlineLvl w:val="1"/>
        <w:rPr>
          <w:rFonts w:hint="eastAsia" w:ascii="宋体" w:hAnsi="宋体" w:eastAsia="宋体" w:cs="宋体"/>
          <w:color w:val="000000"/>
          <w:sz w:val="21"/>
          <w:szCs w:val="21"/>
        </w:rPr>
      </w:pPr>
      <w:bookmarkStart w:id="92" w:name="_Toc142370539"/>
      <w:bookmarkStart w:id="93" w:name="_Toc25214"/>
      <w:bookmarkStart w:id="94" w:name="_Toc271798804"/>
      <w:bookmarkStart w:id="95" w:name="_Toc10524"/>
      <w:bookmarkStart w:id="96" w:name="_Toc9094"/>
      <w:bookmarkStart w:id="97" w:name="_Toc14932"/>
      <w:r>
        <w:rPr>
          <w:rFonts w:hint="eastAsia" w:ascii="宋体" w:hAnsi="宋体" w:eastAsia="宋体" w:cs="宋体"/>
          <w:color w:val="000000"/>
          <w:sz w:val="21"/>
          <w:szCs w:val="21"/>
        </w:rPr>
        <w:t>9．关于定标</w:t>
      </w:r>
      <w:bookmarkEnd w:id="92"/>
      <w:bookmarkEnd w:id="93"/>
      <w:bookmarkEnd w:id="94"/>
      <w:bookmarkEnd w:id="95"/>
      <w:bookmarkEnd w:id="96"/>
      <w:bookmarkEnd w:id="97"/>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9.1谈判小组根据符合性审查、报价部分、商务、技术方案说明部分的评估结果进行综合评比。</w:t>
      </w:r>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9.5成交供应商确定后，将发布公示，公示无异议后，向成交供应商发出中标通知书。</w:t>
      </w:r>
    </w:p>
    <w:p>
      <w:pPr>
        <w:pStyle w:val="25"/>
        <w:snapToGrid w:val="0"/>
        <w:spacing w:beforeLines="0" w:afterLines="0" w:line="240" w:lineRule="auto"/>
        <w:outlineLvl w:val="1"/>
        <w:rPr>
          <w:rFonts w:hint="eastAsia" w:ascii="宋体" w:hAnsi="宋体" w:eastAsia="宋体" w:cs="宋体"/>
          <w:color w:val="000000"/>
          <w:sz w:val="21"/>
          <w:szCs w:val="21"/>
        </w:rPr>
      </w:pPr>
      <w:bookmarkStart w:id="98" w:name="_Toc14889"/>
      <w:bookmarkStart w:id="99" w:name="_Toc271798805"/>
      <w:bookmarkStart w:id="100" w:name="_Toc30004"/>
      <w:bookmarkStart w:id="101" w:name="_Toc142370540"/>
      <w:bookmarkStart w:id="102" w:name="_Toc6422"/>
      <w:bookmarkStart w:id="103" w:name="_Toc21237"/>
      <w:r>
        <w:rPr>
          <w:rFonts w:hint="eastAsia" w:ascii="宋体" w:hAnsi="宋体" w:eastAsia="宋体" w:cs="宋体"/>
          <w:color w:val="000000"/>
          <w:sz w:val="21"/>
          <w:szCs w:val="21"/>
        </w:rPr>
        <w:t>10．关于废标和竞争性谈判失败</w:t>
      </w:r>
      <w:bookmarkEnd w:id="98"/>
      <w:bookmarkEnd w:id="99"/>
      <w:bookmarkEnd w:id="100"/>
      <w:bookmarkEnd w:id="101"/>
      <w:bookmarkEnd w:id="102"/>
      <w:bookmarkEnd w:id="103"/>
    </w:p>
    <w:p>
      <w:pPr>
        <w:adjustRightInd w:val="0"/>
        <w:snapToGrid w:val="0"/>
        <w:spacing w:line="240" w:lineRule="auto"/>
        <w:rPr>
          <w:rFonts w:hint="eastAsia" w:ascii="宋体" w:hAnsi="宋体" w:eastAsia="宋体" w:cs="宋体"/>
          <w:b/>
          <w:color w:val="000000"/>
          <w:szCs w:val="21"/>
        </w:rPr>
      </w:pPr>
      <w:r>
        <w:rPr>
          <w:rFonts w:hint="eastAsia" w:ascii="宋体" w:hAnsi="宋体" w:eastAsia="宋体" w:cs="宋体"/>
          <w:b/>
          <w:color w:val="000000"/>
          <w:szCs w:val="21"/>
        </w:rPr>
        <w:t>10.1有下列情况之一出现的谈判响应文件，将做废标处理：</w:t>
      </w:r>
    </w:p>
    <w:p>
      <w:pPr>
        <w:pStyle w:val="10"/>
        <w:snapToGrid w:val="0"/>
        <w:spacing w:line="240" w:lineRule="auto"/>
        <w:ind w:left="1171" w:leftChars="200" w:hanging="745" w:hangingChars="350"/>
        <w:rPr>
          <w:rFonts w:hint="eastAsia" w:hAnsi="宋体" w:cs="宋体"/>
          <w:color w:val="000000"/>
          <w:sz w:val="21"/>
          <w:szCs w:val="21"/>
        </w:rPr>
      </w:pPr>
      <w:bookmarkStart w:id="104" w:name="_Toc142882005"/>
      <w:r>
        <w:rPr>
          <w:rFonts w:hint="eastAsia" w:hAnsi="宋体" w:cs="宋体"/>
          <w:color w:val="000000"/>
          <w:sz w:val="21"/>
          <w:szCs w:val="21"/>
        </w:rPr>
        <w:t>10.1.1 谈判响应文件未按谈判文件第二部分“谈判供应商须知”第4.4条款的内容密封和标记；</w:t>
      </w:r>
      <w:bookmarkEnd w:id="104"/>
      <w:r>
        <w:rPr>
          <w:rFonts w:hint="eastAsia" w:hAnsi="宋体" w:cs="宋体"/>
          <w:color w:val="000000"/>
          <w:sz w:val="21"/>
          <w:szCs w:val="21"/>
        </w:rPr>
        <w:t xml:space="preserve"> </w:t>
      </w:r>
    </w:p>
    <w:p>
      <w:pPr>
        <w:pStyle w:val="10"/>
        <w:snapToGrid w:val="0"/>
        <w:spacing w:line="240" w:lineRule="auto"/>
        <w:ind w:left="1171" w:leftChars="200" w:hanging="745" w:hangingChars="350"/>
        <w:rPr>
          <w:rFonts w:hint="eastAsia" w:hAnsi="宋体" w:cs="宋体"/>
          <w:color w:val="000000"/>
          <w:sz w:val="21"/>
          <w:szCs w:val="21"/>
        </w:rPr>
      </w:pPr>
      <w:r>
        <w:rPr>
          <w:rFonts w:hint="eastAsia" w:hAnsi="宋体" w:cs="宋体"/>
          <w:color w:val="000000"/>
          <w:sz w:val="21"/>
          <w:szCs w:val="21"/>
        </w:rPr>
        <w:t>10.1.2 未按谈判文件要求的规定提供法定代表人或法定代表人委托的代理人的私人印鉴或签字；</w:t>
      </w:r>
    </w:p>
    <w:p>
      <w:pPr>
        <w:pStyle w:val="10"/>
        <w:snapToGrid w:val="0"/>
        <w:spacing w:line="240" w:lineRule="auto"/>
        <w:ind w:firstLine="426" w:firstLineChars="200"/>
        <w:rPr>
          <w:rFonts w:hint="eastAsia" w:hAnsi="宋体" w:cs="宋体"/>
          <w:color w:val="000000"/>
          <w:sz w:val="21"/>
          <w:szCs w:val="21"/>
        </w:rPr>
      </w:pPr>
      <w:bookmarkStart w:id="105" w:name="_Toc142882006"/>
      <w:r>
        <w:rPr>
          <w:rFonts w:hint="eastAsia" w:hAnsi="宋体" w:cs="宋体"/>
          <w:color w:val="000000"/>
          <w:sz w:val="21"/>
          <w:szCs w:val="21"/>
        </w:rPr>
        <w:t>10.1.3 未按谈判文件要求的规定加盖公章的；</w:t>
      </w:r>
      <w:bookmarkEnd w:id="105"/>
    </w:p>
    <w:p>
      <w:pPr>
        <w:pStyle w:val="10"/>
        <w:snapToGrid w:val="0"/>
        <w:spacing w:line="240" w:lineRule="auto"/>
        <w:ind w:firstLine="426" w:firstLineChars="200"/>
        <w:rPr>
          <w:rFonts w:hint="eastAsia" w:hAnsi="宋体" w:cs="宋体"/>
          <w:color w:val="000000"/>
          <w:sz w:val="21"/>
          <w:szCs w:val="21"/>
        </w:rPr>
      </w:pPr>
      <w:bookmarkStart w:id="106" w:name="_Toc142882007"/>
      <w:r>
        <w:rPr>
          <w:rFonts w:hint="eastAsia" w:hAnsi="宋体" w:cs="宋体"/>
          <w:color w:val="000000"/>
          <w:sz w:val="21"/>
          <w:szCs w:val="21"/>
        </w:rPr>
        <w:t>10.1.4 谈判响应文件未对竞争性谈判文件作出完全的响应导致无效；</w:t>
      </w:r>
      <w:bookmarkEnd w:id="106"/>
    </w:p>
    <w:p>
      <w:pPr>
        <w:pStyle w:val="10"/>
        <w:snapToGrid w:val="0"/>
        <w:spacing w:line="240" w:lineRule="auto"/>
        <w:ind w:firstLine="426" w:firstLineChars="200"/>
        <w:rPr>
          <w:rFonts w:hint="eastAsia" w:hAnsi="宋体" w:cs="宋体"/>
          <w:color w:val="000000"/>
          <w:sz w:val="21"/>
          <w:szCs w:val="21"/>
        </w:rPr>
      </w:pPr>
      <w:bookmarkStart w:id="107" w:name="_Toc142882008"/>
      <w:r>
        <w:rPr>
          <w:rFonts w:hint="eastAsia" w:hAnsi="宋体" w:cs="宋体"/>
          <w:color w:val="000000"/>
          <w:sz w:val="21"/>
          <w:szCs w:val="21"/>
        </w:rPr>
        <w:t>10.1.5 竞争性谈判报价超过最高限价或低于合理成本价；</w:t>
      </w:r>
      <w:bookmarkEnd w:id="107"/>
    </w:p>
    <w:p>
      <w:pPr>
        <w:pStyle w:val="10"/>
        <w:snapToGrid w:val="0"/>
        <w:spacing w:line="240" w:lineRule="auto"/>
        <w:ind w:firstLine="426" w:firstLineChars="200"/>
        <w:rPr>
          <w:rFonts w:hint="eastAsia" w:hAnsi="宋体" w:cs="宋体"/>
          <w:color w:val="000000"/>
          <w:sz w:val="21"/>
          <w:szCs w:val="21"/>
        </w:rPr>
      </w:pPr>
      <w:bookmarkStart w:id="108" w:name="_Toc142882009"/>
      <w:r>
        <w:rPr>
          <w:rFonts w:hint="eastAsia" w:hAnsi="宋体" w:cs="宋体"/>
          <w:color w:val="000000"/>
          <w:sz w:val="21"/>
          <w:szCs w:val="21"/>
        </w:rPr>
        <w:t>10.1.6 谈判供应商未按规定提交投标保证金的；</w:t>
      </w:r>
      <w:bookmarkEnd w:id="108"/>
    </w:p>
    <w:p>
      <w:pPr>
        <w:pStyle w:val="10"/>
        <w:snapToGrid w:val="0"/>
        <w:spacing w:line="240" w:lineRule="auto"/>
        <w:ind w:firstLine="426" w:firstLineChars="200"/>
        <w:rPr>
          <w:rFonts w:hint="eastAsia" w:hAnsi="宋体" w:cs="宋体"/>
          <w:color w:val="000000"/>
          <w:sz w:val="21"/>
          <w:szCs w:val="21"/>
        </w:rPr>
      </w:pPr>
      <w:bookmarkStart w:id="109" w:name="_Toc142882010"/>
      <w:r>
        <w:rPr>
          <w:rFonts w:hint="eastAsia" w:hAnsi="宋体" w:cs="宋体"/>
          <w:color w:val="000000"/>
          <w:sz w:val="21"/>
          <w:szCs w:val="21"/>
        </w:rPr>
        <w:t>10.1.7 未通过符合性审查的；</w:t>
      </w:r>
      <w:bookmarkEnd w:id="109"/>
    </w:p>
    <w:p>
      <w:pPr>
        <w:pStyle w:val="10"/>
        <w:snapToGrid w:val="0"/>
        <w:spacing w:line="240" w:lineRule="auto"/>
        <w:ind w:firstLine="426" w:firstLineChars="200"/>
        <w:rPr>
          <w:rFonts w:hint="eastAsia" w:hAnsi="宋体" w:cs="宋体"/>
          <w:color w:val="000000"/>
          <w:sz w:val="21"/>
          <w:szCs w:val="21"/>
        </w:rPr>
      </w:pPr>
      <w:bookmarkStart w:id="110" w:name="_Toc142882012"/>
      <w:r>
        <w:rPr>
          <w:rFonts w:hint="eastAsia" w:hAnsi="宋体" w:cs="宋体"/>
          <w:color w:val="000000"/>
          <w:sz w:val="21"/>
          <w:szCs w:val="21"/>
        </w:rPr>
        <w:t>10.1.8谈判文件中标有“★”项不响应或不满足的；</w:t>
      </w:r>
      <w:bookmarkEnd w:id="110"/>
    </w:p>
    <w:p>
      <w:pPr>
        <w:pStyle w:val="10"/>
        <w:snapToGrid w:val="0"/>
        <w:spacing w:line="240" w:lineRule="auto"/>
        <w:ind w:firstLine="426" w:firstLineChars="200"/>
        <w:rPr>
          <w:rFonts w:hint="eastAsia" w:hAnsi="宋体" w:cs="宋体"/>
          <w:color w:val="000000"/>
          <w:sz w:val="21"/>
          <w:szCs w:val="21"/>
        </w:rPr>
      </w:pPr>
      <w:bookmarkStart w:id="111" w:name="_Toc142882015"/>
      <w:r>
        <w:rPr>
          <w:rFonts w:hint="eastAsia" w:hAnsi="宋体" w:cs="宋体"/>
          <w:color w:val="000000"/>
          <w:sz w:val="21"/>
          <w:szCs w:val="21"/>
        </w:rPr>
        <w:t>10.1.9 不符合法律、法规和竞争性谈判文件中规定的其他实质性要求的</w:t>
      </w:r>
      <w:bookmarkEnd w:id="111"/>
      <w:r>
        <w:rPr>
          <w:rFonts w:hint="eastAsia" w:hAnsi="宋体" w:cs="宋体"/>
          <w:color w:val="000000"/>
          <w:sz w:val="21"/>
          <w:szCs w:val="21"/>
        </w:rPr>
        <w:t>。</w:t>
      </w:r>
    </w:p>
    <w:p>
      <w:pPr>
        <w:adjustRightInd w:val="0"/>
        <w:snapToGrid w:val="0"/>
        <w:spacing w:line="240" w:lineRule="auto"/>
        <w:rPr>
          <w:rFonts w:hint="eastAsia" w:ascii="宋体" w:hAnsi="宋体" w:eastAsia="宋体" w:cs="宋体"/>
          <w:b/>
          <w:color w:val="000000"/>
          <w:szCs w:val="21"/>
        </w:rPr>
      </w:pPr>
      <w:r>
        <w:rPr>
          <w:rFonts w:hint="eastAsia" w:ascii="宋体" w:hAnsi="宋体" w:eastAsia="宋体" w:cs="宋体"/>
          <w:b/>
          <w:color w:val="000000"/>
          <w:szCs w:val="21"/>
        </w:rPr>
        <w:t>10.2下列情况之一出现，将视为谈判失败，采购人将重新组织采购：</w:t>
      </w:r>
    </w:p>
    <w:p>
      <w:pPr>
        <w:pStyle w:val="10"/>
        <w:snapToGrid w:val="0"/>
        <w:spacing w:line="240" w:lineRule="auto"/>
        <w:ind w:firstLine="426" w:firstLineChars="200"/>
        <w:rPr>
          <w:rFonts w:hint="eastAsia" w:hAnsi="宋体" w:cs="宋体"/>
          <w:color w:val="000000"/>
          <w:sz w:val="21"/>
          <w:szCs w:val="21"/>
        </w:rPr>
      </w:pPr>
      <w:r>
        <w:rPr>
          <w:rFonts w:hint="eastAsia" w:hAnsi="宋体" w:cs="宋体"/>
          <w:color w:val="000000"/>
          <w:sz w:val="21"/>
          <w:szCs w:val="21"/>
        </w:rPr>
        <w:t>10.2.1 投标截止时供应商少于二家；</w:t>
      </w:r>
    </w:p>
    <w:p>
      <w:pPr>
        <w:adjustRightInd w:val="0"/>
        <w:snapToGrid w:val="0"/>
        <w:spacing w:line="240" w:lineRule="auto"/>
        <w:ind w:firstLine="435"/>
        <w:rPr>
          <w:rFonts w:hint="eastAsia" w:ascii="宋体" w:hAnsi="宋体" w:eastAsia="宋体" w:cs="宋体"/>
          <w:color w:val="000000"/>
          <w:szCs w:val="21"/>
        </w:rPr>
      </w:pPr>
      <w:r>
        <w:rPr>
          <w:rFonts w:hint="eastAsia" w:ascii="宋体" w:hAnsi="宋体" w:eastAsia="宋体" w:cs="宋体"/>
          <w:color w:val="000000"/>
          <w:kern w:val="0"/>
          <w:szCs w:val="21"/>
        </w:rPr>
        <w:t>10.2.2</w:t>
      </w:r>
      <w:r>
        <w:rPr>
          <w:rFonts w:hint="eastAsia" w:ascii="宋体" w:hAnsi="宋体" w:eastAsia="宋体" w:cs="宋体"/>
          <w:color w:val="000000"/>
          <w:szCs w:val="21"/>
        </w:rPr>
        <w:t>评标时发现废标，致使有效谈判少于二家，谈判小组有权宣布此次谈判无效。</w:t>
      </w:r>
    </w:p>
    <w:p>
      <w:pPr>
        <w:adjustRightInd w:val="0"/>
        <w:snapToGrid w:val="0"/>
        <w:spacing w:line="240" w:lineRule="auto"/>
        <w:rPr>
          <w:rFonts w:hint="eastAsia" w:ascii="宋体" w:hAnsi="宋体" w:eastAsia="宋体" w:cs="宋体"/>
          <w:b/>
          <w:color w:val="000000"/>
          <w:szCs w:val="21"/>
          <w:lang w:eastAsia="zh-CN"/>
        </w:rPr>
      </w:pPr>
      <w:r>
        <w:rPr>
          <w:rFonts w:hint="eastAsia" w:ascii="宋体" w:hAnsi="宋体" w:eastAsia="宋体" w:cs="宋体"/>
          <w:b/>
          <w:color w:val="000000"/>
          <w:szCs w:val="21"/>
        </w:rPr>
        <w:t>10.3 如本项目竞争性谈判失败，</w:t>
      </w:r>
      <w:r>
        <w:rPr>
          <w:rFonts w:hint="eastAsia" w:ascii="宋体" w:hAnsi="宋体" w:eastAsia="宋体" w:cs="宋体"/>
          <w:color w:val="000000"/>
          <w:szCs w:val="21"/>
        </w:rPr>
        <w:t>根据情况，采购人将决定采用以下形式继续组织采购</w:t>
      </w:r>
      <w:r>
        <w:rPr>
          <w:rFonts w:hint="eastAsia" w:ascii="宋体" w:hAnsi="宋体" w:eastAsia="宋体" w:cs="宋体"/>
          <w:color w:val="000000"/>
          <w:szCs w:val="21"/>
          <w:lang w:eastAsia="zh-CN"/>
        </w:rPr>
        <w:t>：</w:t>
      </w:r>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b/>
          <w:color w:val="000000"/>
          <w:szCs w:val="21"/>
        </w:rPr>
        <w:t xml:space="preserve"> </w:t>
      </w:r>
      <w:r>
        <w:rPr>
          <w:rFonts w:hint="eastAsia" w:ascii="宋体" w:hAnsi="宋体" w:eastAsia="宋体" w:cs="宋体"/>
          <w:color w:val="000000"/>
          <w:szCs w:val="21"/>
        </w:rPr>
        <w:t xml:space="preserve">    10.3.1 重新组织竞争性谈判</w:t>
      </w:r>
    </w:p>
    <w:p>
      <w:pPr>
        <w:numPr>
          <w:ilvl w:val="2"/>
          <w:numId w:val="4"/>
        </w:num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综合评分法</w:t>
      </w:r>
    </w:p>
    <w:p>
      <w:pPr>
        <w:numPr>
          <w:ilvl w:val="2"/>
          <w:numId w:val="4"/>
        </w:num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最低价法</w:t>
      </w:r>
    </w:p>
    <w:p>
      <w:pPr>
        <w:numPr>
          <w:ilvl w:val="2"/>
          <w:numId w:val="4"/>
        </w:num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性价比法</w:t>
      </w:r>
    </w:p>
    <w:p>
      <w:pPr>
        <w:adjustRightInd w:val="0"/>
        <w:snapToGrid w:val="0"/>
        <w:spacing w:line="240" w:lineRule="auto"/>
        <w:ind w:firstLine="1278" w:firstLineChars="600"/>
        <w:rPr>
          <w:rFonts w:hint="eastAsia" w:ascii="宋体" w:hAnsi="宋体" w:eastAsia="宋体" w:cs="宋体"/>
          <w:color w:val="000000"/>
          <w:szCs w:val="21"/>
        </w:rPr>
      </w:pPr>
      <w:r>
        <w:rPr>
          <w:rFonts w:hint="eastAsia" w:ascii="宋体" w:hAnsi="宋体" w:eastAsia="宋体" w:cs="宋体"/>
          <w:color w:val="000000"/>
          <w:szCs w:val="21"/>
        </w:rPr>
        <w:t>10.3.3.1 邀请招标失败项目少于</w:t>
      </w:r>
      <w:r>
        <w:rPr>
          <w:rFonts w:hint="eastAsia" w:ascii="宋体" w:hAnsi="宋体" w:eastAsia="宋体" w:cs="宋体"/>
          <w:color w:val="000000"/>
          <w:szCs w:val="21"/>
          <w:u w:val="single"/>
        </w:rPr>
        <w:t>3</w:t>
      </w:r>
      <w:r>
        <w:rPr>
          <w:rFonts w:hint="eastAsia" w:ascii="宋体" w:hAnsi="宋体" w:eastAsia="宋体" w:cs="宋体"/>
          <w:color w:val="000000"/>
          <w:szCs w:val="21"/>
        </w:rPr>
        <w:t>家的原谈判供应商进行竞争性谈判；</w:t>
      </w:r>
    </w:p>
    <w:p>
      <w:pPr>
        <w:adjustRightInd w:val="0"/>
        <w:snapToGrid w:val="0"/>
        <w:spacing w:line="240" w:lineRule="auto"/>
        <w:ind w:firstLine="1278" w:firstLineChars="600"/>
        <w:rPr>
          <w:rFonts w:hint="eastAsia" w:ascii="宋体" w:hAnsi="宋体" w:eastAsia="宋体" w:cs="宋体"/>
          <w:color w:val="000000"/>
          <w:szCs w:val="21"/>
        </w:rPr>
      </w:pPr>
      <w:r>
        <w:rPr>
          <w:rFonts w:hint="eastAsia" w:ascii="宋体" w:hAnsi="宋体" w:eastAsia="宋体" w:cs="宋体"/>
          <w:color w:val="000000"/>
          <w:szCs w:val="21"/>
        </w:rPr>
        <w:t>10.3.3.2 推荐不少于</w:t>
      </w:r>
      <w:r>
        <w:rPr>
          <w:rFonts w:hint="eastAsia" w:ascii="宋体" w:hAnsi="宋体" w:eastAsia="宋体" w:cs="宋体"/>
          <w:color w:val="000000"/>
          <w:szCs w:val="21"/>
          <w:u w:val="single"/>
        </w:rPr>
        <w:t>3</w:t>
      </w:r>
      <w:r>
        <w:rPr>
          <w:rFonts w:hint="eastAsia" w:ascii="宋体" w:hAnsi="宋体" w:eastAsia="宋体" w:cs="宋体"/>
          <w:color w:val="000000"/>
          <w:szCs w:val="21"/>
        </w:rPr>
        <w:t>家谈判供应商进行竞争性谈判；</w:t>
      </w:r>
    </w:p>
    <w:p>
      <w:pPr>
        <w:adjustRightInd w:val="0"/>
        <w:snapToGrid w:val="0"/>
        <w:spacing w:line="240" w:lineRule="auto"/>
        <w:ind w:firstLine="1278" w:firstLineChars="600"/>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10.3.3.3 公开征集谈判供应商进行竞争性谈判；</w:t>
      </w:r>
    </w:p>
    <w:p>
      <w:pPr>
        <w:adjustRightInd w:val="0"/>
        <w:snapToGrid w:val="0"/>
        <w:spacing w:line="240" w:lineRule="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 xml:space="preserve">     10.3.4 询价采购；</w:t>
      </w:r>
    </w:p>
    <w:p>
      <w:pPr>
        <w:adjustRightInd w:val="0"/>
        <w:snapToGrid w:val="0"/>
        <w:spacing w:line="240" w:lineRule="auto"/>
        <w:rPr>
          <w:rFonts w:hint="eastAsia" w:ascii="宋体" w:hAnsi="宋体" w:eastAsia="宋体" w:cs="宋体"/>
          <w:color w:val="000000"/>
          <w:szCs w:val="21"/>
          <w:highlight w:val="none"/>
        </w:rPr>
      </w:pPr>
      <w:r>
        <w:rPr>
          <w:rFonts w:hint="eastAsia" w:ascii="宋体" w:hAnsi="宋体" w:eastAsia="宋体" w:cs="宋体"/>
          <w:color w:val="000000"/>
          <w:szCs w:val="21"/>
          <w:highlight w:val="none"/>
        </w:rPr>
        <w:t xml:space="preserve">     10.3.5 单一来源谈判。</w:t>
      </w:r>
    </w:p>
    <w:p>
      <w:pPr>
        <w:adjustRightInd w:val="0"/>
        <w:snapToGrid w:val="0"/>
        <w:spacing w:line="240" w:lineRule="auto"/>
        <w:outlineLvl w:val="1"/>
        <w:rPr>
          <w:rFonts w:hint="eastAsia" w:ascii="宋体" w:hAnsi="宋体" w:eastAsia="宋体" w:cs="宋体"/>
          <w:b/>
          <w:color w:val="000000"/>
          <w:szCs w:val="21"/>
        </w:rPr>
      </w:pPr>
      <w:bookmarkStart w:id="112" w:name="_Toc25361"/>
      <w:bookmarkStart w:id="113" w:name="_Toc23479"/>
      <w:bookmarkStart w:id="114" w:name="_Toc3982"/>
      <w:bookmarkStart w:id="115" w:name="_Toc23265"/>
      <w:r>
        <w:rPr>
          <w:rFonts w:hint="eastAsia" w:ascii="宋体" w:hAnsi="宋体" w:eastAsia="宋体" w:cs="宋体"/>
          <w:b/>
          <w:color w:val="000000"/>
          <w:szCs w:val="21"/>
        </w:rPr>
        <w:t>11</w:t>
      </w:r>
      <w:r>
        <w:rPr>
          <w:rFonts w:hint="eastAsia" w:ascii="宋体" w:hAnsi="宋体" w:eastAsia="宋体" w:cs="宋体"/>
          <w:b/>
          <w:color w:val="000000"/>
          <w:szCs w:val="21"/>
          <w:lang w:val="en-US" w:eastAsia="zh-CN"/>
        </w:rPr>
        <w:t>.</w:t>
      </w:r>
      <w:r>
        <w:rPr>
          <w:rFonts w:hint="eastAsia" w:ascii="宋体" w:hAnsi="宋体" w:eastAsia="宋体" w:cs="宋体"/>
          <w:b/>
          <w:color w:val="000000"/>
          <w:szCs w:val="21"/>
        </w:rPr>
        <w:t>谈判程序</w:t>
      </w:r>
      <w:bookmarkEnd w:id="112"/>
      <w:bookmarkEnd w:id="113"/>
      <w:bookmarkEnd w:id="114"/>
      <w:bookmarkEnd w:id="115"/>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11.1采取两轮谈判、三次报价方式。</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themeColor="text1"/>
          <w:szCs w:val="21"/>
          <w14:textFill>
            <w14:solidFill>
              <w14:schemeClr w14:val="tx1"/>
            </w14:solidFill>
          </w14:textFill>
        </w:rPr>
        <w:t>在谈判中，谈判小组会在每一轮谈判前向所有供应商</w:t>
      </w:r>
      <w:r>
        <w:rPr>
          <w:rFonts w:hint="eastAsia" w:ascii="宋体" w:hAnsi="宋体" w:eastAsia="宋体" w:cs="宋体"/>
          <w:b/>
          <w:color w:val="000000" w:themeColor="text1"/>
          <w:szCs w:val="21"/>
          <w:u w:val="single"/>
          <w14:textFill>
            <w14:solidFill>
              <w14:schemeClr w14:val="tx1"/>
            </w14:solidFill>
          </w14:textFill>
        </w:rPr>
        <w:t>公布各供应商最新的承诺及报价排名</w:t>
      </w:r>
      <w:r>
        <w:rPr>
          <w:rFonts w:hint="eastAsia" w:ascii="宋体" w:hAnsi="宋体" w:eastAsia="宋体" w:cs="宋体"/>
          <w:color w:val="000000" w:themeColor="text1"/>
          <w:szCs w:val="21"/>
          <w14:textFill>
            <w14:solidFill>
              <w14:schemeClr w14:val="tx1"/>
            </w14:solidFill>
          </w14:textFill>
        </w:rPr>
        <w:t>。谈判小组及有关当事人严格遵循保密原则，任何人不得透露除报价排名外的一切与谈判有关的供应商的技术、价格等影响公平竞争的信息。</w:t>
      </w:r>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11.2第一轮谈判</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谈判小组按已确定的谈判顺序，与单一供应商分别就符合采购需求、质量和服务等进行谈判，并了解其报价组成情况。</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谈判中，谈判的任何一方不得透露与谈判有关的其它供应商的技术资料、价格与其它信息。</w:t>
      </w:r>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重点确定谈判样品（每个供应商带有几款不同材质、式样、工艺样品）。</w:t>
      </w:r>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11.3第二轮谈判</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谈判小组就第一轮谈判后合议，根据第一轮谈判掌握的情况，可对谈判文件进行修改，确定采购内容的详细规格或具体要求，优化采购方案。并明确告知谈判供应商，并给予谈判供应商一定的修正时间。</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谈判小组就修正后的内容与谈判供应商分别谈判。</w:t>
      </w:r>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11.4最后报价</w:t>
      </w:r>
    </w:p>
    <w:p>
      <w:pPr>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谈判供应商作最后报价，递交谈判小组。谈判小组就谈判内容对谈判供应商评分。按谈判文件规定的评定标准，对供应商提供最后报价及有关承诺进行评审，按照符合采购需求，性价比最高的原则推选成交供应商。</w:t>
      </w:r>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11.5响应供应商的报价均超过公司的采购上线价格，谈判活动终止。终止后采购人需调整预算或配置标准等，再次组织竞争性谈判或采取其它方式采购。</w:t>
      </w:r>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11.6谈判工作后，企业管理部根据谈判结果出具谈判报告，推荐成效候选人，报公司批准后确定成交供应商。</w:t>
      </w:r>
    </w:p>
    <w:p>
      <w:pPr>
        <w:pStyle w:val="25"/>
        <w:snapToGrid w:val="0"/>
        <w:spacing w:beforeLines="0" w:afterLines="0" w:line="240" w:lineRule="auto"/>
        <w:outlineLvl w:val="1"/>
        <w:rPr>
          <w:rFonts w:hint="eastAsia" w:ascii="宋体" w:hAnsi="宋体" w:eastAsia="宋体" w:cs="宋体"/>
          <w:color w:val="000000"/>
          <w:sz w:val="21"/>
          <w:szCs w:val="21"/>
        </w:rPr>
      </w:pPr>
      <w:bookmarkStart w:id="116" w:name="_Toc31351"/>
      <w:bookmarkStart w:id="117" w:name="_Toc142370542"/>
      <w:bookmarkStart w:id="118" w:name="_Toc9488"/>
      <w:bookmarkStart w:id="119" w:name="_Toc271798807"/>
      <w:bookmarkStart w:id="120" w:name="_Toc30169"/>
      <w:bookmarkStart w:id="121" w:name="_Toc3489"/>
      <w:r>
        <w:rPr>
          <w:rFonts w:hint="eastAsia" w:ascii="宋体" w:hAnsi="宋体" w:eastAsia="宋体" w:cs="宋体"/>
          <w:color w:val="000000"/>
          <w:sz w:val="21"/>
          <w:szCs w:val="21"/>
        </w:rPr>
        <w:t>12．名词解释</w:t>
      </w:r>
      <w:bookmarkEnd w:id="116"/>
      <w:bookmarkEnd w:id="117"/>
      <w:bookmarkEnd w:id="118"/>
      <w:bookmarkEnd w:id="119"/>
      <w:bookmarkEnd w:id="120"/>
      <w:bookmarkEnd w:id="121"/>
    </w:p>
    <w:p>
      <w:pPr>
        <w:adjustRightInd w:val="0"/>
        <w:snapToGrid w:val="0"/>
        <w:spacing w:line="240" w:lineRule="auto"/>
        <w:rPr>
          <w:rFonts w:hint="eastAsia" w:ascii="宋体" w:hAnsi="宋体" w:eastAsia="宋体" w:cs="宋体"/>
          <w:color w:val="000000"/>
          <w:szCs w:val="21"/>
          <w:lang w:eastAsia="zh-CN"/>
        </w:rPr>
      </w:pPr>
      <w:r>
        <w:rPr>
          <w:rFonts w:hint="eastAsia" w:ascii="宋体" w:hAnsi="宋体" w:eastAsia="宋体" w:cs="宋体"/>
          <w:color w:val="000000"/>
          <w:szCs w:val="21"/>
        </w:rPr>
        <w:t>12.1采购人：</w:t>
      </w:r>
      <w:r>
        <w:rPr>
          <w:rFonts w:hint="eastAsia" w:ascii="宋体" w:hAnsi="宋体" w:eastAsia="宋体" w:cs="宋体"/>
          <w:color w:val="000000"/>
          <w:szCs w:val="21"/>
          <w:lang w:eastAsia="zh-CN"/>
        </w:rPr>
        <w:t>深圳市设计之都运营发展有限公司</w:t>
      </w:r>
    </w:p>
    <w:p>
      <w:pPr>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12.2 谈判供应商：向采购人提交谈判响应文件的供货商。</w:t>
      </w:r>
    </w:p>
    <w:p>
      <w:pPr>
        <w:adjustRightInd/>
        <w:snapToGrid/>
        <w:spacing w:line="240" w:lineRule="auto"/>
        <w:rPr>
          <w:rFonts w:hint="eastAsia" w:ascii="宋体" w:hAnsi="宋体" w:eastAsia="宋体" w:cs="宋体"/>
          <w:color w:val="000000"/>
          <w:szCs w:val="21"/>
        </w:rPr>
      </w:pPr>
    </w:p>
    <w:p>
      <w:pPr>
        <w:adjustRightInd w:val="0"/>
        <w:snapToGrid w:val="0"/>
        <w:spacing w:line="240" w:lineRule="auto"/>
        <w:rPr>
          <w:rFonts w:hint="eastAsia" w:ascii="宋体" w:hAnsi="宋体" w:eastAsia="宋体" w:cs="宋体"/>
          <w:color w:val="000000"/>
          <w:szCs w:val="21"/>
        </w:rPr>
      </w:pPr>
    </w:p>
    <w:p>
      <w:pPr>
        <w:rPr>
          <w:rFonts w:hint="eastAsia" w:ascii="宋体" w:hAnsi="宋体" w:eastAsia="宋体" w:cs="宋体"/>
          <w:b/>
          <w:sz w:val="21"/>
          <w:szCs w:val="21"/>
        </w:rPr>
      </w:pPr>
      <w:bookmarkStart w:id="122" w:name="_Toc271798808"/>
      <w:r>
        <w:rPr>
          <w:rFonts w:hint="eastAsia" w:ascii="宋体" w:hAnsi="宋体" w:eastAsia="宋体" w:cs="宋体"/>
          <w:b/>
          <w:sz w:val="21"/>
          <w:szCs w:val="21"/>
        </w:rPr>
        <w:br w:type="page"/>
      </w:r>
    </w:p>
    <w:p>
      <w:pPr>
        <w:pStyle w:val="3"/>
        <w:numPr>
          <w:ilvl w:val="0"/>
          <w:numId w:val="1"/>
        </w:numPr>
        <w:ind w:firstLine="402"/>
        <w:jc w:val="center"/>
        <w:rPr>
          <w:rFonts w:hint="eastAsia" w:ascii="宋体" w:hAnsi="宋体" w:eastAsia="宋体" w:cs="宋体"/>
          <w:b/>
          <w:sz w:val="21"/>
          <w:szCs w:val="21"/>
        </w:rPr>
      </w:pPr>
      <w:bookmarkStart w:id="123" w:name="_Toc5641"/>
      <w:r>
        <w:rPr>
          <w:rFonts w:hint="eastAsia" w:ascii="宋体" w:hAnsi="宋体" w:eastAsia="宋体" w:cs="宋体"/>
          <w:b/>
          <w:sz w:val="21"/>
          <w:szCs w:val="21"/>
        </w:rPr>
        <w:t>用户需求</w:t>
      </w:r>
      <w:bookmarkEnd w:id="122"/>
      <w:r>
        <w:rPr>
          <w:rFonts w:hint="eastAsia" w:ascii="宋体" w:hAnsi="宋体" w:eastAsia="宋体" w:cs="宋体"/>
          <w:b/>
          <w:sz w:val="21"/>
          <w:szCs w:val="21"/>
        </w:rPr>
        <w:t>书</w:t>
      </w:r>
      <w:bookmarkEnd w:id="123"/>
    </w:p>
    <w:p>
      <w:pPr>
        <w:numPr>
          <w:ilvl w:val="0"/>
          <w:numId w:val="5"/>
        </w:numPr>
        <w:spacing w:line="240" w:lineRule="auto"/>
        <w:ind w:firstLine="420"/>
        <w:rPr>
          <w:rFonts w:hint="eastAsia" w:ascii="宋体" w:hAnsi="宋体" w:eastAsia="宋体" w:cs="宋体"/>
          <w:b w:val="0"/>
          <w:bCs w:val="0"/>
          <w:color w:val="000000"/>
          <w:sz w:val="21"/>
          <w:szCs w:val="21"/>
        </w:rPr>
      </w:pPr>
      <w:r>
        <w:rPr>
          <w:rFonts w:hint="eastAsia" w:ascii="宋体" w:hAnsi="宋体" w:eastAsia="宋体" w:cs="宋体"/>
          <w:b/>
          <w:bCs/>
          <w:color w:val="000000"/>
          <w:sz w:val="21"/>
          <w:szCs w:val="21"/>
        </w:rPr>
        <w:t>*</w:t>
      </w:r>
      <w:r>
        <w:rPr>
          <w:rFonts w:hint="eastAsia" w:ascii="宋体" w:hAnsi="宋体" w:eastAsia="宋体" w:cs="宋体"/>
          <w:b/>
          <w:bCs/>
          <w:color w:val="000000"/>
          <w:sz w:val="21"/>
          <w:szCs w:val="21"/>
          <w:lang w:eastAsia="zh-CN"/>
        </w:rPr>
        <w:t>项目需求</w:t>
      </w:r>
    </w:p>
    <w:p>
      <w:pPr>
        <w:numPr>
          <w:ilvl w:val="-1"/>
          <w:numId w:val="0"/>
        </w:numPr>
        <w:spacing w:line="240" w:lineRule="auto"/>
        <w:ind w:firstLine="426" w:firstLineChars="20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项目地点：广电金融中心天空美术馆48楼</w:t>
      </w:r>
    </w:p>
    <w:p>
      <w:pPr>
        <w:numPr>
          <w:ilvl w:val="-1"/>
          <w:numId w:val="0"/>
        </w:numPr>
        <w:spacing w:line="240" w:lineRule="auto"/>
        <w:ind w:left="0" w:firstLine="426" w:firstLineChars="20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区域：48楼原办公区、 洗手间地毯区、电影院前外立面、咖啡区软装设计</w:t>
      </w:r>
    </w:p>
    <w:p>
      <w:pPr>
        <w:numPr>
          <w:ilvl w:val="-1"/>
          <w:numId w:val="0"/>
        </w:numPr>
        <w:spacing w:line="240" w:lineRule="auto"/>
        <w:ind w:left="0" w:firstLine="426" w:firstLineChars="20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上限价格：</w:t>
      </w:r>
      <w:r>
        <w:rPr>
          <w:rFonts w:hint="eastAsia" w:ascii="宋体" w:hAnsi="宋体" w:eastAsia="宋体" w:cs="宋体"/>
          <w:b/>
          <w:bCs/>
          <w:color w:val="FF0000"/>
          <w:sz w:val="21"/>
          <w:szCs w:val="21"/>
        </w:rPr>
        <w:t>90000元（人民币玖万圆整）</w:t>
      </w:r>
      <w:r>
        <w:rPr>
          <w:rFonts w:hint="eastAsia" w:ascii="宋体" w:hAnsi="宋体" w:eastAsia="宋体" w:cs="宋体"/>
          <w:b w:val="0"/>
          <w:bCs w:val="0"/>
          <w:color w:val="000000"/>
          <w:sz w:val="21"/>
          <w:szCs w:val="21"/>
        </w:rPr>
        <w:t>。</w:t>
      </w:r>
    </w:p>
    <w:p>
      <w:pPr>
        <w:numPr>
          <w:ilvl w:val="-1"/>
          <w:numId w:val="0"/>
        </w:numPr>
        <w:spacing w:line="240" w:lineRule="auto"/>
        <w:ind w:left="0" w:firstLine="426" w:firstLineChars="200"/>
        <w:rPr>
          <w:rFonts w:hint="eastAsia" w:ascii="宋体" w:hAnsi="宋体" w:eastAsia="宋体" w:cs="宋体"/>
          <w:b w:val="0"/>
          <w:bCs w:val="0"/>
          <w:color w:val="000000"/>
          <w:sz w:val="21"/>
          <w:szCs w:val="21"/>
        </w:rPr>
      </w:pPr>
    </w:p>
    <w:p>
      <w:pPr>
        <w:numPr>
          <w:ilvl w:val="0"/>
          <w:numId w:val="6"/>
        </w:numPr>
        <w:spacing w:line="240" w:lineRule="auto"/>
        <w:ind w:left="0" w:firstLine="42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概念设计阶段</w:t>
      </w:r>
    </w:p>
    <w:p>
      <w:pPr>
        <w:numPr>
          <w:ilvl w:val="-1"/>
          <w:numId w:val="0"/>
        </w:numPr>
        <w:spacing w:line="240" w:lineRule="auto"/>
        <w:ind w:left="0" w:firstLine="426" w:firstLineChars="20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概念设计阶段根据采购人之需求，由设计单位提供设计服务如下：</w:t>
      </w:r>
    </w:p>
    <w:p>
      <w:pPr>
        <w:numPr>
          <w:ilvl w:val="-1"/>
          <w:numId w:val="0"/>
        </w:numPr>
        <w:spacing w:line="240" w:lineRule="auto"/>
        <w:ind w:left="0" w:firstLine="426" w:firstLineChars="20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（1）根据采购人提供的建筑图纸及相关专业（结构、水暖、电气、消防、监控等）图纸、设计任务书等相关资料，帮助采购人进一步发展设计概念和必要的室内布局调整。</w:t>
      </w:r>
    </w:p>
    <w:p>
      <w:pPr>
        <w:numPr>
          <w:ilvl w:val="-1"/>
          <w:numId w:val="0"/>
        </w:numPr>
        <w:spacing w:line="240" w:lineRule="auto"/>
        <w:ind w:left="0" w:firstLine="426" w:firstLineChars="20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（2）初步概念方案，包括平面布置图、反映必要空间意向图等，以及透视草图或意向图片以充分阐述设计概念。</w:t>
      </w:r>
    </w:p>
    <w:p>
      <w:pPr>
        <w:numPr>
          <w:ilvl w:val="-1"/>
          <w:numId w:val="0"/>
        </w:numPr>
        <w:spacing w:line="240" w:lineRule="auto"/>
        <w:ind w:left="0" w:firstLine="426" w:firstLineChars="200"/>
        <w:rPr>
          <w:rFonts w:hint="eastAsia" w:ascii="宋体" w:hAnsi="宋体" w:eastAsia="宋体" w:cs="宋体"/>
          <w:b w:val="0"/>
          <w:bCs w:val="0"/>
          <w:color w:val="000000"/>
          <w:sz w:val="21"/>
          <w:szCs w:val="21"/>
        </w:rPr>
      </w:pPr>
    </w:p>
    <w:p>
      <w:pPr>
        <w:numPr>
          <w:ilvl w:val="0"/>
          <w:numId w:val="6"/>
        </w:numPr>
        <w:spacing w:line="240" w:lineRule="auto"/>
        <w:ind w:left="0" w:firstLine="42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空间方案设计阶段</w:t>
      </w:r>
    </w:p>
    <w:p>
      <w:pPr>
        <w:numPr>
          <w:ilvl w:val="-1"/>
          <w:numId w:val="0"/>
        </w:numPr>
        <w:spacing w:line="240" w:lineRule="auto"/>
        <w:ind w:left="0" w:firstLine="426" w:firstLineChars="20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经采购人书面认可第一阶段所述之设计工作，设计单位将继续提供下列服务：</w:t>
      </w:r>
    </w:p>
    <w:p>
      <w:pPr>
        <w:numPr>
          <w:ilvl w:val="0"/>
          <w:numId w:val="7"/>
        </w:numPr>
        <w:spacing w:line="240" w:lineRule="auto"/>
        <w:ind w:left="0" w:firstLine="426" w:firstLineChars="20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运用效果图及意向图片来表达重要空间的设计效果，并结合其他表现手段来表达其余关键部分的设计效果。</w:t>
      </w:r>
    </w:p>
    <w:p>
      <w:pPr>
        <w:numPr>
          <w:ilvl w:val="0"/>
          <w:numId w:val="7"/>
        </w:numPr>
        <w:spacing w:line="240" w:lineRule="auto"/>
        <w:ind w:left="0" w:firstLine="426" w:firstLineChars="20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完整设计方案经采购人认可后，不再修改，并提交完整的方案设计电子版图册壹套。</w:t>
      </w:r>
    </w:p>
    <w:p>
      <w:pPr>
        <w:numPr>
          <w:ilvl w:val="-1"/>
          <w:numId w:val="0"/>
        </w:numPr>
        <w:spacing w:line="240" w:lineRule="auto"/>
        <w:ind w:left="420" w:firstLine="0"/>
        <w:rPr>
          <w:rFonts w:hint="eastAsia" w:ascii="宋体" w:hAnsi="宋体" w:eastAsia="宋体" w:cs="宋体"/>
          <w:b w:val="0"/>
          <w:bCs w:val="0"/>
          <w:color w:val="000000"/>
          <w:sz w:val="21"/>
          <w:szCs w:val="21"/>
        </w:rPr>
      </w:pPr>
    </w:p>
    <w:p>
      <w:pPr>
        <w:numPr>
          <w:ilvl w:val="0"/>
          <w:numId w:val="6"/>
        </w:numPr>
        <w:spacing w:line="240" w:lineRule="auto"/>
        <w:ind w:left="0" w:firstLine="42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施工图设计阶段</w:t>
      </w:r>
    </w:p>
    <w:p>
      <w:pPr>
        <w:numPr>
          <w:ilvl w:val="0"/>
          <w:numId w:val="8"/>
        </w:numPr>
        <w:spacing w:line="240" w:lineRule="auto"/>
        <w:ind w:left="0" w:firstLine="426" w:firstLineChars="20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原始结构图，平面布置图、墙体定位图，平面布置图、天花平面布置图、灯饰布置图，地面布置图、立面图、立面索引图、立面节点图、节点大样图（满足施工需要）剖面图；强电、弱电、监控点位图及电源开关位置图；装修材料明细表。</w:t>
      </w:r>
    </w:p>
    <w:p>
      <w:pPr>
        <w:numPr>
          <w:ilvl w:val="0"/>
          <w:numId w:val="8"/>
        </w:numPr>
        <w:spacing w:line="240" w:lineRule="auto"/>
        <w:ind w:left="0" w:firstLine="426" w:firstLineChars="20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施工图阶段完成后提供纸质图纸壹份。</w:t>
      </w:r>
    </w:p>
    <w:p>
      <w:pPr>
        <w:numPr>
          <w:ilvl w:val="0"/>
          <w:numId w:val="8"/>
        </w:numPr>
        <w:spacing w:line="240" w:lineRule="auto"/>
        <w:ind w:left="0" w:firstLine="426" w:firstLineChars="20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收到采购人施工图阶段付款后，提供电子版图纸壹份。</w:t>
      </w:r>
    </w:p>
    <w:p>
      <w:pPr>
        <w:numPr>
          <w:ilvl w:val="-1"/>
          <w:numId w:val="0"/>
        </w:numPr>
        <w:spacing w:line="240" w:lineRule="auto"/>
        <w:ind w:left="426" w:leftChars="200" w:firstLine="0" w:firstLineChars="0"/>
        <w:rPr>
          <w:rFonts w:hint="eastAsia" w:ascii="宋体" w:hAnsi="宋体" w:eastAsia="宋体" w:cs="宋体"/>
          <w:b w:val="0"/>
          <w:bCs w:val="0"/>
          <w:color w:val="000000"/>
          <w:sz w:val="21"/>
          <w:szCs w:val="21"/>
        </w:rPr>
      </w:pPr>
    </w:p>
    <w:p>
      <w:pPr>
        <w:numPr>
          <w:ilvl w:val="0"/>
          <w:numId w:val="6"/>
        </w:numPr>
        <w:spacing w:line="240" w:lineRule="auto"/>
        <w:ind w:left="0" w:firstLine="42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工程进度管理</w:t>
      </w:r>
    </w:p>
    <w:p>
      <w:pPr>
        <w:numPr>
          <w:ilvl w:val="-1"/>
          <w:numId w:val="0"/>
        </w:numPr>
        <w:spacing w:line="240" w:lineRule="auto"/>
        <w:ind w:left="0" w:firstLine="426" w:firstLineChars="20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在图纸交付采购人后，设计单位仍将提供装修施工及材料采购的项目管理工作：</w:t>
      </w:r>
    </w:p>
    <w:p>
      <w:pPr>
        <w:numPr>
          <w:ilvl w:val="-1"/>
          <w:numId w:val="0"/>
        </w:numPr>
        <w:spacing w:line="240" w:lineRule="auto"/>
        <w:ind w:left="0" w:firstLine="426" w:firstLineChars="20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（1）对接施工方、跟进施工现场、监控工期及质量、把控成本；</w:t>
      </w:r>
    </w:p>
    <w:p>
      <w:pPr>
        <w:numPr>
          <w:ilvl w:val="-1"/>
          <w:numId w:val="0"/>
        </w:numPr>
        <w:spacing w:line="240" w:lineRule="auto"/>
        <w:ind w:left="0" w:firstLine="426" w:firstLineChars="20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（2）对接各部门，起衔接和催促作用；</w:t>
      </w:r>
    </w:p>
    <w:p>
      <w:pPr>
        <w:numPr>
          <w:ilvl w:val="-1"/>
          <w:numId w:val="0"/>
        </w:numPr>
        <w:spacing w:line="240" w:lineRule="auto"/>
        <w:ind w:left="0" w:firstLine="426" w:firstLineChars="20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（3）配合采购人对施工方质量及工艺进行最终验收。</w:t>
      </w:r>
    </w:p>
    <w:p>
      <w:pPr>
        <w:numPr>
          <w:ilvl w:val="-1"/>
          <w:numId w:val="0"/>
        </w:numPr>
        <w:spacing w:line="240" w:lineRule="auto"/>
        <w:ind w:left="0" w:firstLine="426" w:firstLineChars="200"/>
        <w:rPr>
          <w:rFonts w:hint="eastAsia" w:ascii="宋体" w:hAnsi="宋体" w:eastAsia="宋体" w:cs="宋体"/>
          <w:b w:val="0"/>
          <w:bCs w:val="0"/>
          <w:color w:val="000000"/>
          <w:sz w:val="21"/>
          <w:szCs w:val="21"/>
        </w:rPr>
      </w:pPr>
    </w:p>
    <w:p>
      <w:pPr>
        <w:numPr>
          <w:ilvl w:val="0"/>
          <w:numId w:val="6"/>
        </w:numPr>
        <w:spacing w:line="240" w:lineRule="auto"/>
        <w:ind w:left="0" w:firstLine="42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其他</w:t>
      </w:r>
    </w:p>
    <w:p>
      <w:pPr>
        <w:numPr>
          <w:ilvl w:val="-1"/>
          <w:numId w:val="0"/>
        </w:numPr>
        <w:spacing w:line="240" w:lineRule="auto"/>
        <w:ind w:left="0" w:firstLine="426" w:firstLineChars="20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1）采购人需要设计单位的设计师配合外地选择加工定货，或需要设计人员到施工现场指导、跟踪或提供施工监督服务时，设计单位应积极配合采购人工作，在采购人要求的时间内派驻设计人员跟进工作，且费用由采购人承担。</w:t>
      </w:r>
    </w:p>
    <w:p>
      <w:pPr>
        <w:numPr>
          <w:ilvl w:val="-1"/>
          <w:numId w:val="0"/>
        </w:numPr>
        <w:spacing w:line="240" w:lineRule="auto"/>
        <w:ind w:left="0" w:firstLine="426" w:firstLineChars="20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（2）采购人委托设计单位承担本合同内容之外的工作服务，另行支付费用。</w:t>
      </w:r>
    </w:p>
    <w:p>
      <w:pPr>
        <w:numPr>
          <w:ilvl w:val="-1"/>
          <w:numId w:val="0"/>
        </w:numPr>
        <w:spacing w:line="240" w:lineRule="auto"/>
        <w:ind w:left="0" w:firstLine="426" w:firstLineChars="20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（3）设计变更：经采购人确认的平面布置方案、效果图设计方案，由于采购人或第三方原因导致的设计调整时，视为设计变更；设计单位视工作量的多少，收取相应费用。</w:t>
      </w:r>
    </w:p>
    <w:p>
      <w:pPr>
        <w:numPr>
          <w:ilvl w:val="-1"/>
          <w:numId w:val="0"/>
        </w:numPr>
        <w:spacing w:line="240" w:lineRule="auto"/>
        <w:ind w:left="0" w:firstLine="426" w:firstLineChars="200"/>
        <w:rPr>
          <w:rFonts w:hint="eastAsia" w:ascii="宋体" w:hAnsi="宋体" w:eastAsia="宋体" w:cs="宋体"/>
          <w:b w:val="0"/>
          <w:bCs w:val="0"/>
          <w:color w:val="000000"/>
          <w:sz w:val="21"/>
          <w:szCs w:val="21"/>
        </w:rPr>
      </w:pPr>
    </w:p>
    <w:p>
      <w:pPr>
        <w:numPr>
          <w:ilvl w:val="0"/>
          <w:numId w:val="6"/>
        </w:numPr>
        <w:spacing w:line="240" w:lineRule="auto"/>
        <w:ind w:left="0" w:firstLine="42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设计周期</w:t>
      </w:r>
    </w:p>
    <w:p>
      <w:pPr>
        <w:numPr>
          <w:ilvl w:val="-1"/>
          <w:numId w:val="0"/>
        </w:numPr>
        <w:spacing w:line="240" w:lineRule="auto"/>
        <w:ind w:left="0" w:firstLine="426" w:firstLineChars="20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设计任务周期配合项目进度周期，整体项目设计周期预计30天左右，自签订合同之日起计算。</w:t>
      </w:r>
    </w:p>
    <w:p>
      <w:pPr>
        <w:numPr>
          <w:ilvl w:val="-1"/>
          <w:numId w:val="0"/>
        </w:numPr>
        <w:spacing w:line="240" w:lineRule="auto"/>
        <w:ind w:left="0" w:firstLine="426" w:firstLineChars="200"/>
        <w:rPr>
          <w:rFonts w:hint="eastAsia" w:ascii="宋体" w:hAnsi="宋体" w:eastAsia="宋体" w:cs="宋体"/>
          <w:b w:val="0"/>
          <w:bCs w:val="0"/>
          <w:color w:val="000000"/>
          <w:sz w:val="21"/>
          <w:szCs w:val="21"/>
        </w:rPr>
      </w:pPr>
    </w:p>
    <w:p>
      <w:pPr>
        <w:numPr>
          <w:ilvl w:val="0"/>
          <w:numId w:val="6"/>
        </w:numPr>
        <w:spacing w:line="240" w:lineRule="auto"/>
        <w:ind w:left="0" w:firstLine="42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采购人享有设计单位向采购人交付的一切成果及其片段的著作权、所有权，设计单位仅享有署名权及作为公司设计案例对外展示的权利。</w:t>
      </w:r>
    </w:p>
    <w:p>
      <w:pPr>
        <w:numPr>
          <w:ilvl w:val="-1"/>
          <w:numId w:val="0"/>
        </w:numPr>
        <w:spacing w:line="240" w:lineRule="auto"/>
        <w:ind w:left="420" w:firstLine="0"/>
        <w:rPr>
          <w:rFonts w:hint="eastAsia" w:ascii="宋体" w:hAnsi="宋体" w:eastAsia="宋体" w:cs="宋体"/>
          <w:b w:val="0"/>
          <w:bCs w:val="0"/>
          <w:color w:val="000000"/>
          <w:sz w:val="21"/>
          <w:szCs w:val="21"/>
        </w:rPr>
      </w:pPr>
    </w:p>
    <w:p>
      <w:pPr>
        <w:numPr>
          <w:ilvl w:val="0"/>
          <w:numId w:val="6"/>
        </w:numPr>
        <w:spacing w:line="240" w:lineRule="auto"/>
        <w:ind w:left="0" w:firstLine="42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其它需求</w:t>
      </w:r>
    </w:p>
    <w:p>
      <w:pPr>
        <w:numPr>
          <w:ilvl w:val="-1"/>
          <w:numId w:val="0"/>
        </w:numPr>
        <w:spacing w:line="240" w:lineRule="auto"/>
        <w:ind w:left="420" w:firstLine="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（1）原办公区改造为展厅。</w:t>
      </w:r>
    </w:p>
    <w:p>
      <w:pPr>
        <w:numPr>
          <w:ilvl w:val="-1"/>
          <w:numId w:val="0"/>
        </w:numPr>
        <w:spacing w:line="240" w:lineRule="auto"/>
        <w:ind w:left="420" w:firstLine="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（2）洗手间地毯区、电影院前外立面、咖啡区软装美化设计。大理石地面保留。</w:t>
      </w:r>
    </w:p>
    <w:p>
      <w:pPr>
        <w:numPr>
          <w:ilvl w:val="-1"/>
          <w:numId w:val="0"/>
        </w:numPr>
        <w:spacing w:line="240" w:lineRule="auto"/>
        <w:ind w:left="420" w:firstLine="0"/>
        <w:rPr>
          <w:rFonts w:hint="eastAsia" w:ascii="宋体" w:hAnsi="宋体" w:eastAsia="宋体" w:cs="宋体"/>
          <w:b w:val="0"/>
          <w:bCs w:val="0"/>
          <w:color w:val="000000"/>
          <w:sz w:val="21"/>
          <w:szCs w:val="21"/>
        </w:rPr>
      </w:pPr>
      <w:r>
        <w:rPr>
          <w:rFonts w:hint="eastAsia" w:ascii="宋体" w:hAnsi="宋体" w:eastAsia="宋体" w:cs="宋体"/>
          <w:b w:val="0"/>
          <w:bCs w:val="0"/>
          <w:color w:val="000000"/>
          <w:sz w:val="21"/>
          <w:szCs w:val="21"/>
        </w:rPr>
        <w:t>（3）48楼改造设计工程造价不高于80万。</w:t>
      </w:r>
    </w:p>
    <w:p>
      <w:pPr>
        <w:numPr>
          <w:ilvl w:val="-1"/>
          <w:numId w:val="0"/>
        </w:numPr>
        <w:spacing w:line="240" w:lineRule="auto"/>
        <w:ind w:left="420" w:firstLine="0"/>
        <w:rPr>
          <w:rFonts w:hint="eastAsia" w:ascii="宋体" w:hAnsi="宋体" w:eastAsia="宋体" w:cs="宋体"/>
          <w:b/>
          <w:bCs/>
          <w:color w:val="000000"/>
          <w:sz w:val="21"/>
          <w:szCs w:val="21"/>
        </w:rPr>
      </w:pPr>
      <w:r>
        <w:rPr>
          <w:rFonts w:hint="eastAsia" w:ascii="宋体" w:hAnsi="宋体" w:eastAsia="宋体" w:cs="宋体"/>
          <w:b w:val="0"/>
          <w:bCs w:val="0"/>
          <w:color w:val="000000"/>
          <w:sz w:val="21"/>
          <w:szCs w:val="21"/>
        </w:rPr>
        <w:t>（4）展厅需配密码锁、监控需接入美术馆监控平台。</w:t>
      </w:r>
    </w:p>
    <w:p>
      <w:pPr>
        <w:tabs>
          <w:tab w:val="left" w:pos="945"/>
        </w:tabs>
        <w:autoSpaceDE w:val="0"/>
        <w:autoSpaceDN w:val="0"/>
        <w:adjustRightInd w:val="0"/>
        <w:spacing w:line="240" w:lineRule="auto"/>
        <w:ind w:firstLine="426" w:firstLineChars="200"/>
        <w:jc w:val="left"/>
        <w:textAlignment w:val="baseline"/>
        <w:rPr>
          <w:rFonts w:hint="eastAsia" w:ascii="宋体" w:hAnsi="宋体" w:eastAsia="宋体" w:cs="宋体"/>
          <w:color w:val="000000" w:themeColor="text1"/>
          <w:sz w:val="21"/>
          <w:szCs w:val="21"/>
          <w14:textFill>
            <w14:solidFill>
              <w14:schemeClr w14:val="tx1"/>
            </w14:solidFill>
          </w14:textFill>
        </w:rPr>
      </w:pPr>
    </w:p>
    <w:p>
      <w:pPr>
        <w:numPr>
          <w:ilvl w:val="0"/>
          <w:numId w:val="5"/>
        </w:numPr>
        <w:spacing w:line="240" w:lineRule="auto"/>
        <w:ind w:firstLine="42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*付款方法</w:t>
      </w:r>
    </w:p>
    <w:p>
      <w:pPr>
        <w:tabs>
          <w:tab w:val="left" w:pos="945"/>
        </w:tabs>
        <w:autoSpaceDE w:val="0"/>
        <w:autoSpaceDN w:val="0"/>
        <w:adjustRightInd w:val="0"/>
        <w:spacing w:line="240" w:lineRule="auto"/>
        <w:ind w:firstLine="426" w:firstLineChars="200"/>
        <w:jc w:val="left"/>
        <w:textAlignment w:val="baseline"/>
        <w:rPr>
          <w:rFonts w:hint="eastAsia" w:ascii="宋体" w:hAnsi="宋体" w:eastAsia="宋体" w:cs="宋体"/>
          <w:b w:val="0"/>
          <w:bCs/>
          <w:color w:val="auto"/>
          <w:szCs w:val="21"/>
          <w:u w:val="single"/>
        </w:rPr>
      </w:pPr>
      <w:r>
        <w:rPr>
          <w:rFonts w:hint="eastAsia" w:ascii="宋体" w:hAnsi="宋体" w:eastAsia="宋体" w:cs="宋体"/>
          <w:b w:val="0"/>
          <w:bCs/>
          <w:color w:val="auto"/>
          <w:szCs w:val="21"/>
          <w:u w:val="single"/>
        </w:rPr>
        <w:t>合同签订后支付60%，乙方设计完成并由甲方验收确认后，乙方向甲方开据发票，甲方支付剩余的40%。</w:t>
      </w:r>
      <w:r>
        <w:rPr>
          <w:rFonts w:hint="eastAsia" w:ascii="宋体" w:hAnsi="宋体" w:eastAsia="宋体" w:cs="宋体"/>
          <w:b/>
          <w:bCs w:val="0"/>
          <w:color w:val="FF0000"/>
          <w:szCs w:val="21"/>
          <w:u w:val="single"/>
        </w:rPr>
        <w:t>（必需提供增值税专用发票）</w:t>
      </w:r>
    </w:p>
    <w:p>
      <w:pPr>
        <w:tabs>
          <w:tab w:val="left" w:pos="945"/>
        </w:tabs>
        <w:autoSpaceDE w:val="0"/>
        <w:autoSpaceDN w:val="0"/>
        <w:adjustRightInd w:val="0"/>
        <w:spacing w:line="240" w:lineRule="auto"/>
        <w:ind w:firstLine="426" w:firstLineChars="200"/>
        <w:textAlignment w:val="baseline"/>
        <w:rPr>
          <w:rFonts w:hint="eastAsia" w:ascii="宋体" w:hAnsi="宋体" w:eastAsia="宋体" w:cs="宋体"/>
          <w:b w:val="0"/>
          <w:bCs/>
          <w:color w:val="auto"/>
          <w:szCs w:val="21"/>
          <w:u w:val="single"/>
        </w:rPr>
      </w:pPr>
      <w:r>
        <w:rPr>
          <w:rFonts w:hint="eastAsia" w:ascii="宋体" w:hAnsi="宋体" w:eastAsia="宋体" w:cs="宋体"/>
          <w:b w:val="0"/>
          <w:bCs/>
          <w:color w:val="auto"/>
          <w:szCs w:val="21"/>
          <w:u w:val="single"/>
        </w:rPr>
        <w:t>注：上述费用为含税价，包括活动相关所有费用。供应商报价时需单列增值税率。</w:t>
      </w:r>
    </w:p>
    <w:p>
      <w:pPr>
        <w:pStyle w:val="2"/>
        <w:spacing w:line="240" w:lineRule="auto"/>
        <w:rPr>
          <w:rFonts w:hint="eastAsia" w:ascii="宋体" w:hAnsi="宋体" w:eastAsia="宋体" w:cs="宋体"/>
          <w:sz w:val="21"/>
          <w:szCs w:val="21"/>
        </w:rPr>
      </w:pPr>
    </w:p>
    <w:p>
      <w:pPr>
        <w:numPr>
          <w:ilvl w:val="0"/>
          <w:numId w:val="5"/>
        </w:numPr>
        <w:spacing w:line="240" w:lineRule="auto"/>
        <w:ind w:firstLine="42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*.履约评价考核</w:t>
      </w:r>
    </w:p>
    <w:p>
      <w:pPr>
        <w:pStyle w:val="2"/>
        <w:numPr>
          <w:ilvl w:val="0"/>
          <w:numId w:val="9"/>
        </w:numPr>
        <w:spacing w:line="240" w:lineRule="auto"/>
        <w:ind w:firstLine="420"/>
        <w:rPr>
          <w:rFonts w:hint="eastAsia" w:ascii="宋体" w:hAnsi="宋体" w:eastAsia="宋体" w:cs="宋体"/>
          <w:sz w:val="21"/>
          <w:szCs w:val="21"/>
        </w:rPr>
      </w:pPr>
      <w:r>
        <w:rPr>
          <w:rFonts w:hint="eastAsia" w:ascii="宋体" w:hAnsi="宋体" w:eastAsia="宋体" w:cs="宋体"/>
          <w:sz w:val="21"/>
          <w:szCs w:val="21"/>
        </w:rPr>
        <w:t>履约评价考核方式：</w:t>
      </w:r>
    </w:p>
    <w:p>
      <w:pPr>
        <w:pStyle w:val="2"/>
        <w:spacing w:line="240" w:lineRule="auto"/>
        <w:ind w:firstLine="426" w:firstLineChars="200"/>
        <w:rPr>
          <w:rFonts w:hint="eastAsia" w:ascii="宋体" w:hAnsi="宋体" w:eastAsia="宋体" w:cs="宋体"/>
          <w:sz w:val="21"/>
          <w:szCs w:val="21"/>
        </w:rPr>
      </w:pPr>
      <w:r>
        <w:rPr>
          <w:rFonts w:hint="eastAsia" w:ascii="宋体" w:hAnsi="宋体" w:eastAsia="宋体" w:cs="宋体"/>
          <w:sz w:val="21"/>
          <w:szCs w:val="21"/>
        </w:rPr>
        <w:t>乙方完成本合同项下全部服务事项后20个工作日内向甲方提交项目结算报告，经甲方对照本合同约定的考核内容考核合格后，甲方向乙方支付尾款。项目成果应取得甲方认可，否则应进行相应的履约扣减，乙方不得因此主张任何违约或赔偿等权利，乙方服务考核评价按下表执行。</w:t>
      </w:r>
    </w:p>
    <w:p>
      <w:pPr>
        <w:pStyle w:val="2"/>
        <w:spacing w:line="240" w:lineRule="auto"/>
        <w:ind w:firstLine="426" w:firstLineChars="200"/>
        <w:rPr>
          <w:rFonts w:hint="eastAsia" w:ascii="宋体" w:hAnsi="宋体" w:eastAsia="宋体" w:cs="宋体"/>
          <w:sz w:val="21"/>
          <w:szCs w:val="21"/>
        </w:rPr>
      </w:pPr>
      <w:r>
        <w:rPr>
          <w:rFonts w:hint="eastAsia" w:ascii="宋体" w:hAnsi="宋体" w:eastAsia="宋体" w:cs="宋体"/>
          <w:sz w:val="21"/>
          <w:szCs w:val="21"/>
        </w:rPr>
        <w:t>乙方履约评价考核按下表执行，其中履约评价考核得分在60分以下（不含本数）者为不合格：</w:t>
      </w:r>
    </w:p>
    <w:tbl>
      <w:tblPr>
        <w:tblStyle w:val="16"/>
        <w:tblW w:w="8526" w:type="dxa"/>
        <w:tblInd w:w="0" w:type="dxa"/>
        <w:tblLayout w:type="autofit"/>
        <w:tblCellMar>
          <w:top w:w="0" w:type="dxa"/>
          <w:left w:w="108" w:type="dxa"/>
          <w:bottom w:w="0" w:type="dxa"/>
          <w:right w:w="108" w:type="dxa"/>
        </w:tblCellMar>
      </w:tblPr>
      <w:tblGrid>
        <w:gridCol w:w="2301"/>
        <w:gridCol w:w="4283"/>
        <w:gridCol w:w="1942"/>
      </w:tblGrid>
      <w:tr>
        <w:tblPrEx>
          <w:tblCellMar>
            <w:top w:w="0" w:type="dxa"/>
            <w:left w:w="108" w:type="dxa"/>
            <w:bottom w:w="0" w:type="dxa"/>
            <w:right w:w="108" w:type="dxa"/>
          </w:tblCellMar>
        </w:tblPrEx>
        <w:trPr>
          <w:trHeight w:val="477" w:hRule="atLeast"/>
        </w:trPr>
        <w:tc>
          <w:tcPr>
            <w:tcW w:w="1349" w:type="pct"/>
            <w:tcBorders>
              <w:top w:val="single" w:color="000000" w:sz="4" w:space="0"/>
              <w:left w:val="single" w:color="000000" w:sz="4" w:space="0"/>
              <w:bottom w:val="single" w:color="000000" w:sz="4" w:space="0"/>
              <w:right w:val="single" w:color="000000" w:sz="4" w:space="0"/>
            </w:tcBorders>
            <w:noWrap w:val="0"/>
            <w:vAlign w:val="bottom"/>
          </w:tcPr>
          <w:p>
            <w:pPr>
              <w:widowControl w:val="0"/>
              <w:adjustRightInd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履约评价得分</w:t>
            </w:r>
          </w:p>
        </w:tc>
        <w:tc>
          <w:tcPr>
            <w:tcW w:w="2511" w:type="pct"/>
            <w:tcBorders>
              <w:top w:val="single" w:color="000000" w:sz="4" w:space="0"/>
              <w:left w:val="nil"/>
              <w:bottom w:val="single" w:color="000000" w:sz="4" w:space="0"/>
              <w:right w:val="single" w:color="000000" w:sz="4" w:space="0"/>
            </w:tcBorders>
            <w:noWrap w:val="0"/>
            <w:vAlign w:val="bottom"/>
          </w:tcPr>
          <w:p>
            <w:pPr>
              <w:widowControl w:val="0"/>
              <w:adjustRightInd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对应支付的合同尾款</w:t>
            </w:r>
          </w:p>
        </w:tc>
        <w:tc>
          <w:tcPr>
            <w:tcW w:w="1138" w:type="pct"/>
            <w:tcBorders>
              <w:top w:val="single" w:color="000000" w:sz="4" w:space="0"/>
              <w:left w:val="nil"/>
              <w:bottom w:val="single" w:color="000000" w:sz="4" w:space="0"/>
              <w:right w:val="single" w:color="000000" w:sz="4" w:space="0"/>
            </w:tcBorders>
            <w:noWrap w:val="0"/>
            <w:vAlign w:val="bottom"/>
          </w:tcPr>
          <w:p>
            <w:pPr>
              <w:widowControl w:val="0"/>
              <w:adjustRightInd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备注</w:t>
            </w:r>
          </w:p>
        </w:tc>
      </w:tr>
      <w:tr>
        <w:tblPrEx>
          <w:tblCellMar>
            <w:top w:w="0" w:type="dxa"/>
            <w:left w:w="108" w:type="dxa"/>
            <w:bottom w:w="0" w:type="dxa"/>
            <w:right w:w="108" w:type="dxa"/>
          </w:tblCellMar>
        </w:tblPrEx>
        <w:trPr>
          <w:trHeight w:val="167" w:hRule="atLeast"/>
        </w:trPr>
        <w:tc>
          <w:tcPr>
            <w:tcW w:w="1349" w:type="pct"/>
            <w:tcBorders>
              <w:top w:val="single" w:color="000000" w:sz="4" w:space="0"/>
              <w:left w:val="single" w:color="000000" w:sz="4" w:space="0"/>
              <w:bottom w:val="single" w:color="000000" w:sz="4" w:space="0"/>
              <w:right w:val="single" w:color="000000" w:sz="4" w:space="0"/>
            </w:tcBorders>
            <w:noWrap w:val="0"/>
            <w:vAlign w:val="bottom"/>
          </w:tcPr>
          <w:p>
            <w:pPr>
              <w:widowControl w:val="0"/>
              <w:adjustRightInd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80分以上（含80分）</w:t>
            </w:r>
          </w:p>
        </w:tc>
        <w:tc>
          <w:tcPr>
            <w:tcW w:w="2511" w:type="pct"/>
            <w:tcBorders>
              <w:top w:val="single" w:color="000000" w:sz="4" w:space="0"/>
              <w:left w:val="nil"/>
              <w:bottom w:val="single" w:color="000000" w:sz="4" w:space="0"/>
              <w:right w:val="single" w:color="000000" w:sz="4" w:space="0"/>
            </w:tcBorders>
            <w:noWrap w:val="0"/>
            <w:vAlign w:val="bottom"/>
          </w:tcPr>
          <w:p>
            <w:pPr>
              <w:widowControl w:val="0"/>
              <w:adjustRightInd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lang w:val="en-US" w:eastAsia="zh-CN"/>
              </w:rPr>
              <w:t>剩余尾款全额支付</w:t>
            </w:r>
          </w:p>
        </w:tc>
        <w:tc>
          <w:tcPr>
            <w:tcW w:w="1138" w:type="pct"/>
            <w:tcBorders>
              <w:top w:val="single" w:color="000000" w:sz="4" w:space="0"/>
              <w:left w:val="nil"/>
              <w:bottom w:val="single" w:color="000000" w:sz="4" w:space="0"/>
              <w:right w:val="single" w:color="000000" w:sz="4" w:space="0"/>
            </w:tcBorders>
            <w:noWrap w:val="0"/>
            <w:vAlign w:val="bottom"/>
          </w:tcPr>
          <w:p>
            <w:pPr>
              <w:widowControl w:val="0"/>
              <w:adjustRightInd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w:t>
            </w:r>
          </w:p>
        </w:tc>
      </w:tr>
      <w:tr>
        <w:tblPrEx>
          <w:tblCellMar>
            <w:top w:w="0" w:type="dxa"/>
            <w:left w:w="108" w:type="dxa"/>
            <w:bottom w:w="0" w:type="dxa"/>
            <w:right w:w="108" w:type="dxa"/>
          </w:tblCellMar>
        </w:tblPrEx>
        <w:trPr>
          <w:trHeight w:val="831" w:hRule="atLeast"/>
        </w:trPr>
        <w:tc>
          <w:tcPr>
            <w:tcW w:w="1349" w:type="pct"/>
            <w:tcBorders>
              <w:top w:val="single" w:color="000000" w:sz="4" w:space="0"/>
              <w:left w:val="single" w:color="000000" w:sz="4" w:space="0"/>
              <w:right w:val="single" w:color="000000" w:sz="4" w:space="0"/>
            </w:tcBorders>
            <w:noWrap w:val="0"/>
            <w:vAlign w:val="center"/>
          </w:tcPr>
          <w:p>
            <w:pPr>
              <w:widowControl w:val="0"/>
              <w:adjustRightInd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lang w:eastAsia="zh-CN"/>
              </w:rPr>
              <w:t>6</w:t>
            </w:r>
            <w:r>
              <w:rPr>
                <w:rFonts w:hint="eastAsia" w:ascii="宋体" w:hAnsi="宋体" w:eastAsia="宋体" w:cs="宋体"/>
                <w:szCs w:val="21"/>
                <w:highlight w:val="none"/>
              </w:rPr>
              <w:t>0分以上，80分以下</w:t>
            </w:r>
          </w:p>
        </w:tc>
        <w:tc>
          <w:tcPr>
            <w:tcW w:w="2511" w:type="pct"/>
            <w:tcBorders>
              <w:top w:val="single" w:color="000000" w:sz="4" w:space="0"/>
              <w:left w:val="nil"/>
              <w:right w:val="single" w:color="000000" w:sz="4" w:space="0"/>
            </w:tcBorders>
            <w:noWrap w:val="0"/>
            <w:vAlign w:val="bottom"/>
          </w:tcPr>
          <w:p>
            <w:pPr>
              <w:widowControl w:val="0"/>
              <w:adjustRightInd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以80分为基准，履约评价实际得分每少1分，对应扣减合同总价款的1%，扣除后结算余款</w:t>
            </w:r>
          </w:p>
        </w:tc>
        <w:tc>
          <w:tcPr>
            <w:tcW w:w="1138" w:type="pct"/>
            <w:tcBorders>
              <w:top w:val="single" w:color="000000" w:sz="4" w:space="0"/>
              <w:left w:val="nil"/>
              <w:bottom w:val="single" w:color="000000" w:sz="4" w:space="0"/>
              <w:right w:val="single" w:color="000000" w:sz="4" w:space="0"/>
            </w:tcBorders>
            <w:noWrap w:val="0"/>
            <w:vAlign w:val="bottom"/>
          </w:tcPr>
          <w:p>
            <w:pPr>
              <w:widowControl w:val="0"/>
              <w:adjustRightInd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w:t>
            </w:r>
          </w:p>
          <w:p>
            <w:pPr>
              <w:widowControl w:val="0"/>
              <w:adjustRightInd w:val="0"/>
              <w:spacing w:line="240" w:lineRule="auto"/>
              <w:jc w:val="both"/>
              <w:rPr>
                <w:rFonts w:hint="eastAsia" w:ascii="宋体" w:hAnsi="宋体" w:eastAsia="宋体" w:cs="宋体"/>
                <w:szCs w:val="21"/>
                <w:highlight w:val="none"/>
              </w:rPr>
            </w:pPr>
          </w:p>
        </w:tc>
      </w:tr>
      <w:tr>
        <w:tblPrEx>
          <w:tblCellMar>
            <w:top w:w="0" w:type="dxa"/>
            <w:left w:w="108" w:type="dxa"/>
            <w:bottom w:w="0" w:type="dxa"/>
            <w:right w:w="108" w:type="dxa"/>
          </w:tblCellMar>
        </w:tblPrEx>
        <w:trPr>
          <w:trHeight w:val="477" w:hRule="atLeast"/>
        </w:trPr>
        <w:tc>
          <w:tcPr>
            <w:tcW w:w="1349" w:type="pct"/>
            <w:tcBorders>
              <w:top w:val="single" w:color="000000" w:sz="4" w:space="0"/>
              <w:left w:val="single" w:color="000000" w:sz="4" w:space="0"/>
              <w:bottom w:val="single" w:color="000000" w:sz="4" w:space="0"/>
              <w:right w:val="single" w:color="000000" w:sz="4" w:space="0"/>
            </w:tcBorders>
            <w:noWrap w:val="0"/>
            <w:vAlign w:val="bottom"/>
          </w:tcPr>
          <w:p>
            <w:pPr>
              <w:widowControl w:val="0"/>
              <w:adjustRightInd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60分以下</w:t>
            </w:r>
          </w:p>
        </w:tc>
        <w:tc>
          <w:tcPr>
            <w:tcW w:w="2511" w:type="pct"/>
            <w:tcBorders>
              <w:top w:val="single" w:color="000000" w:sz="4" w:space="0"/>
              <w:left w:val="nil"/>
              <w:bottom w:val="single" w:color="000000" w:sz="4" w:space="0"/>
              <w:right w:val="single" w:color="000000" w:sz="4" w:space="0"/>
            </w:tcBorders>
            <w:noWrap w:val="0"/>
            <w:vAlign w:val="bottom"/>
          </w:tcPr>
          <w:p>
            <w:pPr>
              <w:widowControl w:val="0"/>
              <w:adjustRightInd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lang w:val="en-US" w:eastAsia="zh-CN"/>
              </w:rPr>
              <w:t>不付尾款</w:t>
            </w:r>
            <w:r>
              <w:rPr>
                <w:rFonts w:hint="eastAsia" w:ascii="宋体" w:hAnsi="宋体" w:eastAsia="宋体" w:cs="宋体"/>
                <w:szCs w:val="21"/>
                <w:highlight w:val="none"/>
              </w:rPr>
              <w:t>（不合格）</w:t>
            </w:r>
          </w:p>
        </w:tc>
        <w:tc>
          <w:tcPr>
            <w:tcW w:w="1138" w:type="pct"/>
            <w:tcBorders>
              <w:top w:val="single" w:color="000000" w:sz="4" w:space="0"/>
              <w:left w:val="nil"/>
              <w:bottom w:val="single" w:color="000000" w:sz="4" w:space="0"/>
              <w:right w:val="single" w:color="000000" w:sz="4" w:space="0"/>
            </w:tcBorders>
            <w:noWrap w:val="0"/>
            <w:vAlign w:val="bottom"/>
          </w:tcPr>
          <w:p>
            <w:pPr>
              <w:widowControl w:val="0"/>
              <w:adjustRightInd w:val="0"/>
              <w:spacing w:line="240" w:lineRule="auto"/>
              <w:jc w:val="center"/>
              <w:rPr>
                <w:rFonts w:hint="eastAsia" w:ascii="宋体" w:hAnsi="宋体" w:eastAsia="宋体" w:cs="宋体"/>
                <w:szCs w:val="21"/>
                <w:highlight w:val="none"/>
              </w:rPr>
            </w:pPr>
            <w:r>
              <w:rPr>
                <w:rStyle w:val="21"/>
                <w:rFonts w:hint="eastAsia" w:ascii="宋体" w:hAnsi="宋体" w:eastAsia="宋体" w:cs="宋体"/>
                <w:b w:val="0"/>
                <w:bCs w:val="0"/>
                <w:color w:val="auto"/>
                <w:sz w:val="21"/>
                <w:szCs w:val="21"/>
                <w:highlight w:val="none"/>
                <w:lang w:val="en-US" w:eastAsia="zh-CN"/>
              </w:rPr>
              <w:t>并被剔除供应商库</w:t>
            </w:r>
          </w:p>
        </w:tc>
      </w:tr>
    </w:tbl>
    <w:p>
      <w:pPr>
        <w:pStyle w:val="2"/>
        <w:spacing w:line="240" w:lineRule="auto"/>
        <w:rPr>
          <w:rFonts w:hint="eastAsia" w:ascii="宋体" w:hAnsi="宋体" w:eastAsia="宋体" w:cs="宋体"/>
          <w:sz w:val="21"/>
          <w:szCs w:val="21"/>
        </w:rPr>
      </w:pPr>
    </w:p>
    <w:p>
      <w:pPr>
        <w:pStyle w:val="2"/>
        <w:numPr>
          <w:ilvl w:val="0"/>
          <w:numId w:val="9"/>
        </w:numPr>
        <w:spacing w:line="240" w:lineRule="auto"/>
        <w:ind w:firstLine="420"/>
        <w:rPr>
          <w:rFonts w:hint="eastAsia" w:ascii="宋体" w:hAnsi="宋体" w:eastAsia="宋体" w:cs="宋体"/>
          <w:sz w:val="21"/>
          <w:szCs w:val="21"/>
        </w:rPr>
      </w:pPr>
      <w:r>
        <w:rPr>
          <w:rFonts w:hint="eastAsia" w:ascii="宋体" w:hAnsi="宋体" w:eastAsia="宋体" w:cs="宋体"/>
          <w:sz w:val="21"/>
          <w:szCs w:val="21"/>
        </w:rPr>
        <w:t>履约评价管理办法：</w:t>
      </w:r>
    </w:p>
    <w:p>
      <w:pPr>
        <w:pStyle w:val="2"/>
        <w:numPr>
          <w:ilvl w:val="0"/>
          <w:numId w:val="10"/>
        </w:numPr>
        <w:spacing w:line="240" w:lineRule="auto"/>
        <w:ind w:firstLine="213" w:firstLineChars="100"/>
        <w:rPr>
          <w:rFonts w:hint="eastAsia" w:ascii="宋体" w:hAnsi="宋体" w:eastAsia="宋体" w:cs="宋体"/>
          <w:sz w:val="21"/>
          <w:szCs w:val="21"/>
        </w:rPr>
      </w:pPr>
      <w:r>
        <w:rPr>
          <w:rFonts w:hint="eastAsia" w:ascii="宋体" w:hAnsi="宋体" w:eastAsia="宋体" w:cs="宋体"/>
          <w:sz w:val="21"/>
          <w:szCs w:val="21"/>
        </w:rPr>
        <w:t>根据得分（用字母“N”表示）情况，履约评价结果分为以下五个等级：</w:t>
      </w:r>
    </w:p>
    <w:p>
      <w:pPr>
        <w:pStyle w:val="2"/>
        <w:numPr>
          <w:ilvl w:val="0"/>
          <w:numId w:val="11"/>
        </w:numPr>
        <w:spacing w:line="240" w:lineRule="auto"/>
        <w:ind w:firstLine="0" w:firstLineChars="0"/>
        <w:rPr>
          <w:rFonts w:hint="eastAsia" w:ascii="宋体" w:hAnsi="宋体" w:eastAsia="宋体" w:cs="宋体"/>
          <w:sz w:val="21"/>
          <w:szCs w:val="21"/>
        </w:rPr>
      </w:pPr>
      <w:r>
        <w:rPr>
          <w:rFonts w:hint="eastAsia" w:ascii="宋体" w:hAnsi="宋体" w:eastAsia="宋体" w:cs="宋体"/>
          <w:sz w:val="21"/>
          <w:szCs w:val="21"/>
        </w:rPr>
        <w:t>当N≥90分时，评价结果为优秀；</w:t>
      </w:r>
    </w:p>
    <w:p>
      <w:pPr>
        <w:pStyle w:val="2"/>
        <w:numPr>
          <w:ilvl w:val="0"/>
          <w:numId w:val="11"/>
        </w:numPr>
        <w:spacing w:line="240" w:lineRule="auto"/>
        <w:rPr>
          <w:rFonts w:hint="eastAsia" w:ascii="宋体" w:hAnsi="宋体" w:eastAsia="宋体" w:cs="宋体"/>
          <w:sz w:val="21"/>
          <w:szCs w:val="21"/>
        </w:rPr>
      </w:pPr>
      <w:r>
        <w:rPr>
          <w:rFonts w:hint="eastAsia" w:ascii="宋体" w:hAnsi="宋体" w:eastAsia="宋体" w:cs="宋体"/>
          <w:sz w:val="21"/>
          <w:szCs w:val="21"/>
        </w:rPr>
        <w:t>当80≤N＜90分时，评价结果为良好；</w:t>
      </w:r>
    </w:p>
    <w:p>
      <w:pPr>
        <w:pStyle w:val="2"/>
        <w:numPr>
          <w:ilvl w:val="0"/>
          <w:numId w:val="11"/>
        </w:numPr>
        <w:spacing w:line="240" w:lineRule="auto"/>
        <w:rPr>
          <w:rFonts w:hint="eastAsia" w:ascii="宋体" w:hAnsi="宋体" w:eastAsia="宋体" w:cs="宋体"/>
          <w:sz w:val="21"/>
          <w:szCs w:val="21"/>
        </w:rPr>
      </w:pPr>
      <w:r>
        <w:rPr>
          <w:rFonts w:hint="eastAsia" w:ascii="宋体" w:hAnsi="宋体" w:eastAsia="宋体" w:cs="宋体"/>
          <w:sz w:val="21"/>
          <w:szCs w:val="21"/>
        </w:rPr>
        <w:t>当70≤N＜80分时，评价结果为中等；</w:t>
      </w:r>
    </w:p>
    <w:p>
      <w:pPr>
        <w:pStyle w:val="2"/>
        <w:numPr>
          <w:ilvl w:val="0"/>
          <w:numId w:val="11"/>
        </w:numPr>
        <w:spacing w:line="240" w:lineRule="auto"/>
        <w:rPr>
          <w:rFonts w:hint="eastAsia" w:ascii="宋体" w:hAnsi="宋体" w:eastAsia="宋体" w:cs="宋体"/>
          <w:sz w:val="21"/>
          <w:szCs w:val="21"/>
        </w:rPr>
      </w:pPr>
      <w:r>
        <w:rPr>
          <w:rFonts w:hint="eastAsia" w:ascii="宋体" w:hAnsi="宋体" w:eastAsia="宋体" w:cs="宋体"/>
          <w:sz w:val="21"/>
          <w:szCs w:val="21"/>
        </w:rPr>
        <w:t>当60≤N＜70分时，评价结果为合格；</w:t>
      </w:r>
    </w:p>
    <w:p>
      <w:pPr>
        <w:pStyle w:val="2"/>
        <w:numPr>
          <w:ilvl w:val="0"/>
          <w:numId w:val="11"/>
        </w:numPr>
        <w:spacing w:line="240" w:lineRule="auto"/>
        <w:rPr>
          <w:rFonts w:hint="eastAsia" w:ascii="宋体" w:hAnsi="宋体" w:eastAsia="宋体" w:cs="宋体"/>
          <w:sz w:val="21"/>
          <w:szCs w:val="21"/>
        </w:rPr>
      </w:pPr>
      <w:r>
        <w:rPr>
          <w:rFonts w:hint="eastAsia" w:ascii="宋体" w:hAnsi="宋体" w:eastAsia="宋体" w:cs="宋体"/>
          <w:sz w:val="21"/>
          <w:szCs w:val="21"/>
        </w:rPr>
        <w:t>当N＜60分时，评价结果为不合格。</w:t>
      </w:r>
    </w:p>
    <w:p>
      <w:pPr>
        <w:pStyle w:val="2"/>
        <w:numPr>
          <w:ilvl w:val="0"/>
          <w:numId w:val="10"/>
        </w:numPr>
        <w:spacing w:line="240" w:lineRule="auto"/>
        <w:ind w:firstLine="213" w:firstLineChars="100"/>
        <w:rPr>
          <w:rFonts w:hint="eastAsia" w:ascii="宋体" w:hAnsi="宋体" w:eastAsia="宋体" w:cs="宋体"/>
          <w:sz w:val="21"/>
          <w:szCs w:val="21"/>
        </w:rPr>
      </w:pPr>
      <w:r>
        <w:rPr>
          <w:rFonts w:hint="eastAsia" w:ascii="宋体" w:hAnsi="宋体" w:eastAsia="宋体" w:cs="宋体"/>
          <w:sz w:val="21"/>
          <w:szCs w:val="21"/>
        </w:rPr>
        <w:t>有下列情形之一的，供应商/承包商履约评价不得被评为优秀、良好等级，履约评价得分不得高于79分：</w:t>
      </w:r>
    </w:p>
    <w:p>
      <w:pPr>
        <w:pStyle w:val="2"/>
        <w:numPr>
          <w:ilvl w:val="0"/>
          <w:numId w:val="12"/>
        </w:numPr>
        <w:spacing w:line="240" w:lineRule="auto"/>
        <w:ind w:left="425" w:hanging="425"/>
        <w:rPr>
          <w:rFonts w:hint="eastAsia" w:ascii="宋体" w:hAnsi="宋体" w:eastAsia="宋体" w:cs="宋体"/>
          <w:sz w:val="21"/>
          <w:szCs w:val="21"/>
        </w:rPr>
      </w:pPr>
      <w:r>
        <w:rPr>
          <w:rFonts w:hint="eastAsia" w:ascii="宋体" w:hAnsi="宋体" w:eastAsia="宋体" w:cs="宋体"/>
          <w:sz w:val="21"/>
          <w:szCs w:val="21"/>
        </w:rPr>
        <w:t>因自身原因拖延合同工期6个月以上的；</w:t>
      </w:r>
    </w:p>
    <w:p>
      <w:pPr>
        <w:pStyle w:val="2"/>
        <w:numPr>
          <w:ilvl w:val="0"/>
          <w:numId w:val="12"/>
        </w:numPr>
        <w:spacing w:line="240" w:lineRule="auto"/>
        <w:ind w:left="425" w:hanging="425"/>
        <w:rPr>
          <w:rFonts w:hint="eastAsia" w:ascii="宋体" w:hAnsi="宋体" w:eastAsia="宋体" w:cs="宋体"/>
          <w:sz w:val="21"/>
          <w:szCs w:val="21"/>
        </w:rPr>
      </w:pPr>
      <w:r>
        <w:rPr>
          <w:rFonts w:hint="eastAsia" w:ascii="宋体" w:hAnsi="宋体" w:eastAsia="宋体" w:cs="宋体"/>
          <w:sz w:val="21"/>
          <w:szCs w:val="21"/>
        </w:rPr>
        <w:t>项目管理班子未按投标承诺配备或者不到位的；</w:t>
      </w:r>
    </w:p>
    <w:p>
      <w:pPr>
        <w:pStyle w:val="2"/>
        <w:numPr>
          <w:ilvl w:val="0"/>
          <w:numId w:val="12"/>
        </w:numPr>
        <w:spacing w:line="240" w:lineRule="auto"/>
        <w:ind w:left="425" w:hanging="425"/>
        <w:rPr>
          <w:rFonts w:hint="eastAsia" w:ascii="宋体" w:hAnsi="宋体" w:eastAsia="宋体" w:cs="宋体"/>
          <w:sz w:val="21"/>
          <w:szCs w:val="21"/>
        </w:rPr>
      </w:pPr>
      <w:r>
        <w:rPr>
          <w:rFonts w:hint="eastAsia" w:ascii="宋体" w:hAnsi="宋体" w:eastAsia="宋体" w:cs="宋体"/>
          <w:sz w:val="21"/>
          <w:szCs w:val="21"/>
        </w:rPr>
        <w:t>经认定使用假冒伪劣材料或偷工减料的；</w:t>
      </w:r>
    </w:p>
    <w:p>
      <w:pPr>
        <w:pStyle w:val="2"/>
        <w:numPr>
          <w:ilvl w:val="0"/>
          <w:numId w:val="12"/>
        </w:numPr>
        <w:spacing w:line="240" w:lineRule="auto"/>
        <w:ind w:left="425" w:hanging="425"/>
        <w:rPr>
          <w:rFonts w:hint="eastAsia" w:ascii="宋体" w:hAnsi="宋体" w:eastAsia="宋体" w:cs="宋体"/>
          <w:sz w:val="21"/>
          <w:szCs w:val="21"/>
        </w:rPr>
      </w:pPr>
      <w:r>
        <w:rPr>
          <w:rFonts w:hint="eastAsia" w:ascii="宋体" w:hAnsi="宋体" w:eastAsia="宋体" w:cs="宋体"/>
          <w:sz w:val="21"/>
          <w:szCs w:val="21"/>
        </w:rPr>
        <w:t>因自身原因造成工程发生一般质量安全事故的；</w:t>
      </w:r>
    </w:p>
    <w:p>
      <w:pPr>
        <w:pStyle w:val="2"/>
        <w:numPr>
          <w:ilvl w:val="0"/>
          <w:numId w:val="12"/>
        </w:numPr>
        <w:spacing w:line="240" w:lineRule="auto"/>
        <w:ind w:left="425" w:hanging="425"/>
        <w:rPr>
          <w:rFonts w:hint="eastAsia" w:ascii="宋体" w:hAnsi="宋体" w:eastAsia="宋体" w:cs="宋体"/>
          <w:sz w:val="21"/>
          <w:szCs w:val="21"/>
        </w:rPr>
      </w:pPr>
      <w:r>
        <w:rPr>
          <w:rFonts w:hint="eastAsia" w:ascii="宋体" w:hAnsi="宋体" w:eastAsia="宋体" w:cs="宋体"/>
          <w:sz w:val="21"/>
          <w:szCs w:val="21"/>
        </w:rPr>
        <w:t>因设计原因导致工程变更超过施工合同价5%的（仅限设计合同）;</w:t>
      </w:r>
    </w:p>
    <w:p>
      <w:pPr>
        <w:pStyle w:val="2"/>
        <w:numPr>
          <w:ilvl w:val="0"/>
          <w:numId w:val="12"/>
        </w:numPr>
        <w:spacing w:line="240" w:lineRule="auto"/>
        <w:ind w:left="425" w:hanging="425"/>
        <w:rPr>
          <w:rFonts w:hint="eastAsia" w:ascii="宋体" w:hAnsi="宋体" w:eastAsia="宋体" w:cs="宋体"/>
          <w:sz w:val="21"/>
          <w:szCs w:val="21"/>
        </w:rPr>
      </w:pPr>
      <w:r>
        <w:rPr>
          <w:rFonts w:hint="eastAsia" w:ascii="宋体" w:hAnsi="宋体" w:eastAsia="宋体" w:cs="宋体"/>
          <w:sz w:val="21"/>
          <w:szCs w:val="21"/>
        </w:rPr>
        <w:t>招标文件或者合同文件中列明的其他情形。</w:t>
      </w:r>
    </w:p>
    <w:p>
      <w:pPr>
        <w:pStyle w:val="2"/>
        <w:numPr>
          <w:ilvl w:val="0"/>
          <w:numId w:val="10"/>
        </w:numPr>
        <w:spacing w:line="240" w:lineRule="auto"/>
        <w:ind w:firstLine="213" w:firstLineChars="100"/>
        <w:rPr>
          <w:rFonts w:hint="eastAsia" w:ascii="宋体" w:hAnsi="宋体" w:eastAsia="宋体" w:cs="宋体"/>
          <w:sz w:val="21"/>
          <w:szCs w:val="21"/>
        </w:rPr>
      </w:pPr>
      <w:r>
        <w:rPr>
          <w:rFonts w:hint="eastAsia" w:ascii="宋体" w:hAnsi="宋体" w:eastAsia="宋体" w:cs="宋体"/>
          <w:sz w:val="21"/>
          <w:szCs w:val="21"/>
        </w:rPr>
        <w:t>有下列情形之一的，供应商/承包商履约评价直接被评为“不合格”，得分不得高于59分，并被剔除供应商库：</w:t>
      </w:r>
    </w:p>
    <w:p>
      <w:pPr>
        <w:pStyle w:val="2"/>
        <w:numPr>
          <w:ilvl w:val="0"/>
          <w:numId w:val="13"/>
        </w:numPr>
        <w:spacing w:line="240" w:lineRule="auto"/>
        <w:ind w:left="425" w:hanging="425"/>
        <w:rPr>
          <w:rFonts w:hint="eastAsia" w:ascii="宋体" w:hAnsi="宋体" w:eastAsia="宋体" w:cs="宋体"/>
          <w:sz w:val="21"/>
          <w:szCs w:val="21"/>
        </w:rPr>
      </w:pPr>
      <w:r>
        <w:rPr>
          <w:rFonts w:hint="eastAsia" w:ascii="宋体" w:hAnsi="宋体" w:eastAsia="宋体" w:cs="宋体"/>
          <w:sz w:val="21"/>
          <w:szCs w:val="21"/>
        </w:rPr>
        <w:t>因自身原因拖延合同工期12个月以上的；</w:t>
      </w:r>
    </w:p>
    <w:p>
      <w:pPr>
        <w:pStyle w:val="2"/>
        <w:numPr>
          <w:ilvl w:val="0"/>
          <w:numId w:val="13"/>
        </w:numPr>
        <w:spacing w:line="240" w:lineRule="auto"/>
        <w:ind w:left="425" w:hanging="425"/>
        <w:rPr>
          <w:rFonts w:hint="eastAsia" w:ascii="宋体" w:hAnsi="宋体" w:eastAsia="宋体" w:cs="宋体"/>
          <w:sz w:val="21"/>
          <w:szCs w:val="21"/>
        </w:rPr>
      </w:pPr>
      <w:r>
        <w:rPr>
          <w:rFonts w:hint="eastAsia" w:ascii="宋体" w:hAnsi="宋体" w:eastAsia="宋体" w:cs="宋体"/>
          <w:sz w:val="21"/>
          <w:szCs w:val="21"/>
        </w:rPr>
        <w:t>因拖欠工人工资或分包商工程款，引发群体性上访事件的；</w:t>
      </w:r>
    </w:p>
    <w:p>
      <w:pPr>
        <w:pStyle w:val="2"/>
        <w:numPr>
          <w:ilvl w:val="0"/>
          <w:numId w:val="13"/>
        </w:numPr>
        <w:spacing w:line="240" w:lineRule="auto"/>
        <w:ind w:left="425" w:hanging="425"/>
        <w:rPr>
          <w:rFonts w:hint="eastAsia" w:ascii="宋体" w:hAnsi="宋体" w:eastAsia="宋体" w:cs="宋体"/>
          <w:sz w:val="21"/>
          <w:szCs w:val="21"/>
        </w:rPr>
      </w:pPr>
      <w:r>
        <w:rPr>
          <w:rFonts w:hint="eastAsia" w:ascii="宋体" w:hAnsi="宋体" w:eastAsia="宋体" w:cs="宋体"/>
          <w:sz w:val="21"/>
          <w:szCs w:val="21"/>
        </w:rPr>
        <w:t>因自身原因未按合同约定提交项目结算报告的；</w:t>
      </w:r>
    </w:p>
    <w:p>
      <w:pPr>
        <w:pStyle w:val="2"/>
        <w:numPr>
          <w:ilvl w:val="0"/>
          <w:numId w:val="13"/>
        </w:numPr>
        <w:spacing w:line="240" w:lineRule="auto"/>
        <w:ind w:left="425" w:hanging="425"/>
        <w:rPr>
          <w:rFonts w:hint="eastAsia" w:ascii="宋体" w:hAnsi="宋体" w:eastAsia="宋体" w:cs="宋体"/>
          <w:sz w:val="21"/>
          <w:szCs w:val="21"/>
        </w:rPr>
      </w:pPr>
      <w:r>
        <w:rPr>
          <w:rFonts w:hint="eastAsia" w:ascii="宋体" w:hAnsi="宋体" w:eastAsia="宋体" w:cs="宋体"/>
          <w:sz w:val="21"/>
          <w:szCs w:val="21"/>
        </w:rPr>
        <w:t>经认定使用假冒伪劣材料或偷工减料，情节恶劣或者情形严重的；</w:t>
      </w:r>
    </w:p>
    <w:p>
      <w:pPr>
        <w:pStyle w:val="2"/>
        <w:numPr>
          <w:ilvl w:val="0"/>
          <w:numId w:val="13"/>
        </w:numPr>
        <w:spacing w:line="240" w:lineRule="auto"/>
        <w:ind w:left="425" w:hanging="425"/>
        <w:rPr>
          <w:rFonts w:hint="eastAsia" w:ascii="宋体" w:hAnsi="宋体" w:eastAsia="宋体" w:cs="宋体"/>
          <w:sz w:val="21"/>
          <w:szCs w:val="21"/>
        </w:rPr>
      </w:pPr>
      <w:r>
        <w:rPr>
          <w:rFonts w:hint="eastAsia" w:ascii="宋体" w:hAnsi="宋体" w:eastAsia="宋体" w:cs="宋体"/>
          <w:sz w:val="21"/>
          <w:szCs w:val="21"/>
        </w:rPr>
        <w:t>因自身原因造成工程发生较大及以上质量安全事故的；</w:t>
      </w:r>
    </w:p>
    <w:p>
      <w:pPr>
        <w:pStyle w:val="2"/>
        <w:numPr>
          <w:ilvl w:val="0"/>
          <w:numId w:val="13"/>
        </w:numPr>
        <w:spacing w:line="240" w:lineRule="auto"/>
        <w:ind w:left="425" w:hanging="425"/>
        <w:rPr>
          <w:rFonts w:hint="eastAsia" w:ascii="宋体" w:hAnsi="宋体" w:eastAsia="宋体" w:cs="宋体"/>
          <w:sz w:val="21"/>
          <w:szCs w:val="21"/>
        </w:rPr>
      </w:pPr>
      <w:r>
        <w:rPr>
          <w:rFonts w:hint="eastAsia" w:ascii="宋体" w:hAnsi="宋体" w:eastAsia="宋体" w:cs="宋体"/>
          <w:sz w:val="21"/>
          <w:szCs w:val="21"/>
        </w:rPr>
        <w:t>因该工程存在串通投标、转包、以他人名义投标、违法分包或者弄虚作假等违法行为，被行政监督部门行政处罚的；</w:t>
      </w:r>
    </w:p>
    <w:p>
      <w:pPr>
        <w:pStyle w:val="2"/>
        <w:numPr>
          <w:ilvl w:val="0"/>
          <w:numId w:val="13"/>
        </w:numPr>
        <w:spacing w:line="240" w:lineRule="auto"/>
        <w:ind w:left="425" w:hanging="425"/>
        <w:rPr>
          <w:rFonts w:hint="eastAsia" w:ascii="宋体" w:hAnsi="宋体" w:eastAsia="宋体" w:cs="宋体"/>
          <w:sz w:val="21"/>
          <w:szCs w:val="21"/>
        </w:rPr>
      </w:pPr>
      <w:r>
        <w:rPr>
          <w:rFonts w:hint="eastAsia" w:ascii="宋体" w:hAnsi="宋体" w:eastAsia="宋体" w:cs="宋体"/>
          <w:sz w:val="21"/>
          <w:szCs w:val="21"/>
        </w:rPr>
        <w:t>经纪检监察机关或者有关部门认定，存在贿赂政府部门公职人员的行为的；</w:t>
      </w:r>
    </w:p>
    <w:p>
      <w:pPr>
        <w:pStyle w:val="2"/>
        <w:numPr>
          <w:ilvl w:val="0"/>
          <w:numId w:val="13"/>
        </w:numPr>
        <w:spacing w:line="240" w:lineRule="auto"/>
        <w:ind w:left="425" w:hanging="425"/>
        <w:rPr>
          <w:rFonts w:hint="eastAsia" w:ascii="宋体" w:hAnsi="宋体" w:eastAsia="宋体" w:cs="宋体"/>
          <w:sz w:val="21"/>
          <w:szCs w:val="21"/>
        </w:rPr>
      </w:pPr>
      <w:r>
        <w:rPr>
          <w:rFonts w:hint="eastAsia" w:ascii="宋体" w:hAnsi="宋体" w:eastAsia="宋体" w:cs="宋体"/>
          <w:sz w:val="21"/>
          <w:szCs w:val="21"/>
        </w:rPr>
        <w:t>招标文件或者合同文件中列明的其他情形。</w:t>
      </w:r>
    </w:p>
    <w:p>
      <w:pPr>
        <w:tabs>
          <w:tab w:val="left" w:pos="945"/>
        </w:tabs>
        <w:autoSpaceDE w:val="0"/>
        <w:autoSpaceDN w:val="0"/>
        <w:adjustRightInd w:val="0"/>
        <w:spacing w:line="240" w:lineRule="auto"/>
        <w:ind w:firstLine="426" w:firstLineChars="200"/>
        <w:jc w:val="left"/>
        <w:textAlignment w:val="baseline"/>
        <w:rPr>
          <w:rFonts w:hint="eastAsia" w:ascii="宋体" w:hAnsi="宋体" w:eastAsia="宋体" w:cs="宋体"/>
          <w:color w:val="000000" w:themeColor="text1"/>
          <w:sz w:val="21"/>
          <w:szCs w:val="21"/>
          <w14:textFill>
            <w14:solidFill>
              <w14:schemeClr w14:val="tx1"/>
            </w14:solidFill>
          </w14:textFill>
        </w:rPr>
      </w:pPr>
    </w:p>
    <w:p>
      <w:pPr>
        <w:numPr>
          <w:ilvl w:val="0"/>
          <w:numId w:val="5"/>
        </w:numPr>
        <w:spacing w:line="240" w:lineRule="auto"/>
        <w:ind w:firstLine="42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*.报价方式和币种：</w:t>
      </w:r>
    </w:p>
    <w:p>
      <w:pPr>
        <w:autoSpaceDE w:val="0"/>
        <w:autoSpaceDN w:val="0"/>
        <w:adjustRightInd w:val="0"/>
        <w:snapToGrid w:val="0"/>
        <w:spacing w:line="240" w:lineRule="auto"/>
        <w:ind w:firstLine="482"/>
        <w:rPr>
          <w:rFonts w:hint="eastAsia" w:ascii="宋体" w:hAnsi="宋体" w:eastAsia="宋体" w:cs="宋体"/>
          <w:b/>
          <w:color w:val="000000" w:themeColor="text1"/>
          <w:szCs w:val="21"/>
          <w:u w:val="single"/>
          <w14:textFill>
            <w14:solidFill>
              <w14:schemeClr w14:val="tx1"/>
            </w14:solidFill>
          </w14:textFill>
        </w:rPr>
      </w:pPr>
      <w:r>
        <w:rPr>
          <w:rFonts w:hint="eastAsia" w:ascii="宋体" w:hAnsi="宋体" w:eastAsia="宋体" w:cs="宋体"/>
          <w:b/>
          <w:bCs/>
          <w:color w:val="000000"/>
          <w:szCs w:val="21"/>
        </w:rPr>
        <w:t>★</w:t>
      </w:r>
      <w:r>
        <w:rPr>
          <w:rFonts w:hint="eastAsia" w:ascii="宋体" w:hAnsi="宋体" w:eastAsia="宋体" w:cs="宋体"/>
          <w:b/>
          <w:color w:val="000000" w:themeColor="text1"/>
          <w:szCs w:val="21"/>
          <w:u w:val="single"/>
          <w14:textFill>
            <w14:solidFill>
              <w14:schemeClr w14:val="tx1"/>
            </w14:solidFill>
          </w14:textFill>
        </w:rPr>
        <w:t>本项目最高限价：人民币</w:t>
      </w:r>
      <w:r>
        <w:rPr>
          <w:rFonts w:hint="eastAsia" w:ascii="宋体" w:hAnsi="宋体" w:eastAsia="宋体" w:cs="宋体"/>
          <w:b/>
          <w:color w:val="000000" w:themeColor="text1"/>
          <w:szCs w:val="21"/>
          <w:u w:val="single"/>
          <w:lang w:eastAsia="zh-CN"/>
          <w14:textFill>
            <w14:solidFill>
              <w14:schemeClr w14:val="tx1"/>
            </w14:solidFill>
          </w14:textFill>
        </w:rPr>
        <w:t>玖</w:t>
      </w:r>
      <w:r>
        <w:rPr>
          <w:rFonts w:hint="eastAsia" w:ascii="宋体" w:hAnsi="宋体" w:eastAsia="宋体" w:cs="宋体"/>
          <w:b/>
          <w:color w:val="000000" w:themeColor="text1"/>
          <w:szCs w:val="21"/>
          <w:u w:val="single"/>
          <w14:textFill>
            <w14:solidFill>
              <w14:schemeClr w14:val="tx1"/>
            </w14:solidFill>
          </w14:textFill>
        </w:rPr>
        <w:t>万元整（¥</w:t>
      </w:r>
      <w:r>
        <w:rPr>
          <w:rFonts w:hint="eastAsia" w:ascii="宋体" w:hAnsi="宋体" w:eastAsia="宋体" w:cs="宋体"/>
          <w:b/>
          <w:color w:val="000000" w:themeColor="text1"/>
          <w:szCs w:val="21"/>
          <w:u w:val="single"/>
          <w:lang w:val="en-US" w:eastAsia="zh-CN"/>
          <w14:textFill>
            <w14:solidFill>
              <w14:schemeClr w14:val="tx1"/>
            </w14:solidFill>
          </w14:textFill>
        </w:rPr>
        <w:t>90000</w:t>
      </w:r>
      <w:r>
        <w:rPr>
          <w:rFonts w:hint="eastAsia" w:ascii="宋体" w:hAnsi="宋体" w:eastAsia="宋体" w:cs="宋体"/>
          <w:b/>
          <w:color w:val="000000" w:themeColor="text1"/>
          <w:szCs w:val="21"/>
          <w:highlight w:val="none"/>
          <w:u w:val="single"/>
          <w14:textFill>
            <w14:solidFill>
              <w14:schemeClr w14:val="tx1"/>
            </w14:solidFill>
          </w14:textFill>
        </w:rPr>
        <w:t>元</w:t>
      </w:r>
      <w:r>
        <w:rPr>
          <w:rFonts w:hint="eastAsia" w:ascii="宋体" w:hAnsi="宋体" w:eastAsia="宋体" w:cs="宋体"/>
          <w:b/>
          <w:color w:val="000000" w:themeColor="text1"/>
          <w:szCs w:val="21"/>
          <w:u w:val="single"/>
          <w14:textFill>
            <w14:solidFill>
              <w14:schemeClr w14:val="tx1"/>
            </w14:solidFill>
          </w14:textFill>
        </w:rPr>
        <w:t>），任何超过此限价的竞标报价，采购人不予接受。（最高限价为控制价）</w:t>
      </w:r>
    </w:p>
    <w:p>
      <w:pPr>
        <w:spacing w:line="240" w:lineRule="auto"/>
        <w:ind w:firstLine="426"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投标报价应包括：所有采购服务、货物费用、运至合同指定地点的运输费、保险费、安装、技术培训费、各种税费等。(包含以上费用且不仅限于以上费用，其他与项目相关的费用均包含在投标报价内。)</w:t>
      </w:r>
    </w:p>
    <w:p>
      <w:pPr>
        <w:spacing w:line="240" w:lineRule="auto"/>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投标货币：人民币　</w:t>
      </w:r>
    </w:p>
    <w:p>
      <w:pPr>
        <w:spacing w:line="240" w:lineRule="auto"/>
        <w:rPr>
          <w:rFonts w:hint="eastAsia" w:ascii="宋体" w:hAnsi="宋体" w:eastAsia="宋体" w:cs="宋体"/>
          <w:b/>
          <w:color w:val="000000" w:themeColor="text1"/>
          <w:szCs w:val="21"/>
          <w14:textFill>
            <w14:solidFill>
              <w14:schemeClr w14:val="tx1"/>
            </w14:solidFill>
          </w14:textFill>
        </w:rPr>
      </w:pPr>
    </w:p>
    <w:p>
      <w:pPr>
        <w:numPr>
          <w:ilvl w:val="0"/>
          <w:numId w:val="5"/>
        </w:numPr>
        <w:spacing w:line="240" w:lineRule="auto"/>
        <w:ind w:firstLine="420"/>
        <w:rPr>
          <w:rFonts w:hint="eastAsia" w:ascii="宋体" w:hAnsi="宋体" w:eastAsia="宋体" w:cs="宋体"/>
          <w:b/>
          <w:bCs/>
          <w:color w:val="000000"/>
          <w:sz w:val="21"/>
          <w:szCs w:val="21"/>
        </w:rPr>
      </w:pPr>
      <w:r>
        <w:rPr>
          <w:rFonts w:hint="eastAsia" w:ascii="宋体" w:hAnsi="宋体" w:eastAsia="宋体" w:cs="宋体"/>
          <w:b/>
          <w:bCs/>
          <w:color w:val="000000"/>
          <w:sz w:val="21"/>
          <w:szCs w:val="21"/>
        </w:rPr>
        <w:t>特别说明</w:t>
      </w:r>
    </w:p>
    <w:p>
      <w:pPr>
        <w:spacing w:line="240" w:lineRule="auto"/>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w:t>
      </w:r>
      <w:r>
        <w:rPr>
          <w:rFonts w:hint="eastAsia" w:ascii="宋体" w:hAnsi="宋体" w:eastAsia="宋体" w:cs="宋体"/>
          <w:color w:val="000000" w:themeColor="text1"/>
          <w:szCs w:val="21"/>
          <w:lang w:val="en-US" w:eastAsia="zh-CN"/>
          <w14:textFill>
            <w14:solidFill>
              <w14:schemeClr w14:val="tx1"/>
            </w14:solidFill>
          </w14:textFill>
        </w:rPr>
        <w:t>1.</w:t>
      </w:r>
      <w:r>
        <w:rPr>
          <w:rFonts w:hint="eastAsia" w:ascii="宋体" w:hAnsi="宋体" w:eastAsia="宋体" w:cs="宋体"/>
          <w:color w:val="000000" w:themeColor="text1"/>
          <w:szCs w:val="21"/>
          <w14:textFill>
            <w14:solidFill>
              <w14:schemeClr w14:val="tx1"/>
            </w14:solidFill>
          </w14:textFill>
        </w:rPr>
        <w:t>当竞争性谈判文件中出现前后表述不一致的时候，以竞争性谈判文件中对谈判供应商责任规定较严格的为准。</w:t>
      </w:r>
    </w:p>
    <w:p>
      <w:pPr>
        <w:spacing w:line="240" w:lineRule="auto"/>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w:t>
      </w:r>
      <w:r>
        <w:rPr>
          <w:rFonts w:hint="eastAsia" w:ascii="宋体" w:hAnsi="宋体" w:eastAsia="宋体" w:cs="宋体"/>
          <w:color w:val="000000" w:themeColor="text1"/>
          <w:szCs w:val="21"/>
          <w:lang w:val="en-US" w:eastAsia="zh-CN"/>
          <w14:textFill>
            <w14:solidFill>
              <w14:schemeClr w14:val="tx1"/>
            </w14:solidFill>
          </w14:textFill>
        </w:rPr>
        <w:t>2.</w:t>
      </w:r>
      <w:r>
        <w:rPr>
          <w:rFonts w:hint="eastAsia" w:ascii="宋体" w:hAnsi="宋体" w:eastAsia="宋体" w:cs="宋体"/>
          <w:color w:val="000000" w:themeColor="text1"/>
          <w:szCs w:val="21"/>
          <w14:textFill>
            <w14:solidFill>
              <w14:schemeClr w14:val="tx1"/>
            </w14:solidFill>
          </w14:textFill>
        </w:rPr>
        <w:t>当谈判响应文件中出现前后表述不一致的时候，以谈判响应文件中对谈判供应商责任规定较严格的为准。</w:t>
      </w:r>
    </w:p>
    <w:p>
      <w:pPr>
        <w:spacing w:line="240" w:lineRule="auto"/>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w:t>
      </w:r>
      <w:r>
        <w:rPr>
          <w:rFonts w:hint="eastAsia" w:ascii="宋体" w:hAnsi="宋体" w:eastAsia="宋体" w:cs="宋体"/>
          <w:color w:val="000000" w:themeColor="text1"/>
          <w:szCs w:val="21"/>
          <w:lang w:val="en-US" w:eastAsia="zh-CN"/>
          <w14:textFill>
            <w14:solidFill>
              <w14:schemeClr w14:val="tx1"/>
            </w14:solidFill>
          </w14:textFill>
        </w:rPr>
        <w:t>3.</w:t>
      </w:r>
      <w:r>
        <w:rPr>
          <w:rFonts w:hint="eastAsia" w:ascii="宋体" w:hAnsi="宋体" w:eastAsia="宋体" w:cs="宋体"/>
          <w:color w:val="000000" w:themeColor="text1"/>
          <w:szCs w:val="21"/>
          <w14:textFill>
            <w14:solidFill>
              <w14:schemeClr w14:val="tx1"/>
            </w14:solidFill>
          </w14:textFill>
        </w:rPr>
        <w:t>采购人在本竞争性谈判文件中所列举的软硬件设备需求应视为保证本系统运行所需的最低要求，如有遗漏，投标方应予以补充，否则一旦中标将认为投标方认同遗漏部分并免费提供</w:t>
      </w:r>
      <w:r>
        <w:rPr>
          <w:rFonts w:hint="eastAsia" w:ascii="宋体" w:hAnsi="宋体" w:eastAsia="宋体" w:cs="宋体"/>
          <w:color w:val="000000" w:themeColor="text1"/>
          <w:szCs w:val="21"/>
          <w:lang w:eastAsia="zh-CN"/>
          <w14:textFill>
            <w14:solidFill>
              <w14:schemeClr w14:val="tx1"/>
            </w14:solidFill>
          </w14:textFill>
        </w:rPr>
        <w:t>。</w:t>
      </w:r>
    </w:p>
    <w:p>
      <w:pPr>
        <w:spacing w:line="240" w:lineRule="auto"/>
        <w:jc w:val="lef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br w:type="page"/>
      </w:r>
    </w:p>
    <w:p>
      <w:pPr>
        <w:pStyle w:val="3"/>
        <w:numPr>
          <w:ilvl w:val="0"/>
          <w:numId w:val="1"/>
        </w:numPr>
        <w:ind w:firstLine="402"/>
        <w:jc w:val="center"/>
        <w:rPr>
          <w:rFonts w:hint="eastAsia" w:ascii="宋体" w:hAnsi="宋体" w:eastAsia="宋体" w:cs="宋体"/>
          <w:b/>
          <w:sz w:val="21"/>
          <w:szCs w:val="21"/>
        </w:rPr>
      </w:pPr>
      <w:bookmarkStart w:id="124" w:name="_Toc142370552"/>
      <w:bookmarkStart w:id="125" w:name="_Toc271798817"/>
      <w:bookmarkStart w:id="126" w:name="_Toc23111"/>
      <w:r>
        <w:rPr>
          <w:rFonts w:hint="eastAsia" w:ascii="宋体" w:hAnsi="宋体" w:eastAsia="宋体" w:cs="宋体"/>
          <w:b/>
          <w:sz w:val="21"/>
          <w:szCs w:val="21"/>
        </w:rPr>
        <w:t>附件</w:t>
      </w:r>
      <w:bookmarkEnd w:id="124"/>
      <w:bookmarkEnd w:id="125"/>
      <w:bookmarkEnd w:id="126"/>
    </w:p>
    <w:p>
      <w:pPr>
        <w:numPr>
          <w:ilvl w:val="1"/>
          <w:numId w:val="14"/>
        </w:numPr>
        <w:spacing w:line="240" w:lineRule="auto"/>
        <w:ind w:firstLine="402"/>
        <w:jc w:val="center"/>
        <w:outlineLvl w:val="1"/>
        <w:rPr>
          <w:rFonts w:hint="eastAsia" w:ascii="宋体" w:hAnsi="宋体" w:eastAsia="宋体" w:cs="宋体"/>
          <w:b/>
          <w:sz w:val="21"/>
          <w:szCs w:val="21"/>
        </w:rPr>
      </w:pPr>
      <w:bookmarkStart w:id="127" w:name="_Toc30431"/>
      <w:r>
        <w:rPr>
          <w:rFonts w:hint="eastAsia" w:ascii="宋体" w:hAnsi="宋体" w:eastAsia="宋体" w:cs="宋体"/>
          <w:color w:val="000000"/>
          <w:sz w:val="21"/>
          <w:szCs w:val="21"/>
        </w:rPr>
        <w:t>合同主要条款</w:t>
      </w:r>
      <w:bookmarkEnd w:id="127"/>
    </w:p>
    <w:p>
      <w:pPr>
        <w:spacing w:line="240" w:lineRule="auto"/>
        <w:rPr>
          <w:rFonts w:hint="eastAsia" w:ascii="宋体" w:hAnsi="宋体" w:eastAsia="宋体" w:cs="宋体"/>
          <w:szCs w:val="21"/>
        </w:rPr>
      </w:pPr>
    </w:p>
    <w:p>
      <w:pPr>
        <w:pStyle w:val="15"/>
        <w:spacing w:after="240" w:line="240" w:lineRule="auto"/>
        <w:ind w:firstLine="476" w:firstLineChars="224"/>
        <w:jc w:val="center"/>
        <w:rPr>
          <w:rFonts w:hint="eastAsia" w:ascii="宋体" w:hAnsi="宋体" w:eastAsia="宋体" w:cs="宋体"/>
          <w:color w:val="FF0000"/>
          <w:sz w:val="21"/>
          <w:szCs w:val="21"/>
          <w:highlight w:val="none"/>
        </w:rPr>
      </w:pPr>
      <w:bookmarkStart w:id="128" w:name="_Toc142370554"/>
      <w:r>
        <w:rPr>
          <w:rFonts w:hint="eastAsia" w:ascii="宋体" w:hAnsi="宋体" w:eastAsia="宋体" w:cs="宋体"/>
          <w:color w:val="FF0000"/>
          <w:sz w:val="21"/>
          <w:szCs w:val="21"/>
          <w:highlight w:val="none"/>
        </w:rPr>
        <w:t xml:space="preserve"> (另行订立)</w:t>
      </w:r>
    </w:p>
    <w:p>
      <w:pPr>
        <w:numPr>
          <w:ilvl w:val="1"/>
          <w:numId w:val="14"/>
        </w:numPr>
        <w:spacing w:line="240" w:lineRule="auto"/>
        <w:ind w:firstLine="402"/>
        <w:jc w:val="center"/>
        <w:outlineLvl w:val="1"/>
        <w:rPr>
          <w:rFonts w:hint="eastAsia" w:ascii="宋体" w:hAnsi="宋体" w:eastAsia="宋体" w:cs="宋体"/>
          <w:color w:val="000000"/>
          <w:sz w:val="21"/>
          <w:szCs w:val="21"/>
        </w:rPr>
      </w:pPr>
      <w:bookmarkStart w:id="129" w:name="_Toc271798819"/>
      <w:bookmarkStart w:id="130" w:name="_Toc8208"/>
      <w:r>
        <w:rPr>
          <w:rFonts w:hint="eastAsia" w:ascii="宋体" w:hAnsi="宋体" w:eastAsia="宋体" w:cs="宋体"/>
          <w:color w:val="000000"/>
          <w:sz w:val="21"/>
          <w:szCs w:val="21"/>
        </w:rPr>
        <w:t>评标原则与方法</w:t>
      </w:r>
      <w:bookmarkEnd w:id="128"/>
      <w:bookmarkEnd w:id="129"/>
      <w:bookmarkEnd w:id="130"/>
    </w:p>
    <w:p>
      <w:pPr>
        <w:autoSpaceDE w:val="0"/>
        <w:autoSpaceDN w:val="0"/>
        <w:adjustRightInd w:val="0"/>
        <w:snapToGrid w:val="0"/>
        <w:spacing w:line="240" w:lineRule="auto"/>
        <w:outlineLvl w:val="0"/>
        <w:rPr>
          <w:rFonts w:hint="eastAsia" w:ascii="宋体" w:hAnsi="宋体" w:eastAsia="宋体" w:cs="宋体"/>
          <w:b/>
          <w:color w:val="000000"/>
          <w:szCs w:val="21"/>
        </w:rPr>
      </w:pPr>
      <w:bookmarkStart w:id="131" w:name="_Toc143337211"/>
      <w:bookmarkStart w:id="132" w:name="_Toc243212927"/>
      <w:bookmarkStart w:id="133" w:name="_Toc143488613"/>
      <w:bookmarkStart w:id="134" w:name="_Toc271798820"/>
      <w:bookmarkStart w:id="135" w:name="_Toc271608994"/>
      <w:bookmarkStart w:id="136" w:name="_Toc142882038"/>
      <w:bookmarkStart w:id="137" w:name="_Toc197199126"/>
      <w:bookmarkStart w:id="138" w:name="_Toc22860"/>
      <w:bookmarkStart w:id="139" w:name="_Toc21142"/>
      <w:bookmarkStart w:id="140" w:name="_Toc243201861"/>
      <w:bookmarkStart w:id="141" w:name="_Toc14338"/>
      <w:bookmarkStart w:id="142" w:name="_Toc14016"/>
      <w:r>
        <w:rPr>
          <w:rFonts w:hint="eastAsia" w:ascii="宋体" w:hAnsi="宋体" w:eastAsia="宋体" w:cs="宋体"/>
          <w:b/>
          <w:color w:val="000000"/>
          <w:szCs w:val="21"/>
        </w:rPr>
        <w:t>1. 总则</w:t>
      </w:r>
      <w:bookmarkEnd w:id="131"/>
      <w:bookmarkEnd w:id="132"/>
      <w:bookmarkEnd w:id="133"/>
      <w:bookmarkEnd w:id="134"/>
      <w:bookmarkEnd w:id="135"/>
      <w:bookmarkEnd w:id="136"/>
      <w:bookmarkEnd w:id="137"/>
      <w:bookmarkEnd w:id="138"/>
      <w:bookmarkEnd w:id="139"/>
      <w:bookmarkEnd w:id="140"/>
      <w:bookmarkEnd w:id="141"/>
      <w:bookmarkEnd w:id="142"/>
    </w:p>
    <w:p>
      <w:pPr>
        <w:autoSpaceDE w:val="0"/>
        <w:autoSpaceDN w:val="0"/>
        <w:adjustRightInd w:val="0"/>
        <w:snapToGrid w:val="0"/>
        <w:spacing w:line="240" w:lineRule="auto"/>
        <w:ind w:left="351" w:leftChars="-17" w:hanging="387" w:hangingChars="182"/>
        <w:rPr>
          <w:rFonts w:hint="eastAsia" w:ascii="宋体" w:hAnsi="宋体" w:eastAsia="宋体" w:cs="宋体"/>
          <w:color w:val="000000"/>
          <w:szCs w:val="21"/>
        </w:rPr>
      </w:pPr>
      <w:r>
        <w:rPr>
          <w:rFonts w:hint="eastAsia" w:ascii="宋体" w:hAnsi="宋体" w:eastAsia="宋体" w:cs="宋体"/>
          <w:color w:val="000000"/>
          <w:szCs w:val="21"/>
        </w:rPr>
        <w:t>1.1 本次采购的评标方法遵循国家相关法律、法规的规定。</w:t>
      </w:r>
    </w:p>
    <w:p>
      <w:pPr>
        <w:autoSpaceDE w:val="0"/>
        <w:autoSpaceDN w:val="0"/>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1.2 本次采购采用竞争性谈判方式，对所有合格谈判供应商一视同仁。</w:t>
      </w:r>
    </w:p>
    <w:p>
      <w:pPr>
        <w:autoSpaceDE w:val="0"/>
        <w:autoSpaceDN w:val="0"/>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1.3 评标必须以谈判文件中各项规定条件为准。</w:t>
      </w:r>
    </w:p>
    <w:p>
      <w:pPr>
        <w:autoSpaceDE w:val="0"/>
        <w:autoSpaceDN w:val="0"/>
        <w:adjustRightInd w:val="0"/>
        <w:snapToGrid w:val="0"/>
        <w:spacing w:line="240" w:lineRule="auto"/>
        <w:outlineLvl w:val="0"/>
        <w:rPr>
          <w:rFonts w:hint="eastAsia" w:ascii="宋体" w:hAnsi="宋体" w:eastAsia="宋体" w:cs="宋体"/>
          <w:b/>
          <w:color w:val="000000"/>
          <w:szCs w:val="21"/>
        </w:rPr>
      </w:pPr>
      <w:bookmarkStart w:id="143" w:name="_Toc29460"/>
      <w:bookmarkStart w:id="144" w:name="_Toc10864"/>
      <w:bookmarkStart w:id="145" w:name="_Toc143337212"/>
      <w:bookmarkStart w:id="146" w:name="_Toc243212928"/>
      <w:bookmarkStart w:id="147" w:name="_Toc243201862"/>
      <w:bookmarkStart w:id="148" w:name="_Toc143488614"/>
      <w:bookmarkStart w:id="149" w:name="_Toc271608995"/>
      <w:bookmarkStart w:id="150" w:name="_Toc142882039"/>
      <w:bookmarkStart w:id="151" w:name="_Toc197199127"/>
      <w:bookmarkStart w:id="152" w:name="_Toc271798821"/>
      <w:bookmarkStart w:id="153" w:name="_Toc8579"/>
      <w:bookmarkStart w:id="154" w:name="_Toc20058"/>
      <w:r>
        <w:rPr>
          <w:rFonts w:hint="eastAsia" w:ascii="宋体" w:hAnsi="宋体" w:eastAsia="宋体" w:cs="宋体"/>
          <w:b/>
          <w:color w:val="000000"/>
          <w:szCs w:val="21"/>
        </w:rPr>
        <w:t>2. 对谈判响应文件的审查和确定</w:t>
      </w:r>
      <w:bookmarkEnd w:id="143"/>
      <w:bookmarkEnd w:id="144"/>
      <w:bookmarkEnd w:id="145"/>
      <w:bookmarkEnd w:id="146"/>
      <w:bookmarkEnd w:id="147"/>
      <w:bookmarkEnd w:id="148"/>
      <w:bookmarkEnd w:id="149"/>
      <w:bookmarkEnd w:id="150"/>
      <w:bookmarkEnd w:id="151"/>
      <w:bookmarkEnd w:id="152"/>
      <w:bookmarkEnd w:id="153"/>
      <w:bookmarkEnd w:id="154"/>
    </w:p>
    <w:p>
      <w:pPr>
        <w:autoSpaceDE w:val="0"/>
        <w:autoSpaceDN w:val="0"/>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2.1 将组织审查谈判响应文件是否完全响应竞争性谈判文件要求（见评标表格一符合性审查表）。　</w:t>
      </w:r>
    </w:p>
    <w:p>
      <w:pPr>
        <w:autoSpaceDE w:val="0"/>
        <w:autoSpaceDN w:val="0"/>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2.1.1 谈判响应文件的大写金额和小写金额不一致的，以大写金额为准；总价金额与按单价汇总金额不一致的，以单价金额计算结果为准；单价金额小数点有明显错位的，应以总价为准，并修改单价；对不同文字文本谈判响应文件的解释发生异议的，以中文文本为准；</w:t>
      </w:r>
    </w:p>
    <w:p>
      <w:pPr>
        <w:autoSpaceDE w:val="0"/>
        <w:autoSpaceDN w:val="0"/>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2.1.2 若谈判时的开标一览表中报价及完成期等实质性内容与谈判响应文件中开标一览表不一致时，以谈判时的开标一览表为准；</w:t>
      </w:r>
    </w:p>
    <w:p>
      <w:pPr>
        <w:autoSpaceDE w:val="0"/>
        <w:autoSpaceDN w:val="0"/>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2.1.3 若谈判供应商不接受以上对其错误的更正，其竞争性谈判将被拒绝。</w:t>
      </w:r>
    </w:p>
    <w:p>
      <w:pPr>
        <w:autoSpaceDE w:val="0"/>
        <w:autoSpaceDN w:val="0"/>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2.2 谈判小组将确定竞争性谈判是否符合谈判文件的所有条款、条件和规定。</w:t>
      </w:r>
    </w:p>
    <w:p>
      <w:pPr>
        <w:autoSpaceDE w:val="0"/>
        <w:autoSpaceDN w:val="0"/>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2.3 谈判小组判断谈判响应文件的响应性仅基于谈判响应文件本身而不靠外部证据。</w:t>
      </w:r>
    </w:p>
    <w:p>
      <w:pPr>
        <w:autoSpaceDE w:val="0"/>
        <w:autoSpaceDN w:val="0"/>
        <w:adjustRightInd w:val="0"/>
        <w:snapToGrid w:val="0"/>
        <w:spacing w:line="240" w:lineRule="auto"/>
        <w:rPr>
          <w:rFonts w:hint="eastAsia" w:ascii="宋体" w:hAnsi="宋体" w:eastAsia="宋体" w:cs="宋体"/>
          <w:color w:val="000000"/>
          <w:szCs w:val="21"/>
        </w:rPr>
      </w:pPr>
      <w:r>
        <w:rPr>
          <w:rFonts w:hint="eastAsia" w:ascii="宋体" w:hAnsi="宋体" w:eastAsia="宋体" w:cs="宋体"/>
          <w:color w:val="000000"/>
          <w:szCs w:val="21"/>
        </w:rPr>
        <w:t>2.4 谈判小组将拒绝被确定为非实质性响应的谈判供应商，谈判供应商不能通过修正或撤销不符之处而使其竞争性谈判成为实质性响应的竞争性谈判。</w:t>
      </w:r>
    </w:p>
    <w:p>
      <w:pPr>
        <w:autoSpaceDE w:val="0"/>
        <w:autoSpaceDN w:val="0"/>
        <w:adjustRightInd w:val="0"/>
        <w:snapToGrid w:val="0"/>
        <w:spacing w:line="240" w:lineRule="auto"/>
        <w:outlineLvl w:val="0"/>
        <w:rPr>
          <w:rFonts w:hint="eastAsia" w:ascii="宋体" w:hAnsi="宋体" w:eastAsia="宋体" w:cs="宋体"/>
          <w:b/>
          <w:color w:val="000000"/>
          <w:szCs w:val="21"/>
        </w:rPr>
      </w:pPr>
      <w:bookmarkStart w:id="155" w:name="_Toc243201863"/>
      <w:bookmarkStart w:id="156" w:name="_Toc142882040"/>
      <w:bookmarkStart w:id="157" w:name="_Toc197199128"/>
      <w:bookmarkStart w:id="158" w:name="_Toc271608996"/>
      <w:bookmarkStart w:id="159" w:name="_Toc271798822"/>
      <w:bookmarkStart w:id="160" w:name="_Toc143337213"/>
      <w:bookmarkStart w:id="161" w:name="_Toc143488615"/>
      <w:bookmarkStart w:id="162" w:name="_Toc31568"/>
      <w:bookmarkStart w:id="163" w:name="_Toc23114"/>
      <w:bookmarkStart w:id="164" w:name="_Toc243212929"/>
      <w:bookmarkStart w:id="165" w:name="_Toc22815"/>
      <w:bookmarkStart w:id="166" w:name="_Toc32061"/>
      <w:r>
        <w:rPr>
          <w:rFonts w:hint="eastAsia" w:ascii="宋体" w:hAnsi="宋体" w:eastAsia="宋体" w:cs="宋体"/>
          <w:b/>
          <w:color w:val="000000"/>
          <w:szCs w:val="21"/>
        </w:rPr>
        <w:t>3. 废标及招标失败</w:t>
      </w:r>
      <w:bookmarkEnd w:id="155"/>
      <w:bookmarkEnd w:id="156"/>
      <w:bookmarkEnd w:id="157"/>
      <w:bookmarkEnd w:id="158"/>
      <w:bookmarkEnd w:id="159"/>
      <w:bookmarkEnd w:id="160"/>
      <w:bookmarkEnd w:id="161"/>
      <w:bookmarkEnd w:id="162"/>
      <w:bookmarkEnd w:id="163"/>
      <w:bookmarkEnd w:id="164"/>
      <w:bookmarkEnd w:id="165"/>
      <w:bookmarkEnd w:id="166"/>
    </w:p>
    <w:p>
      <w:pPr>
        <w:autoSpaceDE w:val="0"/>
        <w:autoSpaceDN w:val="0"/>
        <w:adjustRightInd w:val="0"/>
        <w:snapToGrid w:val="0"/>
        <w:spacing w:line="240" w:lineRule="auto"/>
        <w:ind w:left="42" w:leftChars="20" w:firstLine="426" w:firstLineChars="200"/>
        <w:rPr>
          <w:rFonts w:hint="eastAsia" w:ascii="宋体" w:hAnsi="宋体" w:eastAsia="宋体" w:cs="宋体"/>
          <w:color w:val="000000"/>
          <w:szCs w:val="21"/>
        </w:rPr>
      </w:pPr>
      <w:r>
        <w:rPr>
          <w:rFonts w:hint="eastAsia" w:ascii="宋体" w:hAnsi="宋体" w:eastAsia="宋体" w:cs="宋体"/>
          <w:color w:val="000000"/>
          <w:szCs w:val="21"/>
        </w:rPr>
        <w:t>具体要求见第二</w:t>
      </w:r>
      <w:r>
        <w:rPr>
          <w:rFonts w:hint="eastAsia" w:ascii="宋体" w:hAnsi="宋体" w:eastAsia="宋体" w:cs="宋体"/>
          <w:color w:val="000000"/>
          <w:szCs w:val="21"/>
          <w:lang w:val="en-US" w:eastAsia="zh-CN"/>
        </w:rPr>
        <w:t>章</w:t>
      </w:r>
      <w:r>
        <w:rPr>
          <w:rFonts w:hint="eastAsia" w:ascii="宋体" w:hAnsi="宋体" w:eastAsia="宋体" w:cs="宋体"/>
          <w:color w:val="000000"/>
          <w:szCs w:val="21"/>
        </w:rPr>
        <w:t>投标须知中第10项要求。出现废标和采购失败时，按规定填写说明情况后，评标委员会审核通过。</w:t>
      </w:r>
    </w:p>
    <w:p>
      <w:pPr>
        <w:autoSpaceDE w:val="0"/>
        <w:autoSpaceDN w:val="0"/>
        <w:adjustRightInd w:val="0"/>
        <w:snapToGrid w:val="0"/>
        <w:spacing w:line="240" w:lineRule="auto"/>
        <w:outlineLvl w:val="0"/>
        <w:rPr>
          <w:rFonts w:hint="eastAsia" w:ascii="宋体" w:hAnsi="宋体" w:eastAsia="宋体" w:cs="宋体"/>
          <w:b/>
          <w:color w:val="000000"/>
          <w:szCs w:val="21"/>
        </w:rPr>
      </w:pPr>
      <w:bookmarkStart w:id="167" w:name="_Toc197199129"/>
      <w:bookmarkStart w:id="168" w:name="_Toc271608997"/>
      <w:bookmarkStart w:id="169" w:name="_Toc143337214"/>
      <w:bookmarkStart w:id="170" w:name="_Toc143488616"/>
      <w:bookmarkStart w:id="171" w:name="_Toc243212930"/>
      <w:bookmarkStart w:id="172" w:name="_Toc271798823"/>
      <w:bookmarkStart w:id="173" w:name="_Toc243201864"/>
      <w:bookmarkStart w:id="174" w:name="_Toc142882041"/>
      <w:bookmarkStart w:id="175" w:name="_Toc24777"/>
      <w:bookmarkStart w:id="176" w:name="_Toc27582"/>
      <w:bookmarkStart w:id="177" w:name="_Toc21282"/>
      <w:bookmarkStart w:id="178" w:name="_Toc13681"/>
      <w:r>
        <w:rPr>
          <w:rFonts w:hint="eastAsia" w:ascii="宋体" w:hAnsi="宋体" w:eastAsia="宋体" w:cs="宋体"/>
          <w:b/>
          <w:color w:val="000000"/>
          <w:szCs w:val="21"/>
        </w:rPr>
        <w:t>4.</w:t>
      </w:r>
      <w:bookmarkEnd w:id="167"/>
      <w:bookmarkEnd w:id="168"/>
      <w:bookmarkEnd w:id="169"/>
      <w:bookmarkEnd w:id="170"/>
      <w:bookmarkEnd w:id="171"/>
      <w:bookmarkEnd w:id="172"/>
      <w:bookmarkEnd w:id="173"/>
      <w:bookmarkEnd w:id="174"/>
      <w:r>
        <w:rPr>
          <w:rFonts w:hint="eastAsia" w:ascii="宋体" w:hAnsi="宋体" w:eastAsia="宋体" w:cs="宋体"/>
          <w:b/>
          <w:color w:val="000000"/>
          <w:szCs w:val="21"/>
        </w:rPr>
        <w:t>谈判小组</w:t>
      </w:r>
      <w:bookmarkEnd w:id="175"/>
      <w:bookmarkEnd w:id="176"/>
      <w:bookmarkEnd w:id="177"/>
      <w:bookmarkEnd w:id="178"/>
    </w:p>
    <w:p>
      <w:pPr>
        <w:autoSpaceDE w:val="0"/>
        <w:autoSpaceDN w:val="0"/>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采购人将根据《评标委员会和评标方法暂行规定》组建谈判小组，其成员由技术、经济等方面的专家和采购人（即用户单位）代表等</w:t>
      </w:r>
      <w:r>
        <w:rPr>
          <w:rFonts w:hint="eastAsia" w:ascii="宋体" w:hAnsi="宋体" w:eastAsia="宋体" w:cs="宋体"/>
          <w:color w:val="000000"/>
          <w:szCs w:val="21"/>
          <w:u w:val="single"/>
        </w:rPr>
        <w:t>五</w:t>
      </w:r>
      <w:r>
        <w:rPr>
          <w:rFonts w:hint="eastAsia" w:ascii="宋体" w:hAnsi="宋体" w:eastAsia="宋体" w:cs="宋体"/>
          <w:color w:val="000000"/>
          <w:szCs w:val="21"/>
        </w:rPr>
        <w:t>人及以上单数组成，其中技术、经济等方面的专家人数不少于总数三分之二，评标委员会对谈判响应文件进行审查、质疑、评估、比较。</w:t>
      </w:r>
    </w:p>
    <w:p>
      <w:pPr>
        <w:autoSpaceDE w:val="0"/>
        <w:autoSpaceDN w:val="0"/>
        <w:adjustRightInd w:val="0"/>
        <w:snapToGrid w:val="0"/>
        <w:spacing w:line="240" w:lineRule="auto"/>
        <w:outlineLvl w:val="0"/>
        <w:rPr>
          <w:rFonts w:hint="eastAsia" w:ascii="宋体" w:hAnsi="宋体" w:eastAsia="宋体" w:cs="宋体"/>
          <w:b/>
          <w:color w:val="000000"/>
          <w:szCs w:val="21"/>
        </w:rPr>
      </w:pPr>
      <w:bookmarkStart w:id="179" w:name="_Toc143488617"/>
      <w:bookmarkStart w:id="180" w:name="_Toc5723"/>
      <w:bookmarkStart w:id="181" w:name="_Toc142882042"/>
      <w:bookmarkStart w:id="182" w:name="_Toc197199130"/>
      <w:bookmarkStart w:id="183" w:name="_Toc271608998"/>
      <w:bookmarkStart w:id="184" w:name="_Toc271798824"/>
      <w:bookmarkStart w:id="185" w:name="_Toc143337215"/>
      <w:bookmarkStart w:id="186" w:name="_Toc243201865"/>
      <w:bookmarkStart w:id="187" w:name="_Toc8568"/>
      <w:bookmarkStart w:id="188" w:name="_Toc243212931"/>
      <w:bookmarkStart w:id="189" w:name="_Toc19204"/>
      <w:bookmarkStart w:id="190" w:name="_Toc3179"/>
      <w:r>
        <w:rPr>
          <w:rFonts w:hint="eastAsia" w:ascii="宋体" w:hAnsi="宋体" w:eastAsia="宋体" w:cs="宋体"/>
          <w:b/>
          <w:color w:val="000000"/>
          <w:szCs w:val="21"/>
        </w:rPr>
        <w:t>5.谈判响应文件的澄清</w:t>
      </w:r>
      <w:bookmarkEnd w:id="179"/>
      <w:bookmarkEnd w:id="180"/>
      <w:bookmarkEnd w:id="181"/>
      <w:bookmarkEnd w:id="182"/>
      <w:bookmarkEnd w:id="183"/>
      <w:bookmarkEnd w:id="184"/>
      <w:bookmarkEnd w:id="185"/>
      <w:bookmarkEnd w:id="186"/>
      <w:bookmarkEnd w:id="187"/>
      <w:bookmarkEnd w:id="188"/>
      <w:bookmarkEnd w:id="189"/>
      <w:bookmarkEnd w:id="190"/>
    </w:p>
    <w:p>
      <w:pPr>
        <w:autoSpaceDE w:val="0"/>
        <w:autoSpaceDN w:val="0"/>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为了有助于对谈判响应文件进行审查、评估和比较，采购人有权向谈判供应商质疑，请谈判供应商澄清其竞争性谈判内容。谈判供应商有责任按照采购人通知的时间、地点派专人进行答疑和书面澄清。</w:t>
      </w:r>
    </w:p>
    <w:p>
      <w:pPr>
        <w:autoSpaceDE w:val="0"/>
        <w:autoSpaceDN w:val="0"/>
        <w:adjustRightInd w:val="0"/>
        <w:snapToGrid w:val="0"/>
        <w:spacing w:line="240" w:lineRule="auto"/>
        <w:outlineLvl w:val="0"/>
        <w:rPr>
          <w:rFonts w:hint="eastAsia" w:ascii="宋体" w:hAnsi="宋体" w:eastAsia="宋体" w:cs="宋体"/>
          <w:b/>
          <w:color w:val="000000"/>
          <w:szCs w:val="21"/>
        </w:rPr>
      </w:pPr>
      <w:bookmarkStart w:id="191" w:name="_Toc243201866"/>
      <w:bookmarkStart w:id="192" w:name="_Toc197199131"/>
      <w:bookmarkStart w:id="193" w:name="_Toc143337216"/>
      <w:bookmarkStart w:id="194" w:name="_Toc271608999"/>
      <w:bookmarkStart w:id="195" w:name="_Toc271798825"/>
      <w:bookmarkStart w:id="196" w:name="_Toc142882043"/>
      <w:bookmarkStart w:id="197" w:name="_Toc25130"/>
      <w:bookmarkStart w:id="198" w:name="_Toc243212932"/>
      <w:bookmarkStart w:id="199" w:name="_Toc6827"/>
      <w:bookmarkStart w:id="200" w:name="_Toc143488618"/>
      <w:bookmarkStart w:id="201" w:name="_Toc6225"/>
      <w:bookmarkStart w:id="202" w:name="_Toc24106"/>
      <w:r>
        <w:rPr>
          <w:rFonts w:hint="eastAsia" w:ascii="宋体" w:hAnsi="宋体" w:eastAsia="宋体" w:cs="宋体"/>
          <w:b/>
          <w:color w:val="000000"/>
          <w:szCs w:val="21"/>
        </w:rPr>
        <w:t>6. 评标原则与方法</w:t>
      </w:r>
      <w:bookmarkEnd w:id="191"/>
      <w:bookmarkEnd w:id="192"/>
      <w:bookmarkEnd w:id="193"/>
      <w:bookmarkEnd w:id="194"/>
      <w:bookmarkEnd w:id="195"/>
      <w:bookmarkEnd w:id="196"/>
      <w:bookmarkEnd w:id="197"/>
      <w:bookmarkEnd w:id="198"/>
      <w:bookmarkEnd w:id="199"/>
      <w:bookmarkEnd w:id="200"/>
      <w:bookmarkEnd w:id="201"/>
      <w:bookmarkEnd w:id="202"/>
    </w:p>
    <w:p>
      <w:pPr>
        <w:autoSpaceDE w:val="0"/>
        <w:autoSpaceDN w:val="0"/>
        <w:adjustRightInd w:val="0"/>
        <w:snapToGrid w:val="0"/>
        <w:spacing w:line="240" w:lineRule="auto"/>
        <w:ind w:left="420" w:hanging="426" w:hangingChars="200"/>
        <w:rPr>
          <w:rFonts w:hint="eastAsia" w:ascii="宋体" w:hAnsi="宋体" w:eastAsia="宋体" w:cs="宋体"/>
          <w:color w:val="000000"/>
          <w:szCs w:val="21"/>
        </w:rPr>
      </w:pPr>
      <w:r>
        <w:rPr>
          <w:rFonts w:hint="eastAsia" w:ascii="宋体" w:hAnsi="宋体" w:eastAsia="宋体" w:cs="宋体"/>
          <w:color w:val="000000"/>
          <w:szCs w:val="21"/>
        </w:rPr>
        <w:t>6.1 谈判小组将遵照公开、公平、公正的评标原则，严格按照谈判文件的要求和条件进行评标，平等地对待所有谈判供应商，择优定标。</w:t>
      </w:r>
    </w:p>
    <w:p>
      <w:pPr>
        <w:autoSpaceDE w:val="0"/>
        <w:autoSpaceDN w:val="0"/>
        <w:adjustRightInd w:val="0"/>
        <w:snapToGrid w:val="0"/>
        <w:spacing w:line="240" w:lineRule="auto"/>
        <w:ind w:left="420" w:hanging="426" w:hangingChars="200"/>
        <w:rPr>
          <w:rFonts w:hint="eastAsia" w:ascii="宋体" w:hAnsi="宋体" w:eastAsia="宋体" w:cs="宋体"/>
          <w:color w:val="000000"/>
          <w:szCs w:val="21"/>
        </w:rPr>
      </w:pPr>
      <w:r>
        <w:rPr>
          <w:rFonts w:hint="eastAsia" w:ascii="宋体" w:hAnsi="宋体" w:eastAsia="宋体" w:cs="宋体"/>
          <w:color w:val="000000"/>
          <w:szCs w:val="21"/>
        </w:rPr>
        <w:t>6.2 谈判小组将对竞争性谈判书中的每个响应进行评价，检查其对谈判文件要求的符合程度并给出评分。</w:t>
      </w:r>
    </w:p>
    <w:p>
      <w:pPr>
        <w:autoSpaceDE w:val="0"/>
        <w:autoSpaceDN w:val="0"/>
        <w:adjustRightInd w:val="0"/>
        <w:snapToGrid w:val="0"/>
        <w:spacing w:line="240" w:lineRule="auto"/>
        <w:ind w:left="420" w:hanging="426" w:hangingChars="200"/>
        <w:rPr>
          <w:rFonts w:hint="eastAsia" w:ascii="宋体" w:hAnsi="宋体" w:eastAsia="宋体" w:cs="宋体"/>
          <w:color w:val="000000"/>
          <w:szCs w:val="21"/>
        </w:rPr>
      </w:pPr>
      <w:r>
        <w:rPr>
          <w:rFonts w:hint="eastAsia" w:ascii="宋体" w:hAnsi="宋体" w:eastAsia="宋体" w:cs="宋体"/>
          <w:color w:val="000000"/>
          <w:szCs w:val="21"/>
        </w:rPr>
        <w:t>6.3 综合各谈判供应商商务、技术和报价进行综合评价，产生综合评估分，综合评估得分最高者为最优。</w:t>
      </w:r>
    </w:p>
    <w:p>
      <w:pPr>
        <w:pStyle w:val="4"/>
        <w:adjustRightInd w:val="0"/>
        <w:snapToGrid w:val="0"/>
        <w:spacing w:before="0" w:after="0" w:line="240" w:lineRule="auto"/>
        <w:rPr>
          <w:rFonts w:hint="eastAsia" w:ascii="宋体" w:hAnsi="宋体" w:eastAsia="宋体" w:cs="宋体"/>
          <w:b w:val="0"/>
          <w:color w:val="000000"/>
          <w:sz w:val="21"/>
          <w:szCs w:val="21"/>
        </w:rPr>
      </w:pPr>
      <w:bookmarkStart w:id="203" w:name="_Toc271798826"/>
      <w:bookmarkStart w:id="204" w:name="_Toc8731"/>
      <w:bookmarkStart w:id="205" w:name="_Toc7555"/>
      <w:bookmarkStart w:id="206" w:name="_Toc9367"/>
      <w:r>
        <w:rPr>
          <w:rFonts w:hint="eastAsia" w:ascii="宋体" w:hAnsi="宋体" w:eastAsia="宋体" w:cs="宋体"/>
          <w:b w:val="0"/>
          <w:color w:val="000000"/>
          <w:sz w:val="21"/>
          <w:szCs w:val="21"/>
        </w:rPr>
        <w:t>附：评标文件</w:t>
      </w:r>
      <w:bookmarkEnd w:id="203"/>
      <w:bookmarkEnd w:id="204"/>
      <w:bookmarkEnd w:id="205"/>
      <w:bookmarkEnd w:id="206"/>
    </w:p>
    <w:p>
      <w:pPr>
        <w:autoSpaceDE w:val="0"/>
        <w:autoSpaceDN w:val="0"/>
        <w:adjustRightInd w:val="0"/>
        <w:snapToGrid w:val="0"/>
        <w:spacing w:line="240" w:lineRule="auto"/>
        <w:ind w:left="422" w:hanging="426" w:hangingChars="200"/>
        <w:rPr>
          <w:rFonts w:hint="eastAsia" w:ascii="宋体" w:hAnsi="宋体" w:eastAsia="宋体" w:cs="宋体"/>
          <w:b/>
          <w:color w:val="000000"/>
          <w:szCs w:val="21"/>
        </w:rPr>
      </w:pPr>
      <w:r>
        <w:rPr>
          <w:rFonts w:hint="eastAsia" w:ascii="宋体" w:hAnsi="宋体" w:eastAsia="宋体" w:cs="宋体"/>
          <w:b/>
          <w:color w:val="000000"/>
          <w:szCs w:val="21"/>
        </w:rPr>
        <w:t>1.评标须知</w:t>
      </w:r>
    </w:p>
    <w:p>
      <w:pPr>
        <w:autoSpaceDE w:val="0"/>
        <w:autoSpaceDN w:val="0"/>
        <w:adjustRightInd w:val="0"/>
        <w:snapToGrid w:val="0"/>
        <w:spacing w:line="240" w:lineRule="auto"/>
        <w:rPr>
          <w:rFonts w:hint="eastAsia" w:ascii="宋体" w:hAnsi="宋体" w:eastAsia="宋体" w:cs="宋体"/>
          <w:b/>
          <w:color w:val="000000"/>
          <w:szCs w:val="21"/>
        </w:rPr>
      </w:pPr>
      <w:r>
        <w:rPr>
          <w:rFonts w:hint="eastAsia" w:ascii="宋体" w:hAnsi="宋体" w:eastAsia="宋体" w:cs="宋体"/>
          <w:b/>
          <w:color w:val="000000"/>
          <w:szCs w:val="21"/>
        </w:rPr>
        <w:t>1.1 关于评标方案</w:t>
      </w:r>
    </w:p>
    <w:p>
      <w:pPr>
        <w:autoSpaceDE w:val="0"/>
        <w:autoSpaceDN w:val="0"/>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1.1.1 谈判小组的每个成员(以下简称评委)应认真阅读并确认已经正确理解了评标方案；</w:t>
      </w:r>
    </w:p>
    <w:p>
      <w:pPr>
        <w:autoSpaceDE w:val="0"/>
        <w:autoSpaceDN w:val="0"/>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1.1.2 评委如对评标方案有异议，应在评标开始前提出。</w:t>
      </w:r>
    </w:p>
    <w:p>
      <w:pPr>
        <w:autoSpaceDE w:val="0"/>
        <w:autoSpaceDN w:val="0"/>
        <w:adjustRightInd w:val="0"/>
        <w:snapToGrid w:val="0"/>
        <w:spacing w:line="240" w:lineRule="auto"/>
        <w:rPr>
          <w:rFonts w:hint="eastAsia" w:ascii="宋体" w:hAnsi="宋体" w:eastAsia="宋体" w:cs="宋体"/>
          <w:b/>
          <w:color w:val="000000"/>
          <w:szCs w:val="21"/>
        </w:rPr>
      </w:pPr>
      <w:r>
        <w:rPr>
          <w:rFonts w:hint="eastAsia" w:ascii="宋体" w:hAnsi="宋体" w:eastAsia="宋体" w:cs="宋体"/>
          <w:b/>
          <w:color w:val="000000"/>
          <w:szCs w:val="21"/>
        </w:rPr>
        <w:t>1.2 关于评标</w:t>
      </w:r>
    </w:p>
    <w:p>
      <w:pPr>
        <w:autoSpaceDE w:val="0"/>
        <w:autoSpaceDN w:val="0"/>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1.2.1 每个评委应本着客观、公正的原则独立给出评价意见；</w:t>
      </w:r>
    </w:p>
    <w:p>
      <w:pPr>
        <w:autoSpaceDE w:val="0"/>
        <w:autoSpaceDN w:val="0"/>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1.2.2 评委之间不得相互串通进行评分；</w:t>
      </w:r>
    </w:p>
    <w:p>
      <w:pPr>
        <w:autoSpaceDE w:val="0"/>
        <w:autoSpaceDN w:val="0"/>
        <w:adjustRightInd w:val="0"/>
        <w:snapToGrid w:val="0"/>
        <w:spacing w:line="240" w:lineRule="auto"/>
        <w:ind w:firstLine="426" w:firstLineChars="200"/>
        <w:rPr>
          <w:rFonts w:hint="eastAsia" w:ascii="宋体" w:hAnsi="宋体" w:eastAsia="宋体" w:cs="宋体"/>
          <w:color w:val="000000"/>
          <w:szCs w:val="21"/>
        </w:rPr>
      </w:pPr>
      <w:r>
        <w:rPr>
          <w:rFonts w:hint="eastAsia" w:ascii="宋体" w:hAnsi="宋体" w:eastAsia="宋体" w:cs="宋体"/>
          <w:color w:val="000000"/>
          <w:szCs w:val="21"/>
        </w:rPr>
        <w:t>1.2.3 评委不得试图影响其他评委的评价意见。</w:t>
      </w:r>
    </w:p>
    <w:p>
      <w:pPr>
        <w:autoSpaceDE w:val="0"/>
        <w:autoSpaceDN w:val="0"/>
        <w:adjustRightInd w:val="0"/>
        <w:snapToGrid w:val="0"/>
        <w:spacing w:line="240" w:lineRule="auto"/>
        <w:rPr>
          <w:rFonts w:hint="eastAsia" w:ascii="宋体" w:hAnsi="宋体" w:eastAsia="宋体" w:cs="宋体"/>
          <w:b/>
          <w:color w:val="000000"/>
          <w:szCs w:val="21"/>
        </w:rPr>
      </w:pPr>
      <w:r>
        <w:rPr>
          <w:rFonts w:hint="eastAsia" w:ascii="宋体" w:hAnsi="宋体" w:eastAsia="宋体" w:cs="宋体"/>
          <w:b/>
          <w:color w:val="000000"/>
          <w:szCs w:val="21"/>
        </w:rPr>
        <w:t>1.3 关于保密</w:t>
      </w:r>
    </w:p>
    <w:p>
      <w:pPr>
        <w:autoSpaceDE w:val="0"/>
        <w:autoSpaceDN w:val="0"/>
        <w:adjustRightInd w:val="0"/>
        <w:snapToGrid w:val="0"/>
        <w:spacing w:line="240" w:lineRule="auto"/>
        <w:ind w:left="485" w:leftChars="228" w:firstLine="10" w:firstLineChars="5"/>
        <w:rPr>
          <w:rFonts w:hint="eastAsia" w:ascii="宋体" w:hAnsi="宋体" w:eastAsia="宋体" w:cs="宋体"/>
          <w:color w:val="000000"/>
          <w:szCs w:val="21"/>
        </w:rPr>
      </w:pPr>
      <w:r>
        <w:rPr>
          <w:rFonts w:hint="eastAsia" w:ascii="宋体" w:hAnsi="宋体" w:eastAsia="宋体" w:cs="宋体"/>
          <w:color w:val="000000"/>
          <w:szCs w:val="21"/>
        </w:rPr>
        <w:t>1.3.1 评委不得私下接触谈判供应商；</w:t>
      </w:r>
    </w:p>
    <w:p>
      <w:pPr>
        <w:autoSpaceDE w:val="0"/>
        <w:autoSpaceDN w:val="0"/>
        <w:adjustRightInd w:val="0"/>
        <w:snapToGrid w:val="0"/>
        <w:spacing w:line="240" w:lineRule="auto"/>
        <w:ind w:left="485" w:leftChars="228" w:firstLine="10" w:firstLineChars="5"/>
        <w:rPr>
          <w:rFonts w:hint="eastAsia" w:ascii="宋体" w:hAnsi="宋体" w:eastAsia="宋体" w:cs="宋体"/>
          <w:color w:val="000000"/>
          <w:szCs w:val="21"/>
        </w:rPr>
      </w:pPr>
      <w:r>
        <w:rPr>
          <w:rFonts w:hint="eastAsia" w:ascii="宋体" w:hAnsi="宋体" w:eastAsia="宋体" w:cs="宋体"/>
          <w:color w:val="000000"/>
          <w:szCs w:val="21"/>
        </w:rPr>
        <w:t>1.3.2 评委不得接受谈判供应商的财物或其他好处；</w:t>
      </w:r>
    </w:p>
    <w:p>
      <w:pPr>
        <w:autoSpaceDE w:val="0"/>
        <w:autoSpaceDN w:val="0"/>
        <w:adjustRightInd w:val="0"/>
        <w:snapToGrid w:val="0"/>
        <w:spacing w:line="240" w:lineRule="auto"/>
        <w:ind w:left="485" w:leftChars="228" w:firstLine="10" w:firstLineChars="5"/>
        <w:rPr>
          <w:rFonts w:hint="eastAsia" w:ascii="宋体" w:hAnsi="宋体" w:eastAsia="宋体" w:cs="宋体"/>
          <w:color w:val="000000"/>
          <w:szCs w:val="21"/>
        </w:rPr>
      </w:pPr>
      <w:r>
        <w:rPr>
          <w:rFonts w:hint="eastAsia" w:ascii="宋体" w:hAnsi="宋体" w:eastAsia="宋体" w:cs="宋体"/>
          <w:color w:val="000000"/>
          <w:szCs w:val="21"/>
        </w:rPr>
        <w:t>1.3.3 评委不得透露评标过程中的任何情况。</w:t>
      </w:r>
    </w:p>
    <w:p>
      <w:pPr>
        <w:autoSpaceDE w:val="0"/>
        <w:autoSpaceDN w:val="0"/>
        <w:adjustRightInd w:val="0"/>
        <w:snapToGrid w:val="0"/>
        <w:spacing w:line="240" w:lineRule="auto"/>
        <w:rPr>
          <w:rFonts w:hint="eastAsia" w:ascii="宋体" w:hAnsi="宋体" w:eastAsia="宋体" w:cs="宋体"/>
          <w:b/>
          <w:color w:val="000000"/>
          <w:szCs w:val="21"/>
        </w:rPr>
      </w:pPr>
      <w:r>
        <w:rPr>
          <w:rFonts w:hint="eastAsia" w:ascii="宋体" w:hAnsi="宋体" w:eastAsia="宋体" w:cs="宋体"/>
          <w:b/>
          <w:color w:val="000000"/>
          <w:szCs w:val="21"/>
        </w:rPr>
        <w:t>1.4 关于评标责任</w:t>
      </w:r>
    </w:p>
    <w:p>
      <w:pPr>
        <w:autoSpaceDE w:val="0"/>
        <w:autoSpaceDN w:val="0"/>
        <w:adjustRightInd w:val="0"/>
        <w:snapToGrid w:val="0"/>
        <w:spacing w:line="240" w:lineRule="auto"/>
        <w:ind w:left="485" w:leftChars="228" w:firstLine="10" w:firstLineChars="5"/>
        <w:rPr>
          <w:rFonts w:hint="eastAsia" w:ascii="宋体" w:hAnsi="宋体" w:eastAsia="宋体" w:cs="宋体"/>
          <w:color w:val="000000"/>
          <w:szCs w:val="21"/>
        </w:rPr>
      </w:pPr>
      <w:r>
        <w:rPr>
          <w:rFonts w:hint="eastAsia" w:ascii="宋体" w:hAnsi="宋体" w:eastAsia="宋体" w:cs="宋体"/>
          <w:color w:val="000000"/>
          <w:szCs w:val="21"/>
        </w:rPr>
        <w:t>1.4.1 评委应在其书面评审意见和评标文件上签字确认；</w:t>
      </w:r>
    </w:p>
    <w:p>
      <w:pPr>
        <w:autoSpaceDE w:val="0"/>
        <w:autoSpaceDN w:val="0"/>
        <w:adjustRightInd w:val="0"/>
        <w:snapToGrid w:val="0"/>
        <w:spacing w:line="240" w:lineRule="auto"/>
        <w:ind w:left="485" w:leftChars="228" w:firstLine="10" w:firstLineChars="5"/>
        <w:rPr>
          <w:rFonts w:hint="eastAsia" w:ascii="宋体" w:hAnsi="宋体" w:eastAsia="宋体" w:cs="宋体"/>
          <w:color w:val="000000"/>
          <w:szCs w:val="21"/>
        </w:rPr>
      </w:pPr>
      <w:r>
        <w:rPr>
          <w:rFonts w:hint="eastAsia" w:ascii="宋体" w:hAnsi="宋体" w:eastAsia="宋体" w:cs="宋体"/>
          <w:color w:val="000000"/>
          <w:szCs w:val="21"/>
        </w:rPr>
        <w:t>1.4.2 评委对其所提出的评审意见承担个人责任。</w:t>
      </w:r>
    </w:p>
    <w:p>
      <w:pPr>
        <w:autoSpaceDE w:val="0"/>
        <w:autoSpaceDN w:val="0"/>
        <w:adjustRightInd w:val="0"/>
        <w:snapToGrid w:val="0"/>
        <w:spacing w:line="240" w:lineRule="auto"/>
        <w:ind w:left="422" w:hanging="426" w:hangingChars="200"/>
        <w:rPr>
          <w:rFonts w:hint="eastAsia" w:ascii="宋体" w:hAnsi="宋体" w:eastAsia="宋体" w:cs="宋体"/>
          <w:b/>
          <w:color w:val="000000"/>
          <w:szCs w:val="21"/>
        </w:rPr>
      </w:pPr>
      <w:r>
        <w:rPr>
          <w:rFonts w:hint="eastAsia" w:ascii="宋体" w:hAnsi="宋体" w:eastAsia="宋体" w:cs="宋体"/>
          <w:b/>
          <w:color w:val="000000"/>
          <w:szCs w:val="21"/>
        </w:rPr>
        <w:t>2.评标流程</w:t>
      </w:r>
    </w:p>
    <w:p>
      <w:pPr>
        <w:autoSpaceDE w:val="0"/>
        <w:autoSpaceDN w:val="0"/>
        <w:adjustRightInd w:val="0"/>
        <w:snapToGrid w:val="0"/>
        <w:spacing w:line="240" w:lineRule="auto"/>
        <w:ind w:left="668" w:leftChars="114" w:hanging="426" w:hangingChars="200"/>
        <w:rPr>
          <w:rFonts w:hint="eastAsia" w:ascii="宋体" w:hAnsi="宋体" w:eastAsia="宋体" w:cs="宋体"/>
          <w:color w:val="000000"/>
          <w:szCs w:val="21"/>
        </w:rPr>
      </w:pPr>
      <w:r>
        <w:rPr>
          <w:rFonts w:hint="eastAsia" w:ascii="宋体" w:hAnsi="宋体" w:eastAsia="宋体" w:cs="宋体"/>
          <w:color w:val="000000"/>
          <w:szCs w:val="21"/>
        </w:rPr>
        <w:t>2.1 谈判响应文件完整性检验和谈判供应商资格符合性审查</w:t>
      </w:r>
    </w:p>
    <w:p>
      <w:pPr>
        <w:autoSpaceDE w:val="0"/>
        <w:autoSpaceDN w:val="0"/>
        <w:adjustRightInd w:val="0"/>
        <w:snapToGrid w:val="0"/>
        <w:spacing w:line="240" w:lineRule="auto"/>
        <w:ind w:left="455" w:leftChars="114" w:hanging="213" w:hangingChars="100"/>
        <w:rPr>
          <w:rFonts w:hint="eastAsia" w:ascii="宋体" w:hAnsi="宋体" w:eastAsia="宋体" w:cs="宋体"/>
          <w:color w:val="000000"/>
          <w:szCs w:val="21"/>
        </w:rPr>
      </w:pPr>
      <w:r>
        <w:rPr>
          <w:rFonts w:hint="eastAsia" w:ascii="宋体" w:hAnsi="宋体" w:eastAsia="宋体" w:cs="宋体"/>
          <w:color w:val="000000"/>
          <w:szCs w:val="21"/>
        </w:rPr>
        <w:t>2.2 商务、技术方案响应性评定</w:t>
      </w:r>
    </w:p>
    <w:p>
      <w:pPr>
        <w:autoSpaceDE w:val="0"/>
        <w:autoSpaceDN w:val="0"/>
        <w:adjustRightInd w:val="0"/>
        <w:snapToGrid w:val="0"/>
        <w:spacing w:line="240" w:lineRule="auto"/>
        <w:ind w:left="455" w:leftChars="114" w:hanging="213" w:hangingChars="100"/>
        <w:rPr>
          <w:rFonts w:hint="eastAsia" w:ascii="宋体" w:hAnsi="宋体" w:eastAsia="宋体" w:cs="宋体"/>
          <w:color w:val="000000"/>
          <w:szCs w:val="21"/>
        </w:rPr>
      </w:pPr>
      <w:r>
        <w:rPr>
          <w:rFonts w:hint="eastAsia" w:ascii="宋体" w:hAnsi="宋体" w:eastAsia="宋体" w:cs="宋体"/>
          <w:color w:val="000000"/>
          <w:szCs w:val="21"/>
        </w:rPr>
        <w:t>2.3 报价响应性评定</w:t>
      </w:r>
    </w:p>
    <w:p>
      <w:pPr>
        <w:autoSpaceDE w:val="0"/>
        <w:autoSpaceDN w:val="0"/>
        <w:adjustRightInd w:val="0"/>
        <w:snapToGrid w:val="0"/>
        <w:spacing w:line="240" w:lineRule="auto"/>
        <w:ind w:left="455" w:leftChars="114" w:hanging="213" w:hangingChars="100"/>
        <w:rPr>
          <w:rFonts w:hint="eastAsia" w:ascii="宋体" w:hAnsi="宋体" w:eastAsia="宋体" w:cs="宋体"/>
          <w:color w:val="000000"/>
          <w:szCs w:val="21"/>
        </w:rPr>
      </w:pPr>
      <w:r>
        <w:rPr>
          <w:rFonts w:hint="eastAsia" w:ascii="宋体" w:hAnsi="宋体" w:eastAsia="宋体" w:cs="宋体"/>
          <w:color w:val="000000"/>
          <w:szCs w:val="21"/>
        </w:rPr>
        <w:t>2.4 综合评估分的计算和排序</w:t>
      </w:r>
    </w:p>
    <w:p>
      <w:pPr>
        <w:adjustRightInd w:val="0"/>
        <w:snapToGrid w:val="0"/>
        <w:spacing w:line="240" w:lineRule="auto"/>
        <w:rPr>
          <w:rFonts w:hint="eastAsia" w:ascii="宋体" w:hAnsi="宋体" w:eastAsia="宋体" w:cs="宋体"/>
          <w:b/>
          <w:color w:val="000000"/>
          <w:szCs w:val="21"/>
        </w:rPr>
      </w:pPr>
      <w:r>
        <w:rPr>
          <w:rFonts w:hint="eastAsia" w:ascii="宋体" w:hAnsi="宋体" w:eastAsia="宋体" w:cs="宋体"/>
          <w:b/>
          <w:color w:val="000000"/>
          <w:szCs w:val="21"/>
        </w:rPr>
        <w:t>3.评标方案</w:t>
      </w:r>
    </w:p>
    <w:p>
      <w:pPr>
        <w:pStyle w:val="9"/>
        <w:spacing w:line="240" w:lineRule="auto"/>
        <w:rPr>
          <w:rFonts w:hint="eastAsia" w:hAnsi="宋体" w:cs="宋体"/>
        </w:rPr>
      </w:pPr>
      <w:r>
        <w:rPr>
          <w:rFonts w:hint="eastAsia" w:hAnsi="宋体" w:cs="宋体"/>
        </w:rPr>
        <w:t>本项目的评标办法为综合评估法。</w:t>
      </w:r>
    </w:p>
    <w:p>
      <w:pPr>
        <w:keepNext/>
        <w:spacing w:line="240" w:lineRule="auto"/>
        <w:rPr>
          <w:rFonts w:hint="eastAsia" w:ascii="宋体" w:hAnsi="宋体" w:eastAsia="宋体" w:cs="宋体"/>
          <w:sz w:val="21"/>
          <w:szCs w:val="21"/>
        </w:rPr>
      </w:pPr>
      <w:r>
        <w:rPr>
          <w:rFonts w:hint="eastAsia" w:ascii="宋体" w:hAnsi="宋体" w:eastAsia="宋体" w:cs="宋体"/>
          <w:sz w:val="21"/>
          <w:szCs w:val="21"/>
        </w:rPr>
        <w:t>符合性检查表：</w:t>
      </w:r>
    </w:p>
    <w:tbl>
      <w:tblPr>
        <w:tblStyle w:val="16"/>
        <w:tblW w:w="11766" w:type="dxa"/>
        <w:tblInd w:w="-1593" w:type="dxa"/>
        <w:tblLayout w:type="fixed"/>
        <w:tblCellMar>
          <w:top w:w="0" w:type="dxa"/>
          <w:left w:w="108" w:type="dxa"/>
          <w:bottom w:w="0" w:type="dxa"/>
          <w:right w:w="108" w:type="dxa"/>
        </w:tblCellMar>
      </w:tblPr>
      <w:tblGrid>
        <w:gridCol w:w="11766"/>
      </w:tblGrid>
      <w:tr>
        <w:tblPrEx>
          <w:tblCellMar>
            <w:top w:w="0" w:type="dxa"/>
            <w:left w:w="108" w:type="dxa"/>
            <w:bottom w:w="0" w:type="dxa"/>
            <w:right w:w="108" w:type="dxa"/>
          </w:tblCellMar>
        </w:tblPrEx>
        <w:trPr>
          <w:trHeight w:val="9181" w:hRule="atLeast"/>
        </w:trPr>
        <w:tc>
          <w:tcPr>
            <w:tcW w:w="11766" w:type="dxa"/>
          </w:tcPr>
          <w:tbl>
            <w:tblPr>
              <w:tblStyle w:val="16"/>
              <w:tblW w:w="88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1"/>
              <w:gridCol w:w="6624"/>
              <w:gridCol w:w="15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1" w:type="dxa"/>
                  <w:vAlign w:val="center"/>
                </w:tcPr>
                <w:p>
                  <w:pPr>
                    <w:spacing w:line="240" w:lineRule="auto"/>
                    <w:jc w:val="center"/>
                    <w:rPr>
                      <w:rFonts w:hint="eastAsia" w:ascii="宋体" w:hAnsi="宋体" w:eastAsia="宋体" w:cs="宋体"/>
                      <w:szCs w:val="21"/>
                    </w:rPr>
                  </w:pPr>
                  <w:r>
                    <w:rPr>
                      <w:rFonts w:hint="eastAsia" w:ascii="宋体" w:hAnsi="宋体" w:eastAsia="宋体" w:cs="宋体"/>
                      <w:szCs w:val="21"/>
                    </w:rPr>
                    <w:t>序号</w:t>
                  </w:r>
                </w:p>
              </w:tc>
              <w:tc>
                <w:tcPr>
                  <w:tcW w:w="6624" w:type="dxa"/>
                  <w:vAlign w:val="center"/>
                </w:tcPr>
                <w:p>
                  <w:pPr>
                    <w:spacing w:line="240" w:lineRule="auto"/>
                    <w:ind w:left="-828" w:firstLine="828"/>
                    <w:jc w:val="center"/>
                    <w:rPr>
                      <w:rFonts w:hint="eastAsia" w:ascii="宋体" w:hAnsi="宋体" w:eastAsia="宋体" w:cs="宋体"/>
                      <w:sz w:val="21"/>
                      <w:szCs w:val="21"/>
                    </w:rPr>
                  </w:pPr>
                  <w:r>
                    <w:rPr>
                      <w:rFonts w:hint="eastAsia" w:ascii="宋体" w:hAnsi="宋体" w:eastAsia="宋体" w:cs="宋体"/>
                      <w:szCs w:val="21"/>
                    </w:rPr>
                    <w:t>评议内容</w:t>
                  </w:r>
                </w:p>
              </w:tc>
              <w:tc>
                <w:tcPr>
                  <w:tcW w:w="1570" w:type="dxa"/>
                  <w:vAlign w:val="center"/>
                </w:tcPr>
                <w:p>
                  <w:pPr>
                    <w:spacing w:line="240" w:lineRule="auto"/>
                    <w:ind w:left="44" w:hanging="44"/>
                    <w:jc w:val="center"/>
                    <w:rPr>
                      <w:rFonts w:hint="eastAsia" w:ascii="宋体" w:hAnsi="宋体" w:eastAsia="宋体" w:cs="宋体"/>
                      <w:sz w:val="21"/>
                      <w:szCs w:val="21"/>
                    </w:rPr>
                  </w:pPr>
                  <w:r>
                    <w:rPr>
                      <w:rFonts w:hint="eastAsia" w:ascii="宋体" w:hAnsi="宋体" w:eastAsia="宋体" w:cs="宋体"/>
                      <w:szCs w:val="21"/>
                    </w:rPr>
                    <w:t>评议结果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1" w:type="dxa"/>
                  <w:vAlign w:val="center"/>
                </w:tcPr>
                <w:p>
                  <w:pPr>
                    <w:numPr>
                      <w:ilvl w:val="0"/>
                      <w:numId w:val="15"/>
                    </w:numPr>
                    <w:spacing w:line="240" w:lineRule="auto"/>
                    <w:ind w:left="425" w:hanging="425"/>
                    <w:jc w:val="center"/>
                    <w:rPr>
                      <w:rFonts w:hint="eastAsia" w:ascii="宋体" w:hAnsi="宋体" w:eastAsia="宋体" w:cs="宋体"/>
                      <w:szCs w:val="21"/>
                    </w:rPr>
                  </w:pPr>
                </w:p>
              </w:tc>
              <w:tc>
                <w:tcPr>
                  <w:tcW w:w="6624" w:type="dxa"/>
                  <w:vAlign w:val="top"/>
                </w:tcPr>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szCs w:val="21"/>
                    </w:rPr>
                    <w:t>投标人的合格性（见投标人须知：“合格的投标人”及本章“投标文件否决性条款摘要”要求）</w:t>
                  </w:r>
                </w:p>
              </w:tc>
              <w:tc>
                <w:tcPr>
                  <w:tcW w:w="1570" w:type="dxa"/>
                  <w:vAlign w:val="center"/>
                </w:tcPr>
                <w:p>
                  <w:pPr>
                    <w:pageBreakBefore w:val="0"/>
                    <w:kinsoku/>
                    <w:wordWrap/>
                    <w:overflowPunct/>
                    <w:topLinePunct w:val="0"/>
                    <w:bidi w:val="0"/>
                    <w:spacing w:line="360" w:lineRule="auto"/>
                    <w:ind w:left="0" w:leftChars="0" w:right="0" w:rightChars="0" w:firstLine="0" w:firstLine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合格/不合格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 w:hRule="atLeast"/>
                <w:jc w:val="center"/>
              </w:trPr>
              <w:tc>
                <w:tcPr>
                  <w:tcW w:w="611" w:type="dxa"/>
                  <w:vAlign w:val="center"/>
                </w:tcPr>
                <w:p>
                  <w:pPr>
                    <w:numPr>
                      <w:ilvl w:val="0"/>
                      <w:numId w:val="15"/>
                    </w:numPr>
                    <w:spacing w:line="240" w:lineRule="auto"/>
                    <w:ind w:left="425" w:hanging="425"/>
                    <w:jc w:val="center"/>
                    <w:rPr>
                      <w:rFonts w:hint="eastAsia" w:ascii="宋体" w:hAnsi="宋体" w:eastAsia="宋体" w:cs="宋体"/>
                      <w:szCs w:val="21"/>
                    </w:rPr>
                  </w:pPr>
                </w:p>
              </w:tc>
              <w:tc>
                <w:tcPr>
                  <w:tcW w:w="6624" w:type="dxa"/>
                  <w:vAlign w:val="top"/>
                </w:tcPr>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szCs w:val="21"/>
                    </w:rPr>
                    <w:t>投标的有效性:是否按要求由法定代表人或授权代表签署和加盖公章</w:t>
                  </w:r>
                </w:p>
              </w:tc>
              <w:tc>
                <w:tcPr>
                  <w:tcW w:w="1570" w:type="dxa"/>
                  <w:shd w:val="clear" w:color="auto" w:fill="auto"/>
                  <w:vAlign w:val="center"/>
                </w:tcPr>
                <w:p>
                  <w:pPr>
                    <w:pageBreakBefore w:val="0"/>
                    <w:kinsoku/>
                    <w:wordWrap/>
                    <w:overflowPunct/>
                    <w:topLinePunct w:val="0"/>
                    <w:bidi w:val="0"/>
                    <w:spacing w:line="360" w:lineRule="auto"/>
                    <w:ind w:left="0" w:leftChars="0" w:right="0" w:rightChars="0" w:firstLine="0" w:firstLine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合格/不合格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 w:hRule="atLeast"/>
                <w:jc w:val="center"/>
              </w:trPr>
              <w:tc>
                <w:tcPr>
                  <w:tcW w:w="611" w:type="dxa"/>
                  <w:vAlign w:val="center"/>
                </w:tcPr>
                <w:p>
                  <w:pPr>
                    <w:numPr>
                      <w:ilvl w:val="0"/>
                      <w:numId w:val="15"/>
                    </w:numPr>
                    <w:spacing w:line="240" w:lineRule="auto"/>
                    <w:ind w:left="425" w:hanging="425"/>
                    <w:jc w:val="center"/>
                    <w:rPr>
                      <w:rFonts w:hint="eastAsia" w:ascii="宋体" w:hAnsi="宋体" w:eastAsia="宋体" w:cs="宋体"/>
                      <w:szCs w:val="21"/>
                    </w:rPr>
                  </w:pPr>
                </w:p>
              </w:tc>
              <w:tc>
                <w:tcPr>
                  <w:tcW w:w="6624" w:type="dxa"/>
                  <w:vAlign w:val="top"/>
                </w:tcPr>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szCs w:val="21"/>
                    </w:rPr>
                    <w:t>投标有效期（开标日起九十个日历日）</w:t>
                  </w:r>
                </w:p>
              </w:tc>
              <w:tc>
                <w:tcPr>
                  <w:tcW w:w="1570" w:type="dxa"/>
                  <w:vAlign w:val="center"/>
                </w:tcPr>
                <w:p>
                  <w:pPr>
                    <w:pageBreakBefore w:val="0"/>
                    <w:kinsoku/>
                    <w:wordWrap/>
                    <w:overflowPunct/>
                    <w:topLinePunct w:val="0"/>
                    <w:bidi w:val="0"/>
                    <w:spacing w:line="360" w:lineRule="auto"/>
                    <w:ind w:left="0" w:leftChars="0" w:right="0" w:rightChars="0" w:firstLine="0" w:firstLine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合格/不合格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1" w:type="dxa"/>
                  <w:vAlign w:val="center"/>
                </w:tcPr>
                <w:p>
                  <w:pPr>
                    <w:numPr>
                      <w:ilvl w:val="0"/>
                      <w:numId w:val="15"/>
                    </w:numPr>
                    <w:spacing w:line="240" w:lineRule="auto"/>
                    <w:ind w:left="425" w:hanging="425"/>
                    <w:jc w:val="center"/>
                    <w:rPr>
                      <w:rFonts w:hint="eastAsia" w:ascii="宋体" w:hAnsi="宋体" w:eastAsia="宋体" w:cs="宋体"/>
                      <w:szCs w:val="21"/>
                    </w:rPr>
                  </w:pPr>
                </w:p>
              </w:tc>
              <w:tc>
                <w:tcPr>
                  <w:tcW w:w="6624" w:type="dxa"/>
                  <w:vAlign w:val="top"/>
                </w:tcPr>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szCs w:val="21"/>
                      <w:highlight w:val="none"/>
                    </w:rPr>
                    <w:t>投标书</w:t>
                  </w:r>
                </w:p>
              </w:tc>
              <w:tc>
                <w:tcPr>
                  <w:tcW w:w="1570" w:type="dxa"/>
                  <w:vAlign w:val="center"/>
                </w:tcPr>
                <w:p>
                  <w:pPr>
                    <w:pageBreakBefore w:val="0"/>
                    <w:kinsoku/>
                    <w:wordWrap/>
                    <w:overflowPunct/>
                    <w:topLinePunct w:val="0"/>
                    <w:bidi w:val="0"/>
                    <w:spacing w:line="360" w:lineRule="auto"/>
                    <w:ind w:left="0" w:leftChars="0" w:right="0" w:rightChars="0" w:firstLine="0" w:firstLine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Cs w:val="21"/>
                      <w:highlight w:val="none"/>
                      <w:lang w:val="zh-CN"/>
                    </w:rPr>
                    <w:t>合格</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val="zh-CN"/>
                    </w:rPr>
                    <w:t>不合格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611" w:type="dxa"/>
                  <w:vAlign w:val="center"/>
                </w:tcPr>
                <w:p>
                  <w:pPr>
                    <w:numPr>
                      <w:ilvl w:val="0"/>
                      <w:numId w:val="15"/>
                    </w:numPr>
                    <w:spacing w:line="240" w:lineRule="auto"/>
                    <w:ind w:left="425" w:hanging="425"/>
                    <w:jc w:val="center"/>
                    <w:rPr>
                      <w:rFonts w:hint="eastAsia" w:ascii="宋体" w:hAnsi="宋体" w:eastAsia="宋体" w:cs="宋体"/>
                      <w:szCs w:val="21"/>
                    </w:rPr>
                  </w:pPr>
                </w:p>
              </w:tc>
              <w:tc>
                <w:tcPr>
                  <w:tcW w:w="6624" w:type="dxa"/>
                  <w:vAlign w:val="top"/>
                </w:tcPr>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szCs w:val="21"/>
                    </w:rPr>
                    <w:t>法定代表人证明书/法定代表人授权书</w:t>
                  </w:r>
                </w:p>
              </w:tc>
              <w:tc>
                <w:tcPr>
                  <w:tcW w:w="1570" w:type="dxa"/>
                  <w:shd w:val="clear" w:color="auto" w:fill="auto"/>
                  <w:vAlign w:val="center"/>
                </w:tcPr>
                <w:p>
                  <w:pPr>
                    <w:pageBreakBefore w:val="0"/>
                    <w:kinsoku/>
                    <w:wordWrap/>
                    <w:overflowPunct/>
                    <w:topLinePunct w:val="0"/>
                    <w:bidi w:val="0"/>
                    <w:spacing w:line="360" w:lineRule="auto"/>
                    <w:ind w:left="0" w:leftChars="0" w:right="0" w:rightChars="0" w:firstLine="0" w:firstLine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合格/不合格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1" w:type="dxa"/>
                  <w:vAlign w:val="center"/>
                </w:tcPr>
                <w:p>
                  <w:pPr>
                    <w:numPr>
                      <w:ilvl w:val="0"/>
                      <w:numId w:val="15"/>
                    </w:numPr>
                    <w:spacing w:line="240" w:lineRule="auto"/>
                    <w:ind w:left="425" w:hanging="425"/>
                    <w:jc w:val="center"/>
                    <w:rPr>
                      <w:rFonts w:hint="eastAsia" w:ascii="宋体" w:hAnsi="宋体" w:eastAsia="宋体" w:cs="宋体"/>
                      <w:szCs w:val="21"/>
                    </w:rPr>
                  </w:pPr>
                </w:p>
              </w:tc>
              <w:tc>
                <w:tcPr>
                  <w:tcW w:w="6624" w:type="dxa"/>
                  <w:vAlign w:val="top"/>
                </w:tcPr>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szCs w:val="21"/>
                      <w:highlight w:val="none"/>
                    </w:rPr>
                    <w:t>股权关系证明文件</w:t>
                  </w:r>
                </w:p>
              </w:tc>
              <w:tc>
                <w:tcPr>
                  <w:tcW w:w="1570" w:type="dxa"/>
                  <w:vAlign w:val="center"/>
                </w:tcPr>
                <w:p>
                  <w:pPr>
                    <w:pageBreakBefore w:val="0"/>
                    <w:kinsoku/>
                    <w:wordWrap/>
                    <w:overflowPunct/>
                    <w:topLinePunct w:val="0"/>
                    <w:bidi w:val="0"/>
                    <w:spacing w:line="360" w:lineRule="auto"/>
                    <w:ind w:left="0" w:leftChars="0" w:right="0" w:rightChars="0" w:firstLine="0" w:firstLine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合格/不合格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1" w:type="dxa"/>
                  <w:vAlign w:val="center"/>
                </w:tcPr>
                <w:p>
                  <w:pPr>
                    <w:numPr>
                      <w:ilvl w:val="0"/>
                      <w:numId w:val="15"/>
                    </w:numPr>
                    <w:spacing w:line="240" w:lineRule="auto"/>
                    <w:ind w:left="425" w:hanging="425"/>
                    <w:jc w:val="center"/>
                    <w:rPr>
                      <w:rFonts w:hint="eastAsia" w:ascii="宋体" w:hAnsi="宋体" w:eastAsia="宋体" w:cs="宋体"/>
                      <w:szCs w:val="21"/>
                    </w:rPr>
                  </w:pPr>
                </w:p>
              </w:tc>
              <w:tc>
                <w:tcPr>
                  <w:tcW w:w="6624" w:type="dxa"/>
                  <w:vAlign w:val="top"/>
                </w:tcPr>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szCs w:val="21"/>
                    </w:rPr>
                    <w:t>提供工商营业执照副本复印件(加盖公章)</w:t>
                  </w:r>
                </w:p>
              </w:tc>
              <w:tc>
                <w:tcPr>
                  <w:tcW w:w="1570" w:type="dxa"/>
                  <w:vAlign w:val="center"/>
                </w:tcPr>
                <w:p>
                  <w:pPr>
                    <w:pageBreakBefore w:val="0"/>
                    <w:kinsoku/>
                    <w:wordWrap/>
                    <w:overflowPunct/>
                    <w:topLinePunct w:val="0"/>
                    <w:bidi w:val="0"/>
                    <w:spacing w:line="360" w:lineRule="auto"/>
                    <w:ind w:left="0" w:leftChars="0" w:right="0" w:rightChars="0" w:firstLine="0" w:firstLine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合格/不合格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1" w:type="dxa"/>
                  <w:vAlign w:val="center"/>
                </w:tcPr>
                <w:p>
                  <w:pPr>
                    <w:numPr>
                      <w:ilvl w:val="0"/>
                      <w:numId w:val="15"/>
                    </w:numPr>
                    <w:spacing w:line="240" w:lineRule="auto"/>
                    <w:ind w:left="425" w:hanging="425"/>
                    <w:jc w:val="center"/>
                    <w:rPr>
                      <w:rFonts w:hint="eastAsia" w:ascii="宋体" w:hAnsi="宋体" w:eastAsia="宋体" w:cs="宋体"/>
                      <w:szCs w:val="21"/>
                    </w:rPr>
                  </w:pPr>
                </w:p>
              </w:tc>
              <w:tc>
                <w:tcPr>
                  <w:tcW w:w="6624" w:type="dxa"/>
                  <w:vAlign w:val="center"/>
                </w:tcPr>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szCs w:val="21"/>
                    </w:rPr>
                    <w:t>近三年经营业绩简介（投标人成立不足三年的可从成立之日起）</w:t>
                  </w:r>
                </w:p>
              </w:tc>
              <w:tc>
                <w:tcPr>
                  <w:tcW w:w="1570" w:type="dxa"/>
                  <w:vAlign w:val="center"/>
                </w:tcPr>
                <w:p>
                  <w:pPr>
                    <w:pageBreakBefore w:val="0"/>
                    <w:kinsoku/>
                    <w:wordWrap/>
                    <w:overflowPunct/>
                    <w:topLinePunct w:val="0"/>
                    <w:bidi w:val="0"/>
                    <w:spacing w:line="360" w:lineRule="auto"/>
                    <w:ind w:left="0" w:leftChars="0" w:right="0" w:rightChars="0" w:firstLine="0" w:firstLine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合格/不合格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611" w:type="dxa"/>
                  <w:vAlign w:val="center"/>
                </w:tcPr>
                <w:p>
                  <w:pPr>
                    <w:numPr>
                      <w:ilvl w:val="0"/>
                      <w:numId w:val="15"/>
                    </w:numPr>
                    <w:spacing w:line="240" w:lineRule="auto"/>
                    <w:ind w:left="425" w:hanging="425"/>
                    <w:jc w:val="center"/>
                    <w:rPr>
                      <w:rFonts w:hint="eastAsia" w:ascii="宋体" w:hAnsi="宋体" w:eastAsia="宋体" w:cs="宋体"/>
                      <w:szCs w:val="21"/>
                    </w:rPr>
                  </w:pPr>
                </w:p>
              </w:tc>
              <w:tc>
                <w:tcPr>
                  <w:tcW w:w="6624" w:type="dxa"/>
                  <w:vAlign w:val="center"/>
                </w:tcPr>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000000"/>
                      <w:kern w:val="0"/>
                      <w:sz w:val="21"/>
                      <w:szCs w:val="21"/>
                      <w:highlight w:val="none"/>
                    </w:rPr>
                    <w:t>近三年财务报表/审计报告/所得税汇算清缴报表（纳税申报表），投标人成立不足三年的可从成立之日起，加盖公章的复印件。</w:t>
                  </w:r>
                </w:p>
              </w:tc>
              <w:tc>
                <w:tcPr>
                  <w:tcW w:w="1570" w:type="dxa"/>
                  <w:vAlign w:val="center"/>
                </w:tcPr>
                <w:p>
                  <w:pPr>
                    <w:pageBreakBefore w:val="0"/>
                    <w:kinsoku/>
                    <w:wordWrap/>
                    <w:overflowPunct/>
                    <w:topLinePunct w:val="0"/>
                    <w:bidi w:val="0"/>
                    <w:spacing w:line="360" w:lineRule="auto"/>
                    <w:ind w:left="0" w:leftChars="0" w:right="0" w:rightChars="0" w:firstLine="0" w:firstLine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合格/不合格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611" w:type="dxa"/>
                  <w:vAlign w:val="center"/>
                </w:tcPr>
                <w:p>
                  <w:pPr>
                    <w:numPr>
                      <w:ilvl w:val="0"/>
                      <w:numId w:val="15"/>
                    </w:numPr>
                    <w:spacing w:line="240" w:lineRule="auto"/>
                    <w:ind w:left="425" w:hanging="425"/>
                    <w:jc w:val="center"/>
                    <w:rPr>
                      <w:rFonts w:hint="eastAsia" w:ascii="宋体" w:hAnsi="宋体" w:eastAsia="宋体" w:cs="宋体"/>
                      <w:szCs w:val="21"/>
                    </w:rPr>
                  </w:pPr>
                </w:p>
              </w:tc>
              <w:tc>
                <w:tcPr>
                  <w:tcW w:w="6624" w:type="dxa"/>
                  <w:vAlign w:val="center"/>
                </w:tcPr>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szCs w:val="21"/>
                      <w:highlight w:val="none"/>
                    </w:rPr>
                    <w:t>提供投标文件电子文档</w:t>
                  </w:r>
                </w:p>
              </w:tc>
              <w:tc>
                <w:tcPr>
                  <w:tcW w:w="1570" w:type="dxa"/>
                  <w:vAlign w:val="top"/>
                </w:tcPr>
                <w:p>
                  <w:pPr>
                    <w:pageBreakBefore w:val="0"/>
                    <w:kinsoku/>
                    <w:wordWrap/>
                    <w:overflowPunct/>
                    <w:topLinePunct w:val="0"/>
                    <w:bidi w:val="0"/>
                    <w:spacing w:line="360" w:lineRule="auto"/>
                    <w:ind w:left="0" w:leftChars="0" w:right="0" w:rightChars="0" w:firstLine="0" w:firstLine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合格/不合格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1" w:type="dxa"/>
                  <w:vAlign w:val="center"/>
                </w:tcPr>
                <w:p>
                  <w:pPr>
                    <w:numPr>
                      <w:ilvl w:val="0"/>
                      <w:numId w:val="15"/>
                    </w:numPr>
                    <w:spacing w:line="240" w:lineRule="auto"/>
                    <w:ind w:left="425" w:hanging="425"/>
                    <w:jc w:val="center"/>
                    <w:rPr>
                      <w:rFonts w:hint="eastAsia" w:ascii="宋体" w:hAnsi="宋体" w:eastAsia="宋体" w:cs="宋体"/>
                      <w:szCs w:val="21"/>
                    </w:rPr>
                  </w:pPr>
                </w:p>
              </w:tc>
              <w:tc>
                <w:tcPr>
                  <w:tcW w:w="6624" w:type="dxa"/>
                  <w:vAlign w:val="center"/>
                </w:tcPr>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szCs w:val="21"/>
                    </w:rPr>
                    <w:t>项目控制金额：投标报价超出控制金额的投标将不被接受。</w:t>
                  </w:r>
                </w:p>
              </w:tc>
              <w:tc>
                <w:tcPr>
                  <w:tcW w:w="1570" w:type="dxa"/>
                  <w:vAlign w:val="center"/>
                </w:tcPr>
                <w:p>
                  <w:pPr>
                    <w:pageBreakBefore w:val="0"/>
                    <w:kinsoku/>
                    <w:wordWrap/>
                    <w:overflowPunct/>
                    <w:topLinePunct w:val="0"/>
                    <w:bidi w:val="0"/>
                    <w:spacing w:line="360" w:lineRule="auto"/>
                    <w:ind w:left="0" w:leftChars="0" w:right="0" w:rightChars="0" w:firstLine="0" w:firstLine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合格/不合格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1" w:type="dxa"/>
                  <w:vAlign w:val="center"/>
                </w:tcPr>
                <w:p>
                  <w:pPr>
                    <w:numPr>
                      <w:ilvl w:val="0"/>
                      <w:numId w:val="15"/>
                    </w:numPr>
                    <w:spacing w:line="240" w:lineRule="auto"/>
                    <w:ind w:left="425" w:hanging="425"/>
                    <w:jc w:val="center"/>
                    <w:rPr>
                      <w:rFonts w:hint="eastAsia" w:ascii="宋体" w:hAnsi="宋体" w:eastAsia="宋体" w:cs="宋体"/>
                      <w:szCs w:val="21"/>
                    </w:rPr>
                  </w:pPr>
                </w:p>
              </w:tc>
              <w:tc>
                <w:tcPr>
                  <w:tcW w:w="6624" w:type="dxa"/>
                  <w:vAlign w:val="top"/>
                </w:tcPr>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szCs w:val="21"/>
                    </w:rPr>
                    <w:t>提供</w:t>
                  </w:r>
                  <w:r>
                    <w:rPr>
                      <w:rFonts w:hint="eastAsia" w:ascii="宋体" w:hAnsi="宋体" w:eastAsia="宋体" w:cs="宋体"/>
                      <w:szCs w:val="21"/>
                      <w:lang w:val="en-US" w:eastAsia="zh-CN"/>
                    </w:rPr>
                    <w:t>条款</w:t>
                  </w:r>
                  <w:r>
                    <w:rPr>
                      <w:rFonts w:hint="eastAsia" w:ascii="宋体" w:hAnsi="宋体" w:eastAsia="宋体" w:cs="宋体"/>
                      <w:szCs w:val="21"/>
                    </w:rPr>
                    <w:t>文件：各类方案及响应/偏离表</w:t>
                  </w:r>
                </w:p>
              </w:tc>
              <w:tc>
                <w:tcPr>
                  <w:tcW w:w="1570" w:type="dxa"/>
                  <w:vAlign w:val="top"/>
                </w:tcPr>
                <w:p>
                  <w:pPr>
                    <w:pageBreakBefore w:val="0"/>
                    <w:kinsoku/>
                    <w:wordWrap/>
                    <w:overflowPunct/>
                    <w:topLinePunct w:val="0"/>
                    <w:bidi w:val="0"/>
                    <w:spacing w:line="360" w:lineRule="auto"/>
                    <w:ind w:left="0" w:leftChars="0" w:right="0" w:rightChars="0" w:firstLine="0" w:firstLine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合格/不合格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1" w:type="dxa"/>
                  <w:vAlign w:val="center"/>
                </w:tcPr>
                <w:p>
                  <w:pPr>
                    <w:numPr>
                      <w:ilvl w:val="0"/>
                      <w:numId w:val="15"/>
                    </w:numPr>
                    <w:spacing w:line="240" w:lineRule="auto"/>
                    <w:ind w:left="425" w:hanging="425"/>
                    <w:jc w:val="center"/>
                    <w:rPr>
                      <w:rFonts w:hint="eastAsia" w:ascii="宋体" w:hAnsi="宋体" w:eastAsia="宋体" w:cs="宋体"/>
                      <w:szCs w:val="21"/>
                    </w:rPr>
                  </w:pPr>
                </w:p>
              </w:tc>
              <w:tc>
                <w:tcPr>
                  <w:tcW w:w="6624" w:type="dxa"/>
                  <w:vAlign w:val="top"/>
                </w:tcPr>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szCs w:val="21"/>
                    </w:rPr>
                    <w:t>投标分项报价表</w:t>
                  </w:r>
                </w:p>
              </w:tc>
              <w:tc>
                <w:tcPr>
                  <w:tcW w:w="1570" w:type="dxa"/>
                  <w:vAlign w:val="center"/>
                </w:tcPr>
                <w:p>
                  <w:pPr>
                    <w:pageBreakBefore w:val="0"/>
                    <w:kinsoku/>
                    <w:wordWrap/>
                    <w:overflowPunct/>
                    <w:topLinePunct w:val="0"/>
                    <w:bidi w:val="0"/>
                    <w:spacing w:line="360" w:lineRule="auto"/>
                    <w:ind w:left="0" w:leftChars="0" w:right="0" w:rightChars="0" w:firstLine="0" w:firstLine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合格/不合格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1" w:type="dxa"/>
                  <w:vAlign w:val="center"/>
                </w:tcPr>
                <w:p>
                  <w:pPr>
                    <w:numPr>
                      <w:ilvl w:val="0"/>
                      <w:numId w:val="15"/>
                    </w:numPr>
                    <w:spacing w:line="240" w:lineRule="auto"/>
                    <w:ind w:left="425" w:hanging="425"/>
                    <w:jc w:val="center"/>
                    <w:rPr>
                      <w:rFonts w:hint="eastAsia" w:ascii="宋体" w:hAnsi="宋体" w:eastAsia="宋体" w:cs="宋体"/>
                      <w:szCs w:val="21"/>
                    </w:rPr>
                  </w:pPr>
                </w:p>
              </w:tc>
              <w:tc>
                <w:tcPr>
                  <w:tcW w:w="6624" w:type="dxa"/>
                  <w:vAlign w:val="top"/>
                </w:tcPr>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szCs w:val="21"/>
                      <w:highlight w:val="none"/>
                    </w:rPr>
                    <w:t>无重大违法记录的声明函</w:t>
                  </w:r>
                </w:p>
              </w:tc>
              <w:tc>
                <w:tcPr>
                  <w:tcW w:w="1570" w:type="dxa"/>
                  <w:vAlign w:val="center"/>
                </w:tcPr>
                <w:p>
                  <w:pPr>
                    <w:pageBreakBefore w:val="0"/>
                    <w:kinsoku/>
                    <w:wordWrap/>
                    <w:overflowPunct/>
                    <w:topLinePunct w:val="0"/>
                    <w:bidi w:val="0"/>
                    <w:spacing w:line="360" w:lineRule="auto"/>
                    <w:ind w:left="0" w:leftChars="0" w:right="0" w:rightChars="0" w:firstLine="0" w:firstLine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合格/不合格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611" w:type="dxa"/>
                </w:tcPr>
                <w:p>
                  <w:pPr>
                    <w:numPr>
                      <w:ilvl w:val="0"/>
                      <w:numId w:val="15"/>
                    </w:numPr>
                    <w:spacing w:line="240" w:lineRule="auto"/>
                    <w:ind w:left="425" w:hanging="425"/>
                    <w:jc w:val="center"/>
                    <w:rPr>
                      <w:rFonts w:hint="eastAsia" w:ascii="宋体" w:hAnsi="宋体" w:eastAsia="宋体" w:cs="宋体"/>
                      <w:szCs w:val="21"/>
                    </w:rPr>
                  </w:pPr>
                </w:p>
              </w:tc>
              <w:tc>
                <w:tcPr>
                  <w:tcW w:w="6624" w:type="dxa"/>
                  <w:vAlign w:val="top"/>
                </w:tcPr>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szCs w:val="21"/>
                      <w:highlight w:val="none"/>
                    </w:rPr>
                    <w:t>工期承诺</w:t>
                  </w:r>
                </w:p>
              </w:tc>
              <w:tc>
                <w:tcPr>
                  <w:tcW w:w="1570" w:type="dxa"/>
                  <w:vAlign w:val="center"/>
                </w:tcPr>
                <w:p>
                  <w:pPr>
                    <w:pageBreakBefore w:val="0"/>
                    <w:kinsoku/>
                    <w:wordWrap/>
                    <w:overflowPunct/>
                    <w:topLinePunct w:val="0"/>
                    <w:bidi w:val="0"/>
                    <w:spacing w:line="360" w:lineRule="auto"/>
                    <w:ind w:left="0" w:leftChars="0" w:right="0" w:rightChars="0" w:firstLine="0" w:firstLine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合格/不合格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1" w:type="dxa"/>
                </w:tcPr>
                <w:p>
                  <w:pPr>
                    <w:numPr>
                      <w:ilvl w:val="0"/>
                      <w:numId w:val="15"/>
                    </w:numPr>
                    <w:spacing w:line="240" w:lineRule="auto"/>
                    <w:ind w:left="425" w:hanging="425"/>
                    <w:jc w:val="center"/>
                    <w:rPr>
                      <w:rFonts w:hint="eastAsia" w:ascii="宋体" w:hAnsi="宋体" w:eastAsia="宋体" w:cs="宋体"/>
                      <w:szCs w:val="21"/>
                    </w:rPr>
                  </w:pPr>
                </w:p>
              </w:tc>
              <w:tc>
                <w:tcPr>
                  <w:tcW w:w="6624" w:type="dxa"/>
                  <w:vAlign w:val="center"/>
                </w:tcPr>
                <w:p>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szCs w:val="21"/>
                    </w:rPr>
                    <w:t>结论（合格/不合格）</w:t>
                  </w:r>
                </w:p>
              </w:tc>
              <w:tc>
                <w:tcPr>
                  <w:tcW w:w="1570" w:type="dxa"/>
                  <w:vAlign w:val="center"/>
                </w:tcPr>
                <w:p>
                  <w:pPr>
                    <w:pageBreakBefore w:val="0"/>
                    <w:kinsoku/>
                    <w:wordWrap/>
                    <w:overflowPunct/>
                    <w:topLinePunct w:val="0"/>
                    <w:bidi w:val="0"/>
                    <w:spacing w:line="360" w:lineRule="auto"/>
                    <w:ind w:left="0" w:leftChars="0" w:right="0" w:rightChars="0" w:firstLine="0" w:firstLineChars="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Cs w:val="21"/>
                    </w:rPr>
                    <w:t>通过/不通过</w:t>
                  </w:r>
                </w:p>
              </w:tc>
            </w:tr>
          </w:tbl>
          <w:p>
            <w:pPr>
              <w:spacing w:line="240" w:lineRule="auto"/>
              <w:rPr>
                <w:rFonts w:hint="eastAsia" w:ascii="宋体" w:hAnsi="宋体" w:eastAsia="宋体" w:cs="宋体"/>
                <w:szCs w:val="21"/>
              </w:rPr>
            </w:pPr>
          </w:p>
        </w:tc>
      </w:tr>
    </w:tbl>
    <w:p>
      <w:pPr>
        <w:pStyle w:val="9"/>
        <w:spacing w:line="240" w:lineRule="auto"/>
        <w:rPr>
          <w:rFonts w:hint="eastAsia" w:hAnsi="宋体" w:cs="宋体"/>
          <w:b/>
          <w:bCs/>
        </w:rPr>
      </w:pPr>
    </w:p>
    <w:p>
      <w:pPr>
        <w:keepNext/>
        <w:spacing w:line="240" w:lineRule="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综合评估法</w:t>
      </w:r>
    </w:p>
    <w:p>
      <w:pPr>
        <w:widowControl/>
        <w:spacing w:line="240" w:lineRule="auto"/>
        <w:ind w:firstLine="426"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采购人组建定标委员会，定标委员会成员对所有进入定标程序的按下列规定对谈判供应商进行排名。监督小组应对定标工作全过程进行监督。</w:t>
      </w:r>
    </w:p>
    <w:p>
      <w:pPr>
        <w:widowControl/>
        <w:spacing w:line="240" w:lineRule="auto"/>
        <w:ind w:firstLine="426"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采购人依据评标结果对进入定标程序的各投标单位的投标报价计算得分并对评标专家意见进行分类汇总。</w:t>
      </w:r>
    </w:p>
    <w:p>
      <w:pPr>
        <w:widowControl/>
        <w:spacing w:line="240" w:lineRule="auto"/>
        <w:ind w:firstLine="426"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定标委员会根据投标单位的</w:t>
      </w:r>
      <w:r>
        <w:rPr>
          <w:rFonts w:hint="eastAsia" w:ascii="宋体" w:hAnsi="宋体" w:eastAsia="宋体" w:cs="宋体"/>
          <w:b/>
          <w:bCs/>
          <w:color w:val="FF0000"/>
          <w:szCs w:val="21"/>
        </w:rPr>
        <w:t>技术标得分（权重为</w:t>
      </w:r>
      <w:r>
        <w:rPr>
          <w:rFonts w:hint="eastAsia" w:ascii="宋体" w:hAnsi="宋体" w:eastAsia="宋体" w:cs="宋体"/>
          <w:b/>
          <w:bCs/>
          <w:color w:val="FF0000"/>
          <w:szCs w:val="21"/>
          <w:lang w:val="en-US" w:eastAsia="zh-CN"/>
        </w:rPr>
        <w:t>15</w:t>
      </w:r>
      <w:r>
        <w:rPr>
          <w:rFonts w:hint="eastAsia" w:ascii="宋体" w:hAnsi="宋体" w:eastAsia="宋体" w:cs="宋体"/>
          <w:b/>
          <w:bCs/>
          <w:color w:val="FF0000"/>
          <w:szCs w:val="21"/>
        </w:rPr>
        <w:t>%）</w:t>
      </w:r>
      <w:r>
        <w:rPr>
          <w:rFonts w:hint="eastAsia" w:ascii="宋体" w:hAnsi="宋体" w:eastAsia="宋体" w:cs="宋体"/>
          <w:b/>
          <w:bCs/>
          <w:color w:val="FF0000"/>
          <w:szCs w:val="21"/>
          <w:lang w:eastAsia="zh-CN"/>
        </w:rPr>
        <w:t>、商务</w:t>
      </w:r>
      <w:r>
        <w:rPr>
          <w:rFonts w:hint="eastAsia" w:ascii="宋体" w:hAnsi="宋体" w:eastAsia="宋体" w:cs="宋体"/>
          <w:b/>
          <w:bCs/>
          <w:color w:val="FF0000"/>
          <w:szCs w:val="21"/>
        </w:rPr>
        <w:t>得分（权重为</w:t>
      </w:r>
      <w:r>
        <w:rPr>
          <w:rFonts w:hint="eastAsia" w:ascii="宋体" w:hAnsi="宋体" w:eastAsia="宋体" w:cs="宋体"/>
          <w:b/>
          <w:bCs/>
          <w:color w:val="FF0000"/>
          <w:szCs w:val="21"/>
          <w:lang w:val="en-US" w:eastAsia="zh-CN"/>
        </w:rPr>
        <w:t>25</w:t>
      </w:r>
      <w:r>
        <w:rPr>
          <w:rFonts w:hint="eastAsia" w:ascii="宋体" w:hAnsi="宋体" w:eastAsia="宋体" w:cs="宋体"/>
          <w:b/>
          <w:bCs/>
          <w:color w:val="FF0000"/>
          <w:szCs w:val="21"/>
        </w:rPr>
        <w:t>%）以及投标报价得分（权重为</w:t>
      </w:r>
      <w:r>
        <w:rPr>
          <w:rFonts w:hint="eastAsia" w:ascii="宋体" w:hAnsi="宋体" w:eastAsia="宋体" w:cs="宋体"/>
          <w:b/>
          <w:bCs/>
          <w:color w:val="FF0000"/>
          <w:szCs w:val="21"/>
          <w:lang w:val="en-US" w:eastAsia="zh-CN"/>
        </w:rPr>
        <w:t>6</w:t>
      </w:r>
      <w:r>
        <w:rPr>
          <w:rFonts w:hint="eastAsia" w:ascii="宋体" w:hAnsi="宋体" w:eastAsia="宋体" w:cs="宋体"/>
          <w:b/>
          <w:bCs/>
          <w:color w:val="FF0000"/>
          <w:szCs w:val="21"/>
        </w:rPr>
        <w:t>0%）</w:t>
      </w:r>
      <w:r>
        <w:rPr>
          <w:rFonts w:hint="eastAsia" w:ascii="宋体" w:hAnsi="宋体" w:eastAsia="宋体" w:cs="宋体"/>
          <w:color w:val="000000" w:themeColor="text1"/>
          <w:szCs w:val="21"/>
          <w14:textFill>
            <w14:solidFill>
              <w14:schemeClr w14:val="tx1"/>
            </w14:solidFill>
          </w14:textFill>
        </w:rPr>
        <w:t>对投标单位加权计算总得分，由高至低排名，排名第一的谈判供应商确定为中标人。</w:t>
      </w:r>
    </w:p>
    <w:p>
      <w:pPr>
        <w:widowControl/>
        <w:spacing w:line="240" w:lineRule="auto"/>
        <w:ind w:firstLine="426"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中标价以该中标人的投标报价为准。</w:t>
      </w:r>
    </w:p>
    <w:p>
      <w:pPr>
        <w:spacing w:line="240" w:lineRule="auto"/>
        <w:ind w:firstLine="426"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注：定标基本程序</w:t>
      </w:r>
    </w:p>
    <w:p>
      <w:pPr>
        <w:spacing w:line="240" w:lineRule="auto"/>
        <w:ind w:firstLine="426"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1、技术标得分</w:t>
      </w:r>
    </w:p>
    <w:p>
      <w:pPr>
        <w:spacing w:line="240" w:lineRule="auto"/>
        <w:ind w:firstLine="426"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由定标委员会各成员根据评标结果和自己的专业判断对进入定标程序的各投标单位进行打分。</w:t>
      </w:r>
    </w:p>
    <w:p>
      <w:pPr>
        <w:spacing w:line="240" w:lineRule="auto"/>
        <w:ind w:firstLine="426"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w:t>
      </w:r>
      <w:r>
        <w:rPr>
          <w:rFonts w:hint="eastAsia" w:ascii="宋体" w:hAnsi="宋体" w:eastAsia="宋体" w:cs="宋体"/>
          <w:color w:val="000000" w:themeColor="text1"/>
          <w:szCs w:val="21"/>
          <w:lang w:eastAsia="zh-CN"/>
          <w14:textFill>
            <w14:solidFill>
              <w14:schemeClr w14:val="tx1"/>
            </w14:solidFill>
          </w14:textFill>
        </w:rPr>
        <w:t>商务</w:t>
      </w:r>
      <w:r>
        <w:rPr>
          <w:rFonts w:hint="eastAsia" w:ascii="宋体" w:hAnsi="宋体" w:eastAsia="宋体" w:cs="宋体"/>
          <w:color w:val="000000" w:themeColor="text1"/>
          <w:szCs w:val="21"/>
          <w14:textFill>
            <w14:solidFill>
              <w14:schemeClr w14:val="tx1"/>
            </w14:solidFill>
          </w14:textFill>
        </w:rPr>
        <w:t>得分</w:t>
      </w:r>
    </w:p>
    <w:p>
      <w:pPr>
        <w:spacing w:line="240" w:lineRule="auto"/>
        <w:ind w:firstLine="426"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由定标委员会各成员根据评标结果和自己的专业判断对进入定标程序的各投标单位进行打分。</w:t>
      </w:r>
    </w:p>
    <w:p>
      <w:pPr>
        <w:spacing w:line="240" w:lineRule="auto"/>
        <w:ind w:firstLine="426"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3</w:t>
      </w:r>
      <w:r>
        <w:rPr>
          <w:rFonts w:hint="eastAsia" w:ascii="宋体" w:hAnsi="宋体" w:eastAsia="宋体" w:cs="宋体"/>
          <w:color w:val="000000" w:themeColor="text1"/>
          <w:szCs w:val="21"/>
          <w14:textFill>
            <w14:solidFill>
              <w14:schemeClr w14:val="tx1"/>
            </w14:solidFill>
          </w14:textFill>
        </w:rPr>
        <w:t>、投标报价得分</w:t>
      </w:r>
    </w:p>
    <w:p>
      <w:pPr>
        <w:spacing w:line="240" w:lineRule="auto"/>
        <w:ind w:firstLine="426"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报价得分= [1-（Sn-S1）/S1]×</w:t>
      </w:r>
      <w:r>
        <w:rPr>
          <w:rFonts w:hint="eastAsia" w:ascii="宋体" w:hAnsi="宋体" w:eastAsia="宋体" w:cs="宋体"/>
          <w:color w:val="000000" w:themeColor="text1"/>
          <w:szCs w:val="21"/>
          <w:lang w:val="en-US" w:eastAsia="zh-CN"/>
          <w14:textFill>
            <w14:solidFill>
              <w14:schemeClr w14:val="tx1"/>
            </w14:solidFill>
          </w14:textFill>
        </w:rPr>
        <w:t>6</w:t>
      </w:r>
      <w:r>
        <w:rPr>
          <w:rFonts w:hint="eastAsia" w:ascii="宋体" w:hAnsi="宋体" w:eastAsia="宋体" w:cs="宋体"/>
          <w:color w:val="000000" w:themeColor="text1"/>
          <w:szCs w:val="21"/>
          <w14:textFill>
            <w14:solidFill>
              <w14:schemeClr w14:val="tx1"/>
            </w14:solidFill>
          </w14:textFill>
        </w:rPr>
        <w:t>0</w:t>
      </w:r>
    </w:p>
    <w:p>
      <w:pPr>
        <w:spacing w:line="240" w:lineRule="auto"/>
        <w:ind w:firstLine="426"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Sn为各谈判供应商的投标报价</w:t>
      </w:r>
    </w:p>
    <w:p>
      <w:pPr>
        <w:spacing w:line="240" w:lineRule="auto"/>
        <w:ind w:firstLine="426"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S1为进入定标程序的各谈判供应商的投标报价中的最低报价，得</w:t>
      </w:r>
      <w:r>
        <w:rPr>
          <w:rFonts w:hint="eastAsia" w:ascii="宋体" w:hAnsi="宋体" w:eastAsia="宋体" w:cs="宋体"/>
          <w:color w:val="000000" w:themeColor="text1"/>
          <w:szCs w:val="21"/>
          <w:lang w:val="en-US" w:eastAsia="zh-CN"/>
          <w14:textFill>
            <w14:solidFill>
              <w14:schemeClr w14:val="tx1"/>
            </w14:solidFill>
          </w14:textFill>
        </w:rPr>
        <w:t>6</w:t>
      </w:r>
      <w:r>
        <w:rPr>
          <w:rFonts w:hint="eastAsia" w:ascii="宋体" w:hAnsi="宋体" w:eastAsia="宋体" w:cs="宋体"/>
          <w:color w:val="000000" w:themeColor="text1"/>
          <w:szCs w:val="21"/>
          <w14:textFill>
            <w14:solidFill>
              <w14:schemeClr w14:val="tx1"/>
            </w14:solidFill>
          </w14:textFill>
        </w:rPr>
        <w:t>0分。</w:t>
      </w:r>
    </w:p>
    <w:p>
      <w:pPr>
        <w:spacing w:line="240" w:lineRule="auto"/>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此处规定当（Sn-S1）≥S1时，即Sn≥2S1时最低得零分（不取负分）。</w:t>
      </w:r>
    </w:p>
    <w:p>
      <w:pPr>
        <w:spacing w:line="240" w:lineRule="auto"/>
        <w:rPr>
          <w:rFonts w:hint="eastAsia" w:ascii="宋体" w:hAnsi="宋体" w:eastAsia="宋体" w:cs="宋体"/>
          <w:color w:val="000000" w:themeColor="text1"/>
          <w:szCs w:val="21"/>
          <w14:textFill>
            <w14:solidFill>
              <w14:schemeClr w14:val="tx1"/>
            </w14:solidFill>
          </w14:textFill>
        </w:rPr>
      </w:pPr>
    </w:p>
    <w:p>
      <w:pPr>
        <w:spacing w:line="240" w:lineRule="auto"/>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具体评分标准如下表所示：</w:t>
      </w:r>
    </w:p>
    <w:tbl>
      <w:tblPr>
        <w:tblStyle w:val="16"/>
        <w:tblW w:w="92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3"/>
        <w:gridCol w:w="1200"/>
        <w:gridCol w:w="6559"/>
        <w:gridCol w:w="7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793" w:type="dxa"/>
            <w:shd w:val="clear" w:color="auto" w:fill="C7DAF1" w:themeFill="text2" w:themeFillTint="32"/>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评分因素</w:t>
            </w:r>
          </w:p>
        </w:tc>
        <w:tc>
          <w:tcPr>
            <w:tcW w:w="7759" w:type="dxa"/>
            <w:gridSpan w:val="2"/>
            <w:shd w:val="clear" w:color="auto" w:fill="C7DAF1" w:themeFill="text2" w:themeFillTint="32"/>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评价内容</w:t>
            </w:r>
          </w:p>
        </w:tc>
        <w:tc>
          <w:tcPr>
            <w:tcW w:w="702" w:type="dxa"/>
            <w:shd w:val="clear" w:color="auto" w:fill="C7DAF1" w:themeFill="text2" w:themeFillTint="32"/>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最高分值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7" w:hRule="atLeast"/>
          <w:jc w:val="center"/>
        </w:trPr>
        <w:tc>
          <w:tcPr>
            <w:tcW w:w="793"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价格标（S）</w:t>
            </w: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lang w:val="en-US" w:eastAsia="zh-CN" w:bidi="ar-SA"/>
              </w:rPr>
            </w:pPr>
            <w:r>
              <w:rPr>
                <w:rFonts w:hint="eastAsia" w:ascii="宋体" w:hAnsi="宋体" w:eastAsia="宋体" w:cs="宋体"/>
                <w:color w:val="000000"/>
                <w:kern w:val="0"/>
                <w:sz w:val="21"/>
                <w:szCs w:val="21"/>
              </w:rPr>
              <w:t>（总分</w:t>
            </w: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0分）</w:t>
            </w:r>
          </w:p>
        </w:tc>
        <w:tc>
          <w:tcPr>
            <w:tcW w:w="1200"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lang w:val="en-US" w:eastAsia="zh-CN" w:bidi="ar-SA"/>
              </w:rPr>
            </w:pPr>
            <w:r>
              <w:rPr>
                <w:rFonts w:hint="eastAsia" w:ascii="宋体" w:hAnsi="宋体" w:eastAsia="宋体" w:cs="宋体"/>
                <w:color w:val="000000"/>
                <w:kern w:val="0"/>
                <w:sz w:val="21"/>
                <w:szCs w:val="21"/>
              </w:rPr>
              <w:t>投标总价</w:t>
            </w:r>
          </w:p>
        </w:tc>
        <w:tc>
          <w:tcPr>
            <w:tcW w:w="6559"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满足招标文件要求且投标价格最低的投标报价为评标基准价，其价格分为满分。其他投标人的价格分统一按照下列公式计算：</w:t>
            </w: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rPr>
              <w:t>投标报价得分=(评标基准价／投标报价) ×</w:t>
            </w: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0</w:t>
            </w:r>
            <w:r>
              <w:rPr>
                <w:rFonts w:hint="eastAsia" w:ascii="宋体" w:hAnsi="宋体" w:eastAsia="宋体" w:cs="宋体"/>
                <w:color w:val="000000"/>
                <w:kern w:val="0"/>
                <w:sz w:val="21"/>
                <w:szCs w:val="21"/>
                <w:lang w:eastAsia="zh-CN"/>
              </w:rPr>
              <w:t>。</w:t>
            </w: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highlight w:val="none"/>
                <w:lang w:val="en-US" w:eastAsia="zh-CN"/>
              </w:rPr>
              <w:t>四舍五入至小数点后2位。（报价为含税价）</w:t>
            </w:r>
          </w:p>
        </w:tc>
        <w:tc>
          <w:tcPr>
            <w:tcW w:w="702"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lang w:val="en-US" w:eastAsia="zh-CN" w:bidi="ar-SA"/>
              </w:rPr>
            </w:pP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8" w:hRule="atLeast"/>
          <w:jc w:val="center"/>
        </w:trPr>
        <w:tc>
          <w:tcPr>
            <w:tcW w:w="793"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技术标（J）</w:t>
            </w: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（总分</w:t>
            </w:r>
            <w:r>
              <w:rPr>
                <w:rFonts w:hint="eastAsia" w:ascii="宋体" w:hAnsi="宋体" w:eastAsia="宋体" w:cs="宋体"/>
                <w:color w:val="000000"/>
                <w:kern w:val="0"/>
                <w:sz w:val="21"/>
                <w:szCs w:val="21"/>
                <w:lang w:val="en-US" w:eastAsia="zh-CN"/>
              </w:rPr>
              <w:t>15</w:t>
            </w:r>
            <w:r>
              <w:rPr>
                <w:rFonts w:hint="eastAsia" w:ascii="宋体" w:hAnsi="宋体" w:eastAsia="宋体" w:cs="宋体"/>
                <w:color w:val="000000"/>
                <w:kern w:val="0"/>
                <w:sz w:val="21"/>
                <w:szCs w:val="21"/>
              </w:rPr>
              <w:t>分）</w:t>
            </w:r>
          </w:p>
        </w:tc>
        <w:tc>
          <w:tcPr>
            <w:tcW w:w="1200"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设计</w:t>
            </w:r>
            <w:r>
              <w:rPr>
                <w:rFonts w:hint="eastAsia" w:ascii="宋体" w:hAnsi="宋体" w:eastAsia="宋体" w:cs="宋体"/>
                <w:color w:val="000000"/>
                <w:kern w:val="0"/>
                <w:sz w:val="21"/>
                <w:szCs w:val="21"/>
              </w:rPr>
              <w:t>方案响应情况</w:t>
            </w:r>
          </w:p>
        </w:tc>
        <w:tc>
          <w:tcPr>
            <w:tcW w:w="6559"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根据各谈判文件中设计方案的美观性、合理性、完整性及可实施性等，以及满足或优于项目需求的程度，进行综合评价，横向比较：优得13-15分，良得10-12分，中得6-9分，差得0-5分。</w:t>
            </w:r>
          </w:p>
        </w:tc>
        <w:tc>
          <w:tcPr>
            <w:tcW w:w="702"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15</w:t>
            </w:r>
            <w:r>
              <w:rPr>
                <w:rFonts w:hint="eastAsia" w:ascii="宋体" w:hAnsi="宋体" w:eastAsia="宋体" w:cs="宋体"/>
                <w:color w:val="000000"/>
                <w:kern w:val="0"/>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93" w:type="dxa"/>
            <w:vMerge w:val="restart"/>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商务标（X）</w:t>
            </w: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（总分</w:t>
            </w:r>
            <w:r>
              <w:rPr>
                <w:rFonts w:hint="eastAsia" w:ascii="宋体" w:hAnsi="宋体" w:eastAsia="宋体" w:cs="宋体"/>
                <w:color w:val="000000"/>
                <w:kern w:val="0"/>
                <w:sz w:val="21"/>
                <w:szCs w:val="21"/>
                <w:lang w:val="en-US" w:eastAsia="zh-CN"/>
              </w:rPr>
              <w:t>25</w:t>
            </w:r>
            <w:r>
              <w:rPr>
                <w:rFonts w:hint="eastAsia" w:ascii="宋体" w:hAnsi="宋体" w:eastAsia="宋体" w:cs="宋体"/>
                <w:color w:val="000000"/>
                <w:kern w:val="0"/>
                <w:sz w:val="21"/>
                <w:szCs w:val="21"/>
              </w:rPr>
              <w:t>分</w:t>
            </w:r>
          </w:p>
        </w:tc>
        <w:tc>
          <w:tcPr>
            <w:tcW w:w="1200"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项目业绩</w:t>
            </w:r>
          </w:p>
        </w:tc>
        <w:tc>
          <w:tcPr>
            <w:tcW w:w="6559"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评审标准：考察投标人（20</w:t>
            </w:r>
            <w:r>
              <w:rPr>
                <w:rFonts w:hint="eastAsia" w:ascii="宋体" w:hAnsi="宋体" w:eastAsia="宋体" w:cs="宋体"/>
                <w:color w:val="000000"/>
                <w:kern w:val="0"/>
                <w:sz w:val="21"/>
                <w:szCs w:val="21"/>
                <w:highlight w:val="none"/>
                <w:lang w:val="en-US" w:eastAsia="zh-CN"/>
              </w:rPr>
              <w:t>21</w:t>
            </w:r>
            <w:r>
              <w:rPr>
                <w:rFonts w:hint="eastAsia" w:ascii="宋体" w:hAnsi="宋体" w:eastAsia="宋体" w:cs="宋体"/>
                <w:color w:val="000000"/>
                <w:kern w:val="0"/>
                <w:sz w:val="21"/>
                <w:szCs w:val="21"/>
                <w:highlight w:val="none"/>
              </w:rPr>
              <w:t>年1月1日至本项目投标截标之日）同类业绩情况：</w:t>
            </w: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1、投标人每提供一个有效的</w:t>
            </w:r>
            <w:r>
              <w:rPr>
                <w:rFonts w:hint="eastAsia" w:ascii="宋体" w:hAnsi="宋体" w:eastAsia="宋体" w:cs="宋体"/>
                <w:b/>
                <w:bCs/>
                <w:color w:val="000000"/>
                <w:kern w:val="0"/>
                <w:sz w:val="21"/>
                <w:szCs w:val="21"/>
                <w:highlight w:val="none"/>
              </w:rPr>
              <w:t>同类业绩</w:t>
            </w:r>
            <w:r>
              <w:rPr>
                <w:rFonts w:hint="eastAsia" w:ascii="宋体" w:hAnsi="宋体" w:eastAsia="宋体" w:cs="宋体"/>
                <w:color w:val="000000"/>
                <w:kern w:val="0"/>
                <w:sz w:val="21"/>
                <w:szCs w:val="21"/>
                <w:highlight w:val="none"/>
              </w:rPr>
              <w:t>即得</w:t>
            </w:r>
            <w:r>
              <w:rPr>
                <w:rFonts w:hint="eastAsia" w:ascii="宋体" w:hAnsi="宋体" w:eastAsia="宋体" w:cs="宋体"/>
                <w:color w:val="000000"/>
                <w:kern w:val="0"/>
                <w:sz w:val="21"/>
                <w:szCs w:val="21"/>
                <w:highlight w:val="none"/>
                <w:lang w:val="en-US" w:eastAsia="zh-CN"/>
              </w:rPr>
              <w:t>2</w:t>
            </w:r>
            <w:r>
              <w:rPr>
                <w:rFonts w:hint="eastAsia" w:ascii="宋体" w:hAnsi="宋体" w:eastAsia="宋体" w:cs="宋体"/>
                <w:color w:val="000000"/>
                <w:kern w:val="0"/>
                <w:sz w:val="21"/>
                <w:szCs w:val="21"/>
                <w:highlight w:val="none"/>
              </w:rPr>
              <w:t>分，以此类推，最多得</w:t>
            </w:r>
            <w:r>
              <w:rPr>
                <w:rFonts w:hint="eastAsia" w:ascii="宋体" w:hAnsi="宋体" w:eastAsia="宋体" w:cs="宋体"/>
                <w:color w:val="000000"/>
                <w:kern w:val="0"/>
                <w:sz w:val="21"/>
                <w:szCs w:val="21"/>
                <w:highlight w:val="none"/>
                <w:lang w:val="en-US" w:eastAsia="zh-CN"/>
              </w:rPr>
              <w:t>10</w:t>
            </w:r>
            <w:r>
              <w:rPr>
                <w:rFonts w:hint="eastAsia" w:ascii="宋体" w:hAnsi="宋体" w:eastAsia="宋体" w:cs="宋体"/>
                <w:color w:val="000000"/>
                <w:kern w:val="0"/>
                <w:sz w:val="21"/>
                <w:szCs w:val="21"/>
                <w:highlight w:val="none"/>
              </w:rPr>
              <w:t>分；</w:t>
            </w: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2、同类业绩中合同金额达人民币10万元（含10万元）以上得1分；20万元（含20万元）以上得2分；最多得</w:t>
            </w:r>
            <w:r>
              <w:rPr>
                <w:rFonts w:hint="eastAsia" w:ascii="宋体" w:hAnsi="宋体" w:eastAsia="宋体" w:cs="宋体"/>
                <w:color w:val="000000"/>
                <w:kern w:val="0"/>
                <w:sz w:val="21"/>
                <w:szCs w:val="21"/>
                <w:highlight w:val="none"/>
                <w:lang w:val="en-US" w:eastAsia="zh-CN"/>
              </w:rPr>
              <w:t>4</w:t>
            </w:r>
            <w:r>
              <w:rPr>
                <w:rFonts w:hint="eastAsia" w:ascii="宋体" w:hAnsi="宋体" w:eastAsia="宋体" w:cs="宋体"/>
                <w:color w:val="000000"/>
                <w:kern w:val="0"/>
                <w:sz w:val="21"/>
                <w:szCs w:val="21"/>
                <w:highlight w:val="none"/>
              </w:rPr>
              <w:t>分；</w:t>
            </w: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注：有效的同类业绩证明文件：</w:t>
            </w: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投标人须提供有效业绩中标通知书或合同关键页（须体现项目名称及合同签订时间）复印件加盖投标人公章；未提供或不能有效证明的，不得分。</w:t>
            </w:r>
          </w:p>
        </w:tc>
        <w:tc>
          <w:tcPr>
            <w:tcW w:w="702"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14</w:t>
            </w:r>
            <w:r>
              <w:rPr>
                <w:rFonts w:hint="eastAsia" w:ascii="宋体" w:hAnsi="宋体" w:eastAsia="宋体" w:cs="宋体"/>
                <w:color w:val="000000"/>
                <w:kern w:val="0"/>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6" w:hRule="atLeast"/>
          <w:jc w:val="center"/>
        </w:trPr>
        <w:tc>
          <w:tcPr>
            <w:tcW w:w="793" w:type="dxa"/>
            <w:vMerge w:val="continue"/>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p>
        </w:tc>
        <w:tc>
          <w:tcPr>
            <w:tcW w:w="1200"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企业实力</w:t>
            </w:r>
          </w:p>
        </w:tc>
        <w:tc>
          <w:tcPr>
            <w:tcW w:w="6559"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评审标准：</w:t>
            </w: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1、近三年财务报表/审计报告/所得税汇算清缴报表（纳税申报表），投标人成立不足三年的可从成立之日起，加盖公章的复印件。显示无亏损的投标人，得</w:t>
            </w:r>
            <w:r>
              <w:rPr>
                <w:rFonts w:hint="eastAsia" w:ascii="宋体" w:hAnsi="宋体" w:eastAsia="宋体" w:cs="宋体"/>
                <w:color w:val="000000"/>
                <w:kern w:val="0"/>
                <w:sz w:val="21"/>
                <w:szCs w:val="21"/>
                <w:highlight w:val="none"/>
                <w:lang w:val="en-US" w:eastAsia="zh-CN"/>
              </w:rPr>
              <w:t>6</w:t>
            </w:r>
            <w:r>
              <w:rPr>
                <w:rFonts w:hint="eastAsia" w:ascii="宋体" w:hAnsi="宋体" w:eastAsia="宋体" w:cs="宋体"/>
                <w:color w:val="000000"/>
                <w:kern w:val="0"/>
                <w:sz w:val="21"/>
                <w:szCs w:val="21"/>
                <w:highlight w:val="none"/>
              </w:rPr>
              <w:t>分；每有一年亏损的扣</w:t>
            </w:r>
            <w:r>
              <w:rPr>
                <w:rFonts w:hint="eastAsia" w:ascii="宋体" w:hAnsi="宋体" w:eastAsia="宋体" w:cs="宋体"/>
                <w:color w:val="000000"/>
                <w:kern w:val="0"/>
                <w:sz w:val="21"/>
                <w:szCs w:val="21"/>
                <w:highlight w:val="none"/>
                <w:lang w:val="en-US" w:eastAsia="zh-CN"/>
              </w:rPr>
              <w:t>2</w:t>
            </w:r>
            <w:r>
              <w:rPr>
                <w:rFonts w:hint="eastAsia" w:ascii="宋体" w:hAnsi="宋体" w:eastAsia="宋体" w:cs="宋体"/>
                <w:color w:val="000000"/>
                <w:kern w:val="0"/>
                <w:sz w:val="21"/>
                <w:szCs w:val="21"/>
                <w:highlight w:val="none"/>
              </w:rPr>
              <w:t>分。成立不足三年的供应商，可从成立时间开始提供。评定标准以评标委员会意见为准。</w:t>
            </w: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未提供或不能有效证明的，不得分。</w:t>
            </w:r>
          </w:p>
        </w:tc>
        <w:tc>
          <w:tcPr>
            <w:tcW w:w="702"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793"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p>
        </w:tc>
        <w:tc>
          <w:tcPr>
            <w:tcW w:w="1200"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规模情况</w:t>
            </w:r>
          </w:p>
        </w:tc>
        <w:tc>
          <w:tcPr>
            <w:tcW w:w="6559"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评审标准：</w:t>
            </w: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1、投标人公司注册资金在人民币500万（含500万）以上，得1分；最</w:t>
            </w:r>
            <w:r>
              <w:rPr>
                <w:rFonts w:hint="eastAsia" w:ascii="宋体" w:hAnsi="宋体" w:eastAsia="宋体" w:cs="宋体"/>
                <w:color w:val="000000"/>
                <w:kern w:val="0"/>
                <w:sz w:val="21"/>
                <w:szCs w:val="21"/>
                <w:highlight w:val="none"/>
                <w:lang w:val="en-US" w:eastAsia="zh-CN"/>
              </w:rPr>
              <w:t>高</w:t>
            </w:r>
            <w:r>
              <w:rPr>
                <w:rFonts w:hint="eastAsia" w:ascii="宋体" w:hAnsi="宋体" w:eastAsia="宋体" w:cs="宋体"/>
                <w:color w:val="000000"/>
                <w:kern w:val="0"/>
                <w:sz w:val="21"/>
                <w:szCs w:val="21"/>
                <w:highlight w:val="none"/>
              </w:rPr>
              <w:t>得</w:t>
            </w:r>
            <w:r>
              <w:rPr>
                <w:rFonts w:hint="eastAsia" w:ascii="宋体" w:hAnsi="宋体" w:eastAsia="宋体" w:cs="宋体"/>
                <w:color w:val="000000"/>
                <w:kern w:val="0"/>
                <w:sz w:val="21"/>
                <w:szCs w:val="21"/>
                <w:highlight w:val="none"/>
                <w:lang w:val="en-US" w:eastAsia="zh-CN"/>
              </w:rPr>
              <w:t>1</w:t>
            </w:r>
            <w:r>
              <w:rPr>
                <w:rFonts w:hint="eastAsia" w:ascii="宋体" w:hAnsi="宋体" w:eastAsia="宋体" w:cs="宋体"/>
                <w:color w:val="000000"/>
                <w:kern w:val="0"/>
                <w:sz w:val="21"/>
                <w:szCs w:val="21"/>
                <w:highlight w:val="none"/>
              </w:rPr>
              <w:t>分；</w:t>
            </w: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highlight w:val="none"/>
                <w:lang w:eastAsia="zh-CN"/>
              </w:rPr>
            </w:pPr>
            <w:r>
              <w:rPr>
                <w:rFonts w:hint="eastAsia" w:ascii="宋体" w:hAnsi="宋体" w:eastAsia="宋体" w:cs="宋体"/>
                <w:color w:val="000000"/>
                <w:kern w:val="0"/>
                <w:sz w:val="21"/>
                <w:szCs w:val="21"/>
                <w:highlight w:val="none"/>
              </w:rPr>
              <w:t>2、投标人公司成立时间在3年（含3年）以上，得1分</w:t>
            </w:r>
            <w:r>
              <w:rPr>
                <w:rFonts w:hint="eastAsia" w:ascii="宋体" w:hAnsi="宋体" w:eastAsia="宋体" w:cs="宋体"/>
                <w:color w:val="000000"/>
                <w:kern w:val="0"/>
                <w:sz w:val="21"/>
                <w:szCs w:val="21"/>
                <w:highlight w:val="none"/>
                <w:lang w:eastAsia="zh-CN"/>
              </w:rPr>
              <w:t>，</w:t>
            </w:r>
            <w:r>
              <w:rPr>
                <w:rFonts w:hint="eastAsia" w:ascii="宋体" w:hAnsi="宋体" w:eastAsia="宋体" w:cs="宋体"/>
                <w:color w:val="000000"/>
                <w:kern w:val="0"/>
                <w:sz w:val="21"/>
                <w:szCs w:val="21"/>
                <w:highlight w:val="none"/>
              </w:rPr>
              <w:t>最</w:t>
            </w:r>
            <w:r>
              <w:rPr>
                <w:rFonts w:hint="eastAsia" w:ascii="宋体" w:hAnsi="宋体" w:eastAsia="宋体" w:cs="宋体"/>
                <w:color w:val="000000"/>
                <w:kern w:val="0"/>
                <w:sz w:val="21"/>
                <w:szCs w:val="21"/>
                <w:highlight w:val="none"/>
                <w:lang w:val="en-US" w:eastAsia="zh-CN"/>
              </w:rPr>
              <w:t>高</w:t>
            </w:r>
            <w:r>
              <w:rPr>
                <w:rFonts w:hint="eastAsia" w:ascii="宋体" w:hAnsi="宋体" w:eastAsia="宋体" w:cs="宋体"/>
                <w:color w:val="000000"/>
                <w:kern w:val="0"/>
                <w:sz w:val="21"/>
                <w:szCs w:val="21"/>
                <w:highlight w:val="none"/>
              </w:rPr>
              <w:t>得</w:t>
            </w:r>
            <w:r>
              <w:rPr>
                <w:rFonts w:hint="eastAsia" w:ascii="宋体" w:hAnsi="宋体" w:eastAsia="宋体" w:cs="宋体"/>
                <w:color w:val="000000"/>
                <w:kern w:val="0"/>
                <w:sz w:val="21"/>
                <w:szCs w:val="21"/>
                <w:highlight w:val="none"/>
                <w:lang w:val="en-US" w:eastAsia="zh-CN"/>
              </w:rPr>
              <w:t>1</w:t>
            </w:r>
            <w:r>
              <w:rPr>
                <w:rFonts w:hint="eastAsia" w:ascii="宋体" w:hAnsi="宋体" w:eastAsia="宋体" w:cs="宋体"/>
                <w:color w:val="000000"/>
                <w:kern w:val="0"/>
                <w:sz w:val="21"/>
                <w:szCs w:val="21"/>
                <w:highlight w:val="none"/>
              </w:rPr>
              <w:t>分；</w:t>
            </w: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3、投标人每提供一个有效的相关行业资质证书即得1分，最</w:t>
            </w:r>
            <w:r>
              <w:rPr>
                <w:rFonts w:hint="eastAsia" w:ascii="宋体" w:hAnsi="宋体" w:eastAsia="宋体" w:cs="宋体"/>
                <w:color w:val="000000"/>
                <w:kern w:val="0"/>
                <w:sz w:val="21"/>
                <w:szCs w:val="21"/>
                <w:highlight w:val="none"/>
                <w:lang w:val="en-US" w:eastAsia="zh-CN"/>
              </w:rPr>
              <w:t>高</w:t>
            </w:r>
            <w:r>
              <w:rPr>
                <w:rFonts w:hint="eastAsia" w:ascii="宋体" w:hAnsi="宋体" w:eastAsia="宋体" w:cs="宋体"/>
                <w:color w:val="000000"/>
                <w:kern w:val="0"/>
                <w:sz w:val="21"/>
                <w:szCs w:val="21"/>
                <w:highlight w:val="none"/>
              </w:rPr>
              <w:t>得</w:t>
            </w:r>
            <w:r>
              <w:rPr>
                <w:rFonts w:hint="eastAsia" w:ascii="宋体" w:hAnsi="宋体" w:eastAsia="宋体" w:cs="宋体"/>
                <w:color w:val="000000"/>
                <w:kern w:val="0"/>
                <w:sz w:val="21"/>
                <w:szCs w:val="21"/>
                <w:highlight w:val="none"/>
                <w:lang w:val="en-US" w:eastAsia="zh-CN"/>
              </w:rPr>
              <w:t>1</w:t>
            </w:r>
            <w:r>
              <w:rPr>
                <w:rFonts w:hint="eastAsia" w:ascii="宋体" w:hAnsi="宋体" w:eastAsia="宋体" w:cs="宋体"/>
                <w:color w:val="000000"/>
                <w:kern w:val="0"/>
                <w:sz w:val="21"/>
                <w:szCs w:val="21"/>
                <w:highlight w:val="none"/>
              </w:rPr>
              <w:t>分；</w:t>
            </w: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4</w:t>
            </w:r>
            <w:r>
              <w:rPr>
                <w:rFonts w:hint="eastAsia" w:ascii="宋体" w:hAnsi="宋体" w:eastAsia="宋体" w:cs="宋体"/>
                <w:color w:val="000000"/>
                <w:kern w:val="0"/>
                <w:sz w:val="21"/>
                <w:szCs w:val="21"/>
                <w:highlight w:val="none"/>
              </w:rPr>
              <w:t>、</w:t>
            </w:r>
            <w:r>
              <w:rPr>
                <w:rFonts w:hint="eastAsia" w:ascii="宋体" w:hAnsi="宋体" w:eastAsia="宋体" w:cs="宋体"/>
                <w:color w:val="000000"/>
                <w:kern w:val="0"/>
                <w:sz w:val="21"/>
                <w:szCs w:val="21"/>
                <w:highlight w:val="none"/>
                <w:lang w:val="en-US" w:eastAsia="zh-CN"/>
              </w:rPr>
              <w:t>提供上年度公司社保证明，得1分。</w:t>
            </w:r>
            <w:r>
              <w:rPr>
                <w:rFonts w:hint="eastAsia" w:ascii="宋体" w:hAnsi="宋体" w:eastAsia="宋体" w:cs="宋体"/>
                <w:color w:val="000000"/>
                <w:kern w:val="0"/>
                <w:sz w:val="21"/>
                <w:szCs w:val="21"/>
                <w:highlight w:val="none"/>
              </w:rPr>
              <w:t>最</w:t>
            </w:r>
            <w:r>
              <w:rPr>
                <w:rFonts w:hint="eastAsia" w:ascii="宋体" w:hAnsi="宋体" w:eastAsia="宋体" w:cs="宋体"/>
                <w:color w:val="000000"/>
                <w:kern w:val="0"/>
                <w:sz w:val="21"/>
                <w:szCs w:val="21"/>
                <w:highlight w:val="none"/>
                <w:lang w:val="en-US" w:eastAsia="zh-CN"/>
              </w:rPr>
              <w:t>高</w:t>
            </w:r>
            <w:r>
              <w:rPr>
                <w:rFonts w:hint="eastAsia" w:ascii="宋体" w:hAnsi="宋体" w:eastAsia="宋体" w:cs="宋体"/>
                <w:color w:val="000000"/>
                <w:kern w:val="0"/>
                <w:sz w:val="21"/>
                <w:szCs w:val="21"/>
                <w:highlight w:val="none"/>
              </w:rPr>
              <w:t>得</w:t>
            </w:r>
            <w:r>
              <w:rPr>
                <w:rFonts w:hint="eastAsia" w:ascii="宋体" w:hAnsi="宋体" w:eastAsia="宋体" w:cs="宋体"/>
                <w:color w:val="000000"/>
                <w:kern w:val="0"/>
                <w:sz w:val="21"/>
                <w:szCs w:val="21"/>
                <w:highlight w:val="none"/>
                <w:lang w:val="en-US" w:eastAsia="zh-CN"/>
              </w:rPr>
              <w:t>1</w:t>
            </w:r>
            <w:r>
              <w:rPr>
                <w:rFonts w:hint="eastAsia" w:ascii="宋体" w:hAnsi="宋体" w:eastAsia="宋体" w:cs="宋体"/>
                <w:color w:val="000000"/>
                <w:kern w:val="0"/>
                <w:sz w:val="21"/>
                <w:szCs w:val="21"/>
                <w:highlight w:val="none"/>
              </w:rPr>
              <w:t>分；</w:t>
            </w: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highlight w:val="none"/>
                <w:lang w:val="en-US" w:eastAsia="zh-CN"/>
              </w:rPr>
            </w:pPr>
            <w:r>
              <w:rPr>
                <w:rFonts w:hint="eastAsia" w:ascii="宋体" w:hAnsi="宋体" w:eastAsia="宋体" w:cs="宋体"/>
                <w:color w:val="000000"/>
                <w:kern w:val="0"/>
                <w:sz w:val="21"/>
                <w:szCs w:val="21"/>
                <w:highlight w:val="none"/>
                <w:lang w:val="en-US" w:eastAsia="zh-CN"/>
              </w:rPr>
              <w:t>5</w:t>
            </w:r>
            <w:r>
              <w:rPr>
                <w:rFonts w:hint="eastAsia" w:ascii="宋体" w:hAnsi="宋体" w:eastAsia="宋体" w:cs="宋体"/>
                <w:color w:val="000000"/>
                <w:kern w:val="0"/>
                <w:sz w:val="21"/>
                <w:szCs w:val="21"/>
                <w:highlight w:val="none"/>
              </w:rPr>
              <w:t>、在此网站提供基本信息、许可经营信息。</w:t>
            </w:r>
            <w:r>
              <w:rPr>
                <w:rFonts w:hint="eastAsia" w:ascii="宋体" w:hAnsi="宋体" w:eastAsia="宋体" w:cs="宋体"/>
                <w:color w:val="000000"/>
                <w:kern w:val="0"/>
                <w:sz w:val="21"/>
                <w:szCs w:val="21"/>
                <w:highlight w:val="none"/>
                <w:lang w:val="en-US" w:eastAsia="zh-CN"/>
              </w:rPr>
              <w:t>:</w:t>
            </w:r>
            <w:r>
              <w:rPr>
                <w:rFonts w:hint="eastAsia" w:ascii="宋体" w:hAnsi="宋体" w:eastAsia="宋体" w:cs="宋体"/>
                <w:color w:val="000000"/>
                <w:kern w:val="0"/>
                <w:sz w:val="21"/>
                <w:szCs w:val="21"/>
                <w:highlight w:val="none"/>
              </w:rPr>
              <w:t>https://amr.sz.gov.cn/outer/mobile/gs.html，得1分，最高得1分。</w:t>
            </w: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证明文件：</w:t>
            </w:r>
          </w:p>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提供资质证书复印件且证书在有效期内。评定标准以评标委员会意见为准。</w:t>
            </w:r>
          </w:p>
        </w:tc>
        <w:tc>
          <w:tcPr>
            <w:tcW w:w="702"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5</w:t>
            </w:r>
            <w:r>
              <w:rPr>
                <w:rFonts w:hint="eastAsia" w:ascii="宋体" w:hAnsi="宋体" w:eastAsia="宋体" w:cs="宋体"/>
                <w:color w:val="000000"/>
                <w:kern w:val="0"/>
                <w:sz w:val="21"/>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8552" w:type="dxa"/>
            <w:gridSpan w:val="3"/>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合计</w:t>
            </w:r>
          </w:p>
        </w:tc>
        <w:tc>
          <w:tcPr>
            <w:tcW w:w="702" w:type="dxa"/>
            <w:vAlign w:val="center"/>
          </w:tcPr>
          <w:p>
            <w:pPr>
              <w:keepNext w:val="0"/>
              <w:keepLines w:val="0"/>
              <w:pageBreakBefore w:val="0"/>
              <w:widowControl/>
              <w:kinsoku/>
              <w:wordWrap/>
              <w:overflowPunct/>
              <w:topLinePunct w:val="0"/>
              <w:autoSpaceDE/>
              <w:autoSpaceDN/>
              <w:bidi w:val="0"/>
              <w:adjustRightInd/>
              <w:snapToGrid/>
              <w:spacing w:line="320" w:lineRule="exact"/>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100分</w:t>
            </w:r>
          </w:p>
        </w:tc>
      </w:tr>
    </w:tbl>
    <w:p>
      <w:pPr>
        <w:spacing w:line="240" w:lineRule="auto"/>
        <w:rPr>
          <w:rFonts w:hint="eastAsia" w:ascii="宋体" w:hAnsi="宋体" w:eastAsia="宋体" w:cs="宋体"/>
          <w:color w:val="000000" w:themeColor="text1"/>
          <w:szCs w:val="21"/>
          <w14:textFill>
            <w14:solidFill>
              <w14:schemeClr w14:val="tx1"/>
            </w14:solidFill>
          </w14:textFill>
        </w:rPr>
      </w:pPr>
    </w:p>
    <w:p>
      <w:pPr>
        <w:spacing w:line="240" w:lineRule="auto"/>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注：</w:t>
      </w:r>
    </w:p>
    <w:p>
      <w:pPr>
        <w:spacing w:line="240" w:lineRule="auto"/>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本量化表中每一栏的得分采用就高不就低的原则，不累计加分，每项得分最高不得超过该项评审指标的权重；2.表中要求提供相关计分证明文件的内容，投标文件中须明确加以说明，未按要求提供相关文件或说明不清楚的按不符合要求处理。3.综合以上分析比较，评委会将对各投标文件进行书面的量化评定，得分精确到小数点后两位。</w:t>
      </w:r>
      <w:r>
        <w:rPr>
          <w:rFonts w:hint="eastAsia" w:ascii="宋体" w:hAnsi="宋体" w:eastAsia="宋体" w:cs="宋体"/>
          <w:color w:val="000000" w:themeColor="text1"/>
          <w:szCs w:val="21"/>
          <w14:textFill>
            <w14:solidFill>
              <w14:schemeClr w14:val="tx1"/>
            </w14:solidFill>
          </w14:textFill>
        </w:rPr>
        <w:br w:type="page"/>
      </w:r>
    </w:p>
    <w:p>
      <w:pPr>
        <w:numPr>
          <w:ilvl w:val="1"/>
          <w:numId w:val="14"/>
        </w:numPr>
        <w:ind w:firstLine="402"/>
        <w:jc w:val="center"/>
        <w:outlineLvl w:val="1"/>
        <w:rPr>
          <w:rFonts w:hint="eastAsia" w:ascii="宋体" w:hAnsi="宋体" w:eastAsia="宋体" w:cs="宋体"/>
          <w:b/>
          <w:bCs/>
          <w:color w:val="000000"/>
          <w:sz w:val="21"/>
          <w:szCs w:val="21"/>
        </w:rPr>
      </w:pPr>
      <w:bookmarkStart w:id="207" w:name="_Toc142370556"/>
      <w:bookmarkStart w:id="208" w:name="_Toc143337218"/>
      <w:bookmarkStart w:id="209" w:name="_Toc271798827"/>
      <w:bookmarkStart w:id="210" w:name="_Toc143488620"/>
      <w:bookmarkStart w:id="211" w:name="_Toc7999"/>
      <w:r>
        <w:rPr>
          <w:rFonts w:hint="eastAsia" w:ascii="宋体" w:hAnsi="宋体" w:eastAsia="宋体" w:cs="宋体"/>
          <w:b/>
          <w:bCs/>
          <w:color w:val="000000"/>
          <w:sz w:val="21"/>
          <w:szCs w:val="21"/>
          <w:lang w:eastAsia="zh-CN"/>
        </w:rPr>
        <w:t>投标文件</w:t>
      </w:r>
      <w:r>
        <w:rPr>
          <w:rFonts w:hint="eastAsia" w:ascii="宋体" w:hAnsi="宋体" w:eastAsia="宋体" w:cs="宋体"/>
          <w:b/>
          <w:bCs/>
          <w:color w:val="000000"/>
          <w:sz w:val="21"/>
          <w:szCs w:val="21"/>
        </w:rPr>
        <w:t>样式</w:t>
      </w:r>
      <w:bookmarkEnd w:id="207"/>
      <w:bookmarkEnd w:id="208"/>
      <w:bookmarkEnd w:id="209"/>
      <w:bookmarkEnd w:id="210"/>
      <w:bookmarkEnd w:id="211"/>
    </w:p>
    <w:p>
      <w:pPr>
        <w:spacing w:line="240" w:lineRule="auto"/>
        <w:rPr>
          <w:rFonts w:hint="eastAsia" w:ascii="宋体" w:hAnsi="宋体" w:eastAsia="宋体" w:cs="宋体"/>
          <w:color w:val="000000" w:themeColor="text1"/>
          <w:sz w:val="21"/>
          <w:szCs w:val="21"/>
          <w14:textFill>
            <w14:solidFill>
              <w14:schemeClr w14:val="tx1"/>
            </w14:solidFill>
          </w14:textFill>
        </w:rPr>
      </w:pPr>
    </w:p>
    <w:p>
      <w:pPr>
        <w:spacing w:line="360" w:lineRule="auto"/>
        <w:ind w:firstLine="3034" w:firstLineChars="1425"/>
        <w:jc w:val="right"/>
        <w:rPr>
          <w:rFonts w:hint="eastAsia" w:ascii="宋体" w:hAnsi="宋体" w:eastAsia="宋体" w:cs="宋体"/>
          <w:b/>
          <w:sz w:val="21"/>
          <w:szCs w:val="21"/>
        </w:rPr>
      </w:pPr>
      <w:r>
        <w:rPr>
          <w:rFonts w:hint="eastAsia" w:ascii="宋体" w:hAnsi="宋体" w:eastAsia="宋体" w:cs="宋体"/>
          <w:b/>
          <w:sz w:val="21"/>
          <w:szCs w:val="21"/>
        </w:rPr>
        <w:t>(</w:t>
      </w:r>
      <w:r>
        <w:rPr>
          <w:rFonts w:hint="eastAsia" w:ascii="宋体" w:hAnsi="宋体" w:eastAsia="宋体" w:cs="宋体"/>
          <w:b/>
          <w:sz w:val="21"/>
          <w:szCs w:val="21"/>
          <w:lang w:val="en-US" w:eastAsia="zh-CN"/>
        </w:rPr>
        <w:t>正</w:t>
      </w:r>
      <w:r>
        <w:rPr>
          <w:rFonts w:hint="eastAsia" w:ascii="宋体" w:hAnsi="宋体" w:eastAsia="宋体" w:cs="宋体"/>
          <w:b/>
          <w:sz w:val="21"/>
          <w:szCs w:val="21"/>
        </w:rPr>
        <w:t xml:space="preserve"> 本)</w:t>
      </w:r>
    </w:p>
    <w:p>
      <w:pPr>
        <w:spacing w:line="360" w:lineRule="auto"/>
        <w:ind w:firstLine="3034" w:firstLineChars="1425"/>
        <w:rPr>
          <w:rFonts w:hint="eastAsia" w:ascii="宋体" w:hAnsi="宋体" w:eastAsia="宋体" w:cs="宋体"/>
          <w:b/>
          <w:sz w:val="21"/>
          <w:szCs w:val="21"/>
        </w:rPr>
      </w:pPr>
    </w:p>
    <w:p>
      <w:pPr>
        <w:spacing w:line="360" w:lineRule="auto"/>
        <w:jc w:val="center"/>
        <w:rPr>
          <w:rFonts w:hint="eastAsia" w:ascii="宋体" w:hAnsi="宋体" w:eastAsia="宋体" w:cs="宋体"/>
          <w:b/>
          <w:szCs w:val="21"/>
        </w:rPr>
      </w:pPr>
    </w:p>
    <w:p>
      <w:pPr>
        <w:spacing w:after="240" w:line="360" w:lineRule="auto"/>
        <w:jc w:val="center"/>
        <w:rPr>
          <w:rFonts w:hint="eastAsia" w:ascii="宋体" w:hAnsi="宋体" w:eastAsia="宋体" w:cs="宋体"/>
          <w:b/>
          <w:bCs/>
          <w:sz w:val="48"/>
          <w:szCs w:val="48"/>
          <w:highlight w:val="none"/>
        </w:rPr>
      </w:pPr>
      <w:r>
        <w:rPr>
          <w:rFonts w:hint="eastAsia" w:ascii="宋体" w:hAnsi="宋体" w:eastAsia="宋体" w:cs="宋体"/>
          <w:b/>
          <w:bCs/>
          <w:sz w:val="48"/>
          <w:szCs w:val="48"/>
          <w:highlight w:val="none"/>
          <w:u w:val="single"/>
          <w:lang w:val="en-US" w:eastAsia="zh-CN"/>
        </w:rPr>
        <w:t xml:space="preserve"> （供应商自行填空） </w:t>
      </w:r>
      <w:r>
        <w:rPr>
          <w:rFonts w:hint="eastAsia" w:ascii="宋体" w:hAnsi="宋体" w:eastAsia="宋体" w:cs="宋体"/>
          <w:b/>
          <w:bCs/>
          <w:sz w:val="48"/>
          <w:szCs w:val="48"/>
          <w:highlight w:val="none"/>
        </w:rPr>
        <w:t>项目</w:t>
      </w:r>
    </w:p>
    <w:p>
      <w:pPr>
        <w:spacing w:after="240" w:line="360" w:lineRule="auto"/>
        <w:jc w:val="center"/>
        <w:rPr>
          <w:rFonts w:hint="eastAsia" w:ascii="宋体" w:hAnsi="宋体" w:eastAsia="宋体" w:cs="宋体"/>
          <w:sz w:val="32"/>
          <w:szCs w:val="32"/>
        </w:rPr>
      </w:pPr>
    </w:p>
    <w:p>
      <w:pPr>
        <w:spacing w:line="360" w:lineRule="auto"/>
        <w:jc w:val="center"/>
        <w:rPr>
          <w:rFonts w:hint="eastAsia" w:ascii="宋体" w:hAnsi="宋体" w:eastAsia="宋体" w:cs="宋体"/>
          <w:sz w:val="32"/>
          <w:szCs w:val="32"/>
        </w:rPr>
      </w:pPr>
    </w:p>
    <w:p>
      <w:pPr>
        <w:spacing w:line="360" w:lineRule="auto"/>
        <w:jc w:val="center"/>
        <w:rPr>
          <w:rFonts w:hint="eastAsia" w:ascii="宋体" w:hAnsi="宋体" w:eastAsia="宋体" w:cs="宋体"/>
          <w:sz w:val="52"/>
          <w:szCs w:val="52"/>
        </w:rPr>
      </w:pPr>
      <w:r>
        <w:rPr>
          <w:rFonts w:hint="eastAsia" w:ascii="宋体" w:hAnsi="宋体" w:eastAsia="宋体" w:cs="宋体"/>
          <w:b/>
          <w:sz w:val="52"/>
          <w:szCs w:val="52"/>
        </w:rPr>
        <w:t>投标文件</w:t>
      </w:r>
    </w:p>
    <w:p>
      <w:pPr>
        <w:spacing w:line="360" w:lineRule="auto"/>
        <w:rPr>
          <w:rFonts w:hint="eastAsia" w:ascii="宋体" w:hAnsi="宋体" w:eastAsia="宋体" w:cs="宋体"/>
          <w:sz w:val="32"/>
          <w:szCs w:val="32"/>
        </w:rPr>
      </w:pPr>
    </w:p>
    <w:p>
      <w:pPr>
        <w:spacing w:line="360" w:lineRule="auto"/>
        <w:rPr>
          <w:rFonts w:hint="eastAsia" w:ascii="宋体" w:hAnsi="宋体" w:eastAsia="宋体" w:cs="宋体"/>
          <w:sz w:val="32"/>
          <w:szCs w:val="32"/>
        </w:rPr>
      </w:pPr>
    </w:p>
    <w:p>
      <w:pPr>
        <w:spacing w:line="360" w:lineRule="auto"/>
        <w:jc w:val="center"/>
        <w:rPr>
          <w:rFonts w:hint="eastAsia" w:ascii="宋体" w:hAnsi="宋体" w:eastAsia="宋体" w:cs="宋体"/>
          <w:sz w:val="32"/>
          <w:szCs w:val="32"/>
          <w:highlight w:val="none"/>
          <w:lang w:val="en-US" w:eastAsia="zh-CN"/>
        </w:rPr>
      </w:pPr>
    </w:p>
    <w:p>
      <w:pPr>
        <w:spacing w:line="360" w:lineRule="auto"/>
        <w:jc w:val="center"/>
        <w:rPr>
          <w:rFonts w:hint="eastAsia" w:ascii="宋体" w:hAnsi="宋体" w:eastAsia="宋体" w:cs="宋体"/>
          <w:sz w:val="32"/>
          <w:szCs w:val="32"/>
          <w:highlight w:val="none"/>
          <w:lang w:val="en-US" w:eastAsia="zh-CN"/>
        </w:rPr>
      </w:pPr>
    </w:p>
    <w:p>
      <w:pPr>
        <w:spacing w:line="360" w:lineRule="auto"/>
        <w:jc w:val="center"/>
        <w:rPr>
          <w:rFonts w:hint="eastAsia" w:ascii="宋体" w:hAnsi="宋体" w:eastAsia="宋体" w:cs="宋体"/>
          <w:sz w:val="32"/>
          <w:szCs w:val="32"/>
          <w:highlight w:val="none"/>
          <w:lang w:val="en-US" w:eastAsia="zh-CN"/>
        </w:rPr>
      </w:pPr>
    </w:p>
    <w:p>
      <w:pPr>
        <w:spacing w:line="360" w:lineRule="auto"/>
        <w:jc w:val="both"/>
        <w:rPr>
          <w:rFonts w:hint="eastAsia" w:ascii="宋体" w:hAnsi="宋体" w:eastAsia="宋体" w:cs="宋体"/>
          <w:sz w:val="32"/>
          <w:szCs w:val="32"/>
          <w:highlight w:val="none"/>
          <w:lang w:val="en-US" w:eastAsia="zh-CN"/>
        </w:rPr>
      </w:pPr>
    </w:p>
    <w:p>
      <w:pPr>
        <w:spacing w:line="360" w:lineRule="auto"/>
        <w:jc w:val="center"/>
        <w:rPr>
          <w:rFonts w:hint="eastAsia" w:ascii="宋体" w:hAnsi="宋体" w:eastAsia="宋体" w:cs="宋体"/>
          <w:sz w:val="32"/>
          <w:szCs w:val="32"/>
          <w:highlight w:val="none"/>
          <w:lang w:val="en-US" w:eastAsia="zh-CN"/>
        </w:rPr>
      </w:pPr>
    </w:p>
    <w:p>
      <w:pPr>
        <w:spacing w:line="360" w:lineRule="auto"/>
        <w:jc w:val="left"/>
        <w:rPr>
          <w:rFonts w:hint="eastAsia"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val="en-US" w:eastAsia="zh-CN"/>
        </w:rPr>
        <w:t>招标单位：</w:t>
      </w:r>
      <w:r>
        <w:rPr>
          <w:rFonts w:hint="eastAsia" w:ascii="宋体" w:hAnsi="宋体" w:eastAsia="宋体" w:cs="宋体"/>
          <w:b w:val="0"/>
          <w:bCs w:val="0"/>
          <w:sz w:val="32"/>
          <w:szCs w:val="32"/>
          <w:highlight w:val="none"/>
          <w:lang w:val="en-US" w:eastAsia="zh-CN"/>
        </w:rPr>
        <w:t>深圳市设计之都运营发展有限</w:t>
      </w:r>
      <w:r>
        <w:rPr>
          <w:rFonts w:hint="eastAsia" w:ascii="宋体" w:hAnsi="宋体" w:eastAsia="宋体" w:cs="宋体"/>
          <w:b w:val="0"/>
          <w:bCs w:val="0"/>
          <w:sz w:val="32"/>
          <w:szCs w:val="32"/>
          <w:highlight w:val="none"/>
        </w:rPr>
        <w:t>公司</w:t>
      </w:r>
    </w:p>
    <w:p>
      <w:pPr>
        <w:spacing w:line="360" w:lineRule="auto"/>
        <w:jc w:val="left"/>
        <w:rPr>
          <w:rFonts w:hint="eastAsia" w:ascii="宋体" w:hAnsi="宋体" w:eastAsia="宋体" w:cs="宋体"/>
          <w:b w:val="0"/>
          <w:bCs w:val="0"/>
          <w:sz w:val="32"/>
          <w:szCs w:val="32"/>
          <w:highlight w:val="none"/>
          <w:u w:val="single"/>
        </w:rPr>
      </w:pPr>
      <w:r>
        <w:rPr>
          <w:rFonts w:hint="eastAsia" w:ascii="宋体" w:hAnsi="宋体" w:eastAsia="宋体" w:cs="宋体"/>
          <w:b/>
          <w:bCs/>
          <w:sz w:val="32"/>
          <w:szCs w:val="32"/>
          <w:highlight w:val="none"/>
          <w:lang w:val="en-US" w:eastAsia="zh-CN"/>
        </w:rPr>
        <w:t>投标单位：</w:t>
      </w:r>
      <w:r>
        <w:rPr>
          <w:rFonts w:hint="eastAsia" w:ascii="宋体" w:hAnsi="宋体" w:eastAsia="宋体" w:cs="宋体"/>
          <w:b w:val="0"/>
          <w:bCs w:val="0"/>
          <w:sz w:val="32"/>
          <w:szCs w:val="32"/>
          <w:highlight w:val="none"/>
          <w:u w:val="single"/>
          <w:lang w:val="en-US" w:eastAsia="zh-CN"/>
        </w:rPr>
        <w:t>XXX</w:t>
      </w:r>
      <w:r>
        <w:rPr>
          <w:rFonts w:hint="eastAsia" w:ascii="宋体" w:hAnsi="宋体" w:eastAsia="宋体" w:cs="宋体"/>
          <w:b w:val="0"/>
          <w:bCs w:val="0"/>
          <w:sz w:val="32"/>
          <w:szCs w:val="32"/>
          <w:highlight w:val="none"/>
          <w:u w:val="single"/>
        </w:rPr>
        <w:t>公司</w:t>
      </w:r>
    </w:p>
    <w:p>
      <w:pPr>
        <w:spacing w:line="360" w:lineRule="auto"/>
        <w:jc w:val="left"/>
        <w:rPr>
          <w:rFonts w:hint="eastAsia" w:ascii="宋体" w:hAnsi="宋体" w:eastAsia="宋体" w:cs="宋体"/>
          <w:b/>
          <w:bCs/>
          <w:sz w:val="32"/>
          <w:szCs w:val="32"/>
          <w:highlight w:val="none"/>
          <w:lang w:val="en-US" w:eastAsia="zh-CN"/>
        </w:rPr>
        <w:sectPr>
          <w:footerReference r:id="rId3" w:type="default"/>
          <w:pgSz w:w="11906" w:h="16838"/>
          <w:pgMar w:top="1440" w:right="1797" w:bottom="1440" w:left="1797" w:header="851" w:footer="992" w:gutter="0"/>
          <w:cols w:space="425" w:num="1"/>
          <w:docGrid w:type="linesAndChars" w:linePitch="317" w:charSpace="640"/>
        </w:sectPr>
      </w:pPr>
      <w:r>
        <w:rPr>
          <w:rFonts w:hint="eastAsia" w:ascii="宋体" w:hAnsi="宋体" w:eastAsia="宋体" w:cs="宋体"/>
          <w:b/>
          <w:bCs/>
          <w:sz w:val="32"/>
          <w:szCs w:val="32"/>
          <w:highlight w:val="none"/>
          <w:lang w:val="en-US" w:eastAsia="zh-CN"/>
        </w:rPr>
        <w:t>开标时间：</w:t>
      </w:r>
      <w:r>
        <w:rPr>
          <w:rFonts w:hint="eastAsia" w:ascii="宋体" w:hAnsi="宋体" w:eastAsia="宋体" w:cs="宋体"/>
          <w:b w:val="0"/>
          <w:bCs w:val="0"/>
          <w:sz w:val="32"/>
          <w:szCs w:val="32"/>
          <w:highlight w:val="none"/>
          <w:u w:val="single"/>
          <w:lang w:val="en-US" w:eastAsia="zh-CN"/>
        </w:rPr>
        <w:t>X年X月X日X时X分</w:t>
      </w:r>
    </w:p>
    <w:p>
      <w:pPr>
        <w:pStyle w:val="2"/>
        <w:tabs>
          <w:tab w:val="right" w:leader="dot" w:pos="8312"/>
        </w:tabs>
        <w:spacing w:line="360" w:lineRule="auto"/>
        <w:jc w:val="center"/>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目录</w:t>
      </w:r>
    </w:p>
    <w:p>
      <w:pPr>
        <w:rPr>
          <w:rFonts w:hint="eastAsia"/>
          <w:lang w:val="en-US" w:eastAsia="zh-CN"/>
        </w:rPr>
      </w:pPr>
    </w:p>
    <w:p>
      <w:pPr>
        <w:pStyle w:val="2"/>
        <w:tabs>
          <w:tab w:val="right" w:leader="dot" w:pos="8312"/>
        </w:tabs>
      </w:pPr>
      <w:r>
        <w:fldChar w:fldCharType="begin"/>
      </w:r>
      <w:r>
        <w:instrText xml:space="preserve"> HYPERLINK \l _Toc687 </w:instrText>
      </w:r>
      <w:r>
        <w:fldChar w:fldCharType="separate"/>
      </w:r>
      <w:r>
        <w:rPr>
          <w:rFonts w:hint="eastAsia" w:ascii="宋体" w:hAnsi="宋体" w:eastAsia="宋体" w:cs="宋体"/>
          <w:bCs w:val="0"/>
          <w:szCs w:val="21"/>
        </w:rPr>
        <w:t>一、 投标书</w:t>
      </w:r>
      <w:r>
        <w:tab/>
      </w:r>
      <w:r>
        <w:fldChar w:fldCharType="begin"/>
      </w:r>
      <w:r>
        <w:instrText xml:space="preserve"> PAGEREF _Toc687 \h </w:instrText>
      </w:r>
      <w:r>
        <w:fldChar w:fldCharType="separate"/>
      </w:r>
      <w:r>
        <w:t>19</w:t>
      </w:r>
      <w:r>
        <w:fldChar w:fldCharType="end"/>
      </w:r>
      <w:r>
        <w:fldChar w:fldCharType="end"/>
      </w:r>
    </w:p>
    <w:p>
      <w:pPr>
        <w:pStyle w:val="2"/>
        <w:tabs>
          <w:tab w:val="right" w:leader="dot" w:pos="8312"/>
        </w:tabs>
      </w:pPr>
      <w:r>
        <w:fldChar w:fldCharType="begin"/>
      </w:r>
      <w:r>
        <w:instrText xml:space="preserve"> HYPERLINK \l _Toc26264 </w:instrText>
      </w:r>
      <w:r>
        <w:fldChar w:fldCharType="separate"/>
      </w:r>
      <w:r>
        <w:rPr>
          <w:rFonts w:hint="eastAsia" w:ascii="宋体" w:hAnsi="宋体" w:eastAsia="宋体" w:cs="宋体"/>
          <w:bCs w:val="0"/>
          <w:szCs w:val="21"/>
          <w:lang w:val="en-US" w:eastAsia="zh-CN"/>
        </w:rPr>
        <w:t>二、 开标一览表</w:t>
      </w:r>
      <w:r>
        <w:tab/>
      </w:r>
      <w:r>
        <w:fldChar w:fldCharType="begin"/>
      </w:r>
      <w:r>
        <w:instrText xml:space="preserve"> PAGEREF _Toc26264 \h </w:instrText>
      </w:r>
      <w:r>
        <w:fldChar w:fldCharType="separate"/>
      </w:r>
      <w:r>
        <w:t>20</w:t>
      </w:r>
      <w:r>
        <w:fldChar w:fldCharType="end"/>
      </w:r>
      <w:r>
        <w:fldChar w:fldCharType="end"/>
      </w:r>
    </w:p>
    <w:p>
      <w:pPr>
        <w:pStyle w:val="2"/>
        <w:tabs>
          <w:tab w:val="right" w:leader="dot" w:pos="8312"/>
        </w:tabs>
      </w:pPr>
      <w:r>
        <w:fldChar w:fldCharType="begin"/>
      </w:r>
      <w:r>
        <w:instrText xml:space="preserve"> HYPERLINK \l _Toc14049 </w:instrText>
      </w:r>
      <w:r>
        <w:fldChar w:fldCharType="separate"/>
      </w:r>
      <w:r>
        <w:rPr>
          <w:rFonts w:hint="eastAsia" w:ascii="宋体" w:hAnsi="宋体" w:eastAsia="宋体" w:cs="宋体"/>
          <w:bCs w:val="0"/>
          <w:szCs w:val="21"/>
          <w:lang w:val="en-US" w:eastAsia="zh-CN"/>
        </w:rPr>
        <w:t>三、 投标分项报价表</w:t>
      </w:r>
      <w:r>
        <w:tab/>
      </w:r>
      <w:r>
        <w:fldChar w:fldCharType="begin"/>
      </w:r>
      <w:r>
        <w:instrText xml:space="preserve"> PAGEREF _Toc14049 \h </w:instrText>
      </w:r>
      <w:r>
        <w:fldChar w:fldCharType="separate"/>
      </w:r>
      <w:r>
        <w:t>21</w:t>
      </w:r>
      <w:r>
        <w:fldChar w:fldCharType="end"/>
      </w:r>
      <w:r>
        <w:fldChar w:fldCharType="end"/>
      </w:r>
    </w:p>
    <w:p>
      <w:pPr>
        <w:pStyle w:val="2"/>
        <w:tabs>
          <w:tab w:val="right" w:leader="dot" w:pos="8312"/>
        </w:tabs>
      </w:pPr>
      <w:r>
        <w:fldChar w:fldCharType="begin"/>
      </w:r>
      <w:r>
        <w:instrText xml:space="preserve"> HYPERLINK \l _Toc7662 </w:instrText>
      </w:r>
      <w:r>
        <w:fldChar w:fldCharType="separate"/>
      </w:r>
      <w:r>
        <w:rPr>
          <w:rFonts w:hint="eastAsia" w:ascii="宋体" w:hAnsi="宋体" w:eastAsia="宋体" w:cs="宋体"/>
          <w:bCs w:val="0"/>
          <w:kern w:val="44"/>
          <w:szCs w:val="21"/>
          <w:lang w:val="en-US" w:eastAsia="zh-CN" w:bidi="ar-SA"/>
        </w:rPr>
        <w:t>四、 投标报价函</w:t>
      </w:r>
      <w:r>
        <w:tab/>
      </w:r>
      <w:r>
        <w:fldChar w:fldCharType="begin"/>
      </w:r>
      <w:r>
        <w:instrText xml:space="preserve"> PAGEREF _Toc7662 \h </w:instrText>
      </w:r>
      <w:r>
        <w:fldChar w:fldCharType="separate"/>
      </w:r>
      <w:r>
        <w:t>22</w:t>
      </w:r>
      <w:r>
        <w:fldChar w:fldCharType="end"/>
      </w:r>
      <w:r>
        <w:fldChar w:fldCharType="end"/>
      </w:r>
    </w:p>
    <w:p>
      <w:pPr>
        <w:pStyle w:val="2"/>
        <w:tabs>
          <w:tab w:val="right" w:leader="dot" w:pos="8312"/>
        </w:tabs>
      </w:pPr>
      <w:r>
        <w:fldChar w:fldCharType="begin"/>
      </w:r>
      <w:r>
        <w:instrText xml:space="preserve"> HYPERLINK \l _Toc15675 </w:instrText>
      </w:r>
      <w:r>
        <w:fldChar w:fldCharType="separate"/>
      </w:r>
      <w:r>
        <w:rPr>
          <w:rFonts w:hint="eastAsia" w:ascii="宋体" w:hAnsi="宋体" w:eastAsia="宋体" w:cs="宋体"/>
          <w:bCs w:val="0"/>
          <w:szCs w:val="21"/>
          <w:lang w:val="en-US" w:eastAsia="zh-CN"/>
        </w:rPr>
        <w:t>五、 法定代表人证明书</w:t>
      </w:r>
      <w:r>
        <w:tab/>
      </w:r>
      <w:r>
        <w:fldChar w:fldCharType="begin"/>
      </w:r>
      <w:r>
        <w:instrText xml:space="preserve"> PAGEREF _Toc15675 \h </w:instrText>
      </w:r>
      <w:r>
        <w:fldChar w:fldCharType="separate"/>
      </w:r>
      <w:r>
        <w:t>23</w:t>
      </w:r>
      <w:r>
        <w:fldChar w:fldCharType="end"/>
      </w:r>
      <w:r>
        <w:fldChar w:fldCharType="end"/>
      </w:r>
    </w:p>
    <w:p>
      <w:pPr>
        <w:pStyle w:val="2"/>
        <w:tabs>
          <w:tab w:val="right" w:leader="dot" w:pos="8312"/>
        </w:tabs>
      </w:pPr>
      <w:r>
        <w:fldChar w:fldCharType="begin"/>
      </w:r>
      <w:r>
        <w:instrText xml:space="preserve"> HYPERLINK \l _Toc3431 </w:instrText>
      </w:r>
      <w:r>
        <w:fldChar w:fldCharType="separate"/>
      </w:r>
      <w:r>
        <w:rPr>
          <w:rFonts w:hint="eastAsia" w:ascii="宋体" w:hAnsi="宋体" w:eastAsia="宋体" w:cs="宋体"/>
          <w:bCs w:val="0"/>
          <w:szCs w:val="21"/>
          <w:lang w:val="en-US" w:eastAsia="zh-CN"/>
        </w:rPr>
        <w:t>六、 法定代表人授权委托书</w:t>
      </w:r>
      <w:r>
        <w:tab/>
      </w:r>
      <w:r>
        <w:fldChar w:fldCharType="begin"/>
      </w:r>
      <w:r>
        <w:instrText xml:space="preserve"> PAGEREF _Toc3431 \h </w:instrText>
      </w:r>
      <w:r>
        <w:fldChar w:fldCharType="separate"/>
      </w:r>
      <w:r>
        <w:t>24</w:t>
      </w:r>
      <w:r>
        <w:fldChar w:fldCharType="end"/>
      </w:r>
      <w:r>
        <w:fldChar w:fldCharType="end"/>
      </w:r>
    </w:p>
    <w:p>
      <w:pPr>
        <w:pStyle w:val="2"/>
        <w:tabs>
          <w:tab w:val="right" w:leader="dot" w:pos="8312"/>
        </w:tabs>
      </w:pPr>
      <w:r>
        <w:fldChar w:fldCharType="begin"/>
      </w:r>
      <w:r>
        <w:instrText xml:space="preserve"> HYPERLINK \l _Toc20568 </w:instrText>
      </w:r>
      <w:r>
        <w:fldChar w:fldCharType="separate"/>
      </w:r>
      <w:r>
        <w:rPr>
          <w:rFonts w:hint="eastAsia" w:ascii="宋体" w:hAnsi="宋体" w:eastAsia="宋体" w:cs="宋体"/>
          <w:bCs w:val="0"/>
          <w:szCs w:val="21"/>
          <w:lang w:val="en-US" w:eastAsia="zh-CN"/>
        </w:rPr>
        <w:t>七、 股权关系证明</w:t>
      </w:r>
      <w:r>
        <w:tab/>
      </w:r>
      <w:r>
        <w:fldChar w:fldCharType="begin"/>
      </w:r>
      <w:r>
        <w:instrText xml:space="preserve"> PAGEREF _Toc20568 \h </w:instrText>
      </w:r>
      <w:r>
        <w:fldChar w:fldCharType="separate"/>
      </w:r>
      <w:r>
        <w:t>25</w:t>
      </w:r>
      <w:r>
        <w:fldChar w:fldCharType="end"/>
      </w:r>
      <w:r>
        <w:fldChar w:fldCharType="end"/>
      </w:r>
    </w:p>
    <w:p>
      <w:pPr>
        <w:pStyle w:val="2"/>
        <w:tabs>
          <w:tab w:val="right" w:leader="dot" w:pos="8312"/>
        </w:tabs>
      </w:pPr>
      <w:r>
        <w:fldChar w:fldCharType="begin"/>
      </w:r>
      <w:r>
        <w:instrText xml:space="preserve"> HYPERLINK \l _Toc29718 </w:instrText>
      </w:r>
      <w:r>
        <w:fldChar w:fldCharType="separate"/>
      </w:r>
      <w:r>
        <w:rPr>
          <w:rFonts w:hint="eastAsia" w:ascii="宋体" w:hAnsi="宋体" w:eastAsia="宋体" w:cs="宋体"/>
          <w:szCs w:val="21"/>
        </w:rPr>
        <w:t xml:space="preserve">八、 </w:t>
      </w:r>
      <w:r>
        <w:rPr>
          <w:rFonts w:hint="eastAsia" w:ascii="宋体" w:hAnsi="宋体" w:eastAsia="宋体" w:cs="宋体"/>
          <w:bCs w:val="0"/>
          <w:szCs w:val="21"/>
          <w:lang w:val="en-US" w:eastAsia="zh-CN"/>
        </w:rPr>
        <w:t>营业执照</w:t>
      </w:r>
      <w:r>
        <w:tab/>
      </w:r>
      <w:r>
        <w:fldChar w:fldCharType="begin"/>
      </w:r>
      <w:r>
        <w:instrText xml:space="preserve"> PAGEREF _Toc29718 \h </w:instrText>
      </w:r>
      <w:r>
        <w:fldChar w:fldCharType="separate"/>
      </w:r>
      <w:r>
        <w:t>26</w:t>
      </w:r>
      <w:r>
        <w:fldChar w:fldCharType="end"/>
      </w:r>
      <w:r>
        <w:fldChar w:fldCharType="end"/>
      </w:r>
    </w:p>
    <w:p>
      <w:pPr>
        <w:pStyle w:val="2"/>
        <w:tabs>
          <w:tab w:val="right" w:leader="dot" w:pos="8312"/>
        </w:tabs>
      </w:pPr>
      <w:r>
        <w:fldChar w:fldCharType="begin"/>
      </w:r>
      <w:r>
        <w:instrText xml:space="preserve"> HYPERLINK \l _Toc28249 </w:instrText>
      </w:r>
      <w:r>
        <w:fldChar w:fldCharType="separate"/>
      </w:r>
      <w:r>
        <w:rPr>
          <w:rFonts w:hint="eastAsia" w:ascii="宋体" w:hAnsi="宋体" w:eastAsia="宋体" w:cs="宋体"/>
          <w:bCs w:val="0"/>
          <w:szCs w:val="21"/>
          <w:lang w:val="en-US" w:eastAsia="zh-CN"/>
        </w:rPr>
        <w:t>九、 诚信投标承诺书</w:t>
      </w:r>
      <w:r>
        <w:tab/>
      </w:r>
      <w:r>
        <w:fldChar w:fldCharType="begin"/>
      </w:r>
      <w:r>
        <w:instrText xml:space="preserve"> PAGEREF _Toc28249 \h </w:instrText>
      </w:r>
      <w:r>
        <w:fldChar w:fldCharType="separate"/>
      </w:r>
      <w:r>
        <w:t>27</w:t>
      </w:r>
      <w:r>
        <w:fldChar w:fldCharType="end"/>
      </w:r>
      <w:r>
        <w:fldChar w:fldCharType="end"/>
      </w:r>
    </w:p>
    <w:p>
      <w:pPr>
        <w:pStyle w:val="2"/>
        <w:tabs>
          <w:tab w:val="right" w:leader="dot" w:pos="8312"/>
        </w:tabs>
      </w:pPr>
      <w:r>
        <w:fldChar w:fldCharType="begin"/>
      </w:r>
      <w:r>
        <w:instrText xml:space="preserve"> HYPERLINK \l _Toc3467 </w:instrText>
      </w:r>
      <w:r>
        <w:fldChar w:fldCharType="separate"/>
      </w:r>
      <w:r>
        <w:rPr>
          <w:rFonts w:hint="eastAsia" w:ascii="宋体" w:hAnsi="宋体" w:eastAsia="宋体" w:cs="宋体"/>
          <w:szCs w:val="21"/>
        </w:rPr>
        <w:t>本企业郑重承诺：</w:t>
      </w:r>
      <w:r>
        <w:tab/>
      </w:r>
      <w:r>
        <w:fldChar w:fldCharType="begin"/>
      </w:r>
      <w:r>
        <w:instrText xml:space="preserve"> PAGEREF _Toc3467 \h </w:instrText>
      </w:r>
      <w:r>
        <w:fldChar w:fldCharType="separate"/>
      </w:r>
      <w:r>
        <w:t>27</w:t>
      </w:r>
      <w:r>
        <w:fldChar w:fldCharType="end"/>
      </w:r>
      <w:r>
        <w:fldChar w:fldCharType="end"/>
      </w:r>
    </w:p>
    <w:p>
      <w:pPr>
        <w:pStyle w:val="2"/>
        <w:tabs>
          <w:tab w:val="right" w:leader="dot" w:pos="8312"/>
        </w:tabs>
      </w:pPr>
      <w:r>
        <w:fldChar w:fldCharType="begin"/>
      </w:r>
      <w:r>
        <w:instrText xml:space="preserve"> HYPERLINK \l _Toc2744 </w:instrText>
      </w:r>
      <w:r>
        <w:fldChar w:fldCharType="separate"/>
      </w:r>
      <w:r>
        <w:rPr>
          <w:rFonts w:hint="eastAsia" w:ascii="宋体" w:hAnsi="宋体" w:eastAsia="宋体" w:cs="宋体"/>
          <w:bCs w:val="0"/>
          <w:szCs w:val="21"/>
          <w:lang w:val="en-US" w:eastAsia="zh-CN"/>
        </w:rPr>
        <w:t xml:space="preserve">十、 </w:t>
      </w:r>
      <w:r>
        <w:rPr>
          <w:rFonts w:hint="eastAsia" w:ascii="宋体" w:hAnsi="宋体" w:eastAsia="宋体" w:cs="宋体"/>
          <w:bCs w:val="0"/>
          <w:kern w:val="44"/>
          <w:szCs w:val="21"/>
          <w:lang w:val="en-US" w:eastAsia="zh-CN" w:bidi="ar-SA"/>
        </w:rPr>
        <w:t>无重大违法记录声明</w:t>
      </w:r>
      <w:r>
        <w:tab/>
      </w:r>
      <w:r>
        <w:fldChar w:fldCharType="begin"/>
      </w:r>
      <w:r>
        <w:instrText xml:space="preserve"> PAGEREF _Toc2744 \h </w:instrText>
      </w:r>
      <w:r>
        <w:fldChar w:fldCharType="separate"/>
      </w:r>
      <w:r>
        <w:t>28</w:t>
      </w:r>
      <w:r>
        <w:fldChar w:fldCharType="end"/>
      </w:r>
      <w:r>
        <w:fldChar w:fldCharType="end"/>
      </w:r>
    </w:p>
    <w:p>
      <w:pPr>
        <w:pStyle w:val="2"/>
        <w:tabs>
          <w:tab w:val="right" w:leader="dot" w:pos="8312"/>
        </w:tabs>
      </w:pPr>
      <w:r>
        <w:fldChar w:fldCharType="begin"/>
      </w:r>
      <w:r>
        <w:instrText xml:space="preserve"> HYPERLINK \l _Toc13524 </w:instrText>
      </w:r>
      <w:r>
        <w:fldChar w:fldCharType="separate"/>
      </w:r>
      <w:r>
        <w:rPr>
          <w:rFonts w:hint="eastAsia" w:ascii="宋体" w:hAnsi="宋体" w:eastAsia="宋体" w:cs="宋体"/>
          <w:bCs w:val="0"/>
          <w:kern w:val="44"/>
          <w:szCs w:val="21"/>
          <w:lang w:val="en-US" w:eastAsia="zh-CN" w:bidi="ar-SA"/>
        </w:rPr>
        <w:t>十一、 工期承诺</w:t>
      </w:r>
      <w:r>
        <w:tab/>
      </w:r>
      <w:r>
        <w:fldChar w:fldCharType="begin"/>
      </w:r>
      <w:r>
        <w:instrText xml:space="preserve"> PAGEREF _Toc13524 \h </w:instrText>
      </w:r>
      <w:r>
        <w:fldChar w:fldCharType="separate"/>
      </w:r>
      <w:r>
        <w:t>29</w:t>
      </w:r>
      <w:r>
        <w:fldChar w:fldCharType="end"/>
      </w:r>
      <w:r>
        <w:fldChar w:fldCharType="end"/>
      </w:r>
    </w:p>
    <w:p>
      <w:pPr>
        <w:pStyle w:val="2"/>
        <w:tabs>
          <w:tab w:val="right" w:leader="dot" w:pos="8312"/>
        </w:tabs>
      </w:pPr>
      <w:r>
        <w:fldChar w:fldCharType="begin"/>
      </w:r>
      <w:r>
        <w:instrText xml:space="preserve"> HYPERLINK \l _Toc31682 </w:instrText>
      </w:r>
      <w:r>
        <w:fldChar w:fldCharType="separate"/>
      </w:r>
      <w:r>
        <w:rPr>
          <w:rFonts w:hint="eastAsia" w:ascii="宋体" w:hAnsi="宋体" w:eastAsia="宋体" w:cs="宋体"/>
          <w:bCs w:val="0"/>
          <w:szCs w:val="21"/>
          <w:lang w:val="en-US" w:eastAsia="zh-CN"/>
        </w:rPr>
        <w:t>十二、 本项目的有关人员资料表</w:t>
      </w:r>
      <w:r>
        <w:tab/>
      </w:r>
      <w:r>
        <w:fldChar w:fldCharType="begin"/>
      </w:r>
      <w:r>
        <w:instrText xml:space="preserve"> PAGEREF _Toc31682 \h </w:instrText>
      </w:r>
      <w:r>
        <w:fldChar w:fldCharType="separate"/>
      </w:r>
      <w:r>
        <w:t>30</w:t>
      </w:r>
      <w:r>
        <w:fldChar w:fldCharType="end"/>
      </w:r>
      <w:r>
        <w:fldChar w:fldCharType="end"/>
      </w:r>
    </w:p>
    <w:p>
      <w:pPr>
        <w:pStyle w:val="2"/>
        <w:tabs>
          <w:tab w:val="right" w:leader="dot" w:pos="8312"/>
        </w:tabs>
      </w:pPr>
      <w:r>
        <w:fldChar w:fldCharType="begin"/>
      </w:r>
      <w:r>
        <w:instrText xml:space="preserve"> HYPERLINK \l _Toc6307 </w:instrText>
      </w:r>
      <w:r>
        <w:fldChar w:fldCharType="separate"/>
      </w:r>
      <w:r>
        <w:rPr>
          <w:rFonts w:hint="eastAsia" w:ascii="宋体" w:hAnsi="宋体" w:eastAsia="宋体" w:cs="宋体"/>
          <w:bCs w:val="0"/>
          <w:szCs w:val="21"/>
          <w:lang w:val="en-US" w:eastAsia="zh-CN"/>
        </w:rPr>
        <w:t>十三、 条款响应表</w:t>
      </w:r>
      <w:r>
        <w:tab/>
      </w:r>
      <w:r>
        <w:fldChar w:fldCharType="begin"/>
      </w:r>
      <w:r>
        <w:instrText xml:space="preserve"> PAGEREF _Toc6307 \h </w:instrText>
      </w:r>
      <w:r>
        <w:fldChar w:fldCharType="separate"/>
      </w:r>
      <w:r>
        <w:t>31</w:t>
      </w:r>
      <w:r>
        <w:fldChar w:fldCharType="end"/>
      </w:r>
      <w:r>
        <w:fldChar w:fldCharType="end"/>
      </w:r>
    </w:p>
    <w:p>
      <w:pPr>
        <w:pStyle w:val="2"/>
        <w:tabs>
          <w:tab w:val="right" w:leader="dot" w:pos="8312"/>
        </w:tabs>
      </w:pPr>
      <w:r>
        <w:fldChar w:fldCharType="begin"/>
      </w:r>
      <w:r>
        <w:instrText xml:space="preserve"> HYPERLINK \l _Toc26800 </w:instrText>
      </w:r>
      <w:r>
        <w:fldChar w:fldCharType="separate"/>
      </w:r>
      <w:r>
        <w:rPr>
          <w:rFonts w:hint="eastAsia" w:ascii="宋体" w:hAnsi="宋体" w:eastAsia="宋体" w:cs="宋体"/>
          <w:bCs w:val="0"/>
          <w:szCs w:val="21"/>
          <w:lang w:val="en-US" w:eastAsia="zh-CN"/>
        </w:rPr>
        <w:t>十四、 关于资格的声明函</w:t>
      </w:r>
      <w:r>
        <w:tab/>
      </w:r>
      <w:r>
        <w:fldChar w:fldCharType="begin"/>
      </w:r>
      <w:r>
        <w:instrText xml:space="preserve"> PAGEREF _Toc26800 \h </w:instrText>
      </w:r>
      <w:r>
        <w:fldChar w:fldCharType="separate"/>
      </w:r>
      <w:r>
        <w:t>32</w:t>
      </w:r>
      <w:r>
        <w:fldChar w:fldCharType="end"/>
      </w:r>
      <w:r>
        <w:fldChar w:fldCharType="end"/>
      </w:r>
    </w:p>
    <w:p>
      <w:pPr>
        <w:pStyle w:val="2"/>
        <w:tabs>
          <w:tab w:val="right" w:leader="dot" w:pos="8312"/>
        </w:tabs>
      </w:pPr>
      <w:r>
        <w:fldChar w:fldCharType="begin"/>
      </w:r>
      <w:r>
        <w:instrText xml:space="preserve"> HYPERLINK \l _Toc20846 </w:instrText>
      </w:r>
      <w:r>
        <w:fldChar w:fldCharType="separate"/>
      </w:r>
      <w:r>
        <w:rPr>
          <w:rFonts w:hint="eastAsia" w:ascii="宋体" w:hAnsi="宋体" w:eastAsia="宋体" w:cs="宋体"/>
          <w:bCs w:val="0"/>
          <w:szCs w:val="21"/>
          <w:lang w:val="en-US" w:eastAsia="zh-CN"/>
        </w:rPr>
        <w:t>十五、 投标人情况表</w:t>
      </w:r>
      <w:r>
        <w:tab/>
      </w:r>
      <w:r>
        <w:fldChar w:fldCharType="begin"/>
      </w:r>
      <w:r>
        <w:instrText xml:space="preserve"> PAGEREF _Toc20846 \h </w:instrText>
      </w:r>
      <w:r>
        <w:fldChar w:fldCharType="separate"/>
      </w:r>
      <w:r>
        <w:t>33</w:t>
      </w:r>
      <w:r>
        <w:fldChar w:fldCharType="end"/>
      </w:r>
      <w:r>
        <w:fldChar w:fldCharType="end"/>
      </w:r>
    </w:p>
    <w:p>
      <w:pPr>
        <w:pStyle w:val="2"/>
        <w:tabs>
          <w:tab w:val="right" w:leader="dot" w:pos="8312"/>
        </w:tabs>
      </w:pPr>
      <w:r>
        <w:fldChar w:fldCharType="begin"/>
      </w:r>
      <w:r>
        <w:instrText xml:space="preserve"> HYPERLINK \l _Toc26039 </w:instrText>
      </w:r>
      <w:r>
        <w:fldChar w:fldCharType="separate"/>
      </w:r>
      <w:r>
        <w:rPr>
          <w:rFonts w:hint="eastAsia" w:ascii="宋体" w:hAnsi="宋体" w:eastAsia="宋体" w:cs="宋体"/>
          <w:bCs w:val="0"/>
          <w:szCs w:val="21"/>
          <w:lang w:val="en-US" w:eastAsia="zh-CN"/>
        </w:rPr>
        <w:t>十六、 近三年经营业绩一览表</w:t>
      </w:r>
      <w:r>
        <w:tab/>
      </w:r>
      <w:r>
        <w:fldChar w:fldCharType="begin"/>
      </w:r>
      <w:r>
        <w:instrText xml:space="preserve"> PAGEREF _Toc26039 \h </w:instrText>
      </w:r>
      <w:r>
        <w:fldChar w:fldCharType="separate"/>
      </w:r>
      <w:r>
        <w:t>34</w:t>
      </w:r>
      <w:r>
        <w:fldChar w:fldCharType="end"/>
      </w:r>
      <w:r>
        <w:fldChar w:fldCharType="end"/>
      </w:r>
    </w:p>
    <w:p>
      <w:pPr>
        <w:pStyle w:val="2"/>
        <w:tabs>
          <w:tab w:val="right" w:leader="dot" w:pos="8312"/>
        </w:tabs>
      </w:pPr>
      <w:r>
        <w:fldChar w:fldCharType="begin"/>
      </w:r>
      <w:r>
        <w:instrText xml:space="preserve"> HYPERLINK \l _Toc29124 </w:instrText>
      </w:r>
      <w:r>
        <w:fldChar w:fldCharType="separate"/>
      </w:r>
      <w:r>
        <w:rPr>
          <w:rFonts w:hint="eastAsia" w:ascii="宋体" w:hAnsi="宋体" w:eastAsia="宋体" w:cs="宋体"/>
          <w:bCs w:val="0"/>
          <w:szCs w:val="21"/>
          <w:lang w:val="en-US" w:eastAsia="zh-CN"/>
        </w:rPr>
        <w:t>十七、 项目执行/技术方案</w:t>
      </w:r>
      <w:r>
        <w:tab/>
      </w:r>
      <w:r>
        <w:fldChar w:fldCharType="begin"/>
      </w:r>
      <w:r>
        <w:instrText xml:space="preserve"> PAGEREF _Toc29124 \h </w:instrText>
      </w:r>
      <w:r>
        <w:fldChar w:fldCharType="separate"/>
      </w:r>
      <w:r>
        <w:t>35</w:t>
      </w:r>
      <w:r>
        <w:fldChar w:fldCharType="end"/>
      </w:r>
      <w:r>
        <w:fldChar w:fldCharType="end"/>
      </w:r>
    </w:p>
    <w:p>
      <w:pPr>
        <w:pStyle w:val="2"/>
        <w:tabs>
          <w:tab w:val="right" w:leader="dot" w:pos="8312"/>
        </w:tabs>
      </w:pPr>
      <w:r>
        <w:fldChar w:fldCharType="begin"/>
      </w:r>
      <w:r>
        <w:instrText xml:space="preserve"> HYPERLINK \l _Toc5523 </w:instrText>
      </w:r>
      <w:r>
        <w:fldChar w:fldCharType="separate"/>
      </w:r>
      <w:r>
        <w:rPr>
          <w:rFonts w:hint="eastAsia" w:ascii="宋体" w:hAnsi="宋体" w:eastAsia="宋体" w:cs="宋体"/>
          <w:bCs w:val="0"/>
          <w:szCs w:val="21"/>
          <w:lang w:val="en-US" w:eastAsia="zh-CN"/>
        </w:rPr>
        <w:t>（请供应商根据标书需求部分制度）</w:t>
      </w:r>
      <w:r>
        <w:tab/>
      </w:r>
      <w:r>
        <w:fldChar w:fldCharType="begin"/>
      </w:r>
      <w:r>
        <w:instrText xml:space="preserve"> PAGEREF _Toc5523 \h </w:instrText>
      </w:r>
      <w:r>
        <w:fldChar w:fldCharType="separate"/>
      </w:r>
      <w:r>
        <w:t>35</w:t>
      </w:r>
      <w:r>
        <w:fldChar w:fldCharType="end"/>
      </w:r>
      <w:r>
        <w:fldChar w:fldCharType="end"/>
      </w:r>
    </w:p>
    <w:p>
      <w:pPr>
        <w:pStyle w:val="2"/>
        <w:tabs>
          <w:tab w:val="right" w:leader="dot" w:pos="8312"/>
        </w:tabs>
      </w:pPr>
      <w:r>
        <w:fldChar w:fldCharType="begin"/>
      </w:r>
      <w:r>
        <w:instrText xml:space="preserve"> HYPERLINK \l _Toc10805 </w:instrText>
      </w:r>
      <w:r>
        <w:fldChar w:fldCharType="separate"/>
      </w:r>
      <w:r>
        <w:rPr>
          <w:rFonts w:hint="eastAsia" w:ascii="宋体" w:hAnsi="宋体" w:eastAsia="宋体" w:cs="宋体"/>
          <w:bCs w:val="0"/>
          <w:szCs w:val="21"/>
          <w:lang w:val="en-US" w:eastAsia="zh-CN"/>
        </w:rPr>
        <w:t>十八、 应急保障及安全措施</w:t>
      </w:r>
      <w:r>
        <w:tab/>
      </w:r>
      <w:r>
        <w:fldChar w:fldCharType="begin"/>
      </w:r>
      <w:r>
        <w:instrText xml:space="preserve"> PAGEREF _Toc10805 \h </w:instrText>
      </w:r>
      <w:r>
        <w:fldChar w:fldCharType="separate"/>
      </w:r>
      <w:r>
        <w:t>36</w:t>
      </w:r>
      <w:r>
        <w:fldChar w:fldCharType="end"/>
      </w:r>
      <w:r>
        <w:fldChar w:fldCharType="end"/>
      </w:r>
    </w:p>
    <w:p>
      <w:pPr>
        <w:pStyle w:val="2"/>
        <w:tabs>
          <w:tab w:val="right" w:leader="dot" w:pos="8312"/>
        </w:tabs>
      </w:pPr>
      <w:r>
        <w:fldChar w:fldCharType="begin"/>
      </w:r>
      <w:r>
        <w:instrText xml:space="preserve"> HYPERLINK \l _Toc9293 </w:instrText>
      </w:r>
      <w:r>
        <w:fldChar w:fldCharType="separate"/>
      </w:r>
      <w:r>
        <w:rPr>
          <w:rFonts w:hint="eastAsia" w:ascii="宋体" w:hAnsi="宋体" w:eastAsia="宋体" w:cs="宋体"/>
          <w:bCs w:val="0"/>
          <w:szCs w:val="21"/>
          <w:lang w:val="en-US" w:eastAsia="zh-CN"/>
        </w:rPr>
        <w:t>（请供应商根据标书需求部分制度）</w:t>
      </w:r>
      <w:r>
        <w:tab/>
      </w:r>
      <w:r>
        <w:fldChar w:fldCharType="begin"/>
      </w:r>
      <w:r>
        <w:instrText xml:space="preserve"> PAGEREF _Toc9293 \h </w:instrText>
      </w:r>
      <w:r>
        <w:fldChar w:fldCharType="separate"/>
      </w:r>
      <w:r>
        <w:t>36</w:t>
      </w:r>
      <w:r>
        <w:fldChar w:fldCharType="end"/>
      </w:r>
      <w:r>
        <w:fldChar w:fldCharType="end"/>
      </w:r>
    </w:p>
    <w:p>
      <w:pPr>
        <w:pStyle w:val="2"/>
        <w:tabs>
          <w:tab w:val="right" w:leader="dot" w:pos="8312"/>
        </w:tabs>
      </w:pPr>
      <w:r>
        <w:fldChar w:fldCharType="begin"/>
      </w:r>
      <w:r>
        <w:instrText xml:space="preserve"> HYPERLINK \l _Toc9592 </w:instrText>
      </w:r>
      <w:r>
        <w:fldChar w:fldCharType="separate"/>
      </w:r>
      <w:r>
        <w:rPr>
          <w:rFonts w:hint="eastAsia" w:ascii="宋体" w:hAnsi="宋体" w:eastAsia="宋体" w:cs="宋体"/>
          <w:bCs w:val="0"/>
          <w:szCs w:val="21"/>
        </w:rPr>
        <w:t xml:space="preserve">十九、 </w:t>
      </w:r>
      <w:r>
        <w:rPr>
          <w:rFonts w:hint="eastAsia" w:ascii="宋体" w:hAnsi="宋体" w:eastAsia="宋体" w:cs="宋体"/>
          <w:bCs w:val="0"/>
          <w:szCs w:val="21"/>
          <w:lang w:val="en-US" w:eastAsia="zh-CN"/>
        </w:rPr>
        <w:t>参保证明</w:t>
      </w:r>
      <w:r>
        <w:tab/>
      </w:r>
      <w:r>
        <w:fldChar w:fldCharType="begin"/>
      </w:r>
      <w:r>
        <w:instrText xml:space="preserve"> PAGEREF _Toc9592 \h </w:instrText>
      </w:r>
      <w:r>
        <w:fldChar w:fldCharType="separate"/>
      </w:r>
      <w:r>
        <w:t>37</w:t>
      </w:r>
      <w:r>
        <w:fldChar w:fldCharType="end"/>
      </w:r>
      <w:r>
        <w:fldChar w:fldCharType="end"/>
      </w:r>
    </w:p>
    <w:p>
      <w:pPr>
        <w:pStyle w:val="2"/>
        <w:tabs>
          <w:tab w:val="right" w:leader="dot" w:pos="8312"/>
        </w:tabs>
      </w:pPr>
      <w:r>
        <w:fldChar w:fldCharType="begin"/>
      </w:r>
      <w:r>
        <w:instrText xml:space="preserve"> HYPERLINK \l _Toc19792 </w:instrText>
      </w:r>
      <w:r>
        <w:fldChar w:fldCharType="separate"/>
      </w:r>
      <w:r>
        <w:rPr>
          <w:rFonts w:hint="eastAsia" w:ascii="宋体" w:hAnsi="宋体" w:eastAsia="宋体" w:cs="宋体"/>
          <w:szCs w:val="21"/>
        </w:rPr>
        <w:t xml:space="preserve">二十、 </w:t>
      </w:r>
      <w:r>
        <w:rPr>
          <w:rFonts w:hint="eastAsia" w:ascii="宋体" w:hAnsi="宋体" w:eastAsia="宋体" w:cs="宋体"/>
          <w:bCs w:val="0"/>
          <w:szCs w:val="21"/>
          <w:lang w:val="en-US" w:eastAsia="zh-CN"/>
        </w:rPr>
        <w:t>近三年财务报表/审计报告/所得税汇算清缴报表</w:t>
      </w:r>
      <w:r>
        <w:tab/>
      </w:r>
      <w:r>
        <w:fldChar w:fldCharType="begin"/>
      </w:r>
      <w:r>
        <w:instrText xml:space="preserve"> PAGEREF _Toc19792 \h </w:instrText>
      </w:r>
      <w:r>
        <w:fldChar w:fldCharType="separate"/>
      </w:r>
      <w:r>
        <w:t>38</w:t>
      </w:r>
      <w:r>
        <w:fldChar w:fldCharType="end"/>
      </w:r>
      <w:r>
        <w:fldChar w:fldCharType="end"/>
      </w:r>
    </w:p>
    <w:p>
      <w:pPr>
        <w:pStyle w:val="2"/>
        <w:tabs>
          <w:tab w:val="right" w:leader="dot" w:pos="8312"/>
        </w:tabs>
      </w:pPr>
      <w:r>
        <w:fldChar w:fldCharType="begin"/>
      </w:r>
      <w:r>
        <w:instrText xml:space="preserve"> HYPERLINK \l _Toc9904 </w:instrText>
      </w:r>
      <w:r>
        <w:fldChar w:fldCharType="separate"/>
      </w:r>
      <w:r>
        <w:rPr>
          <w:rFonts w:hint="eastAsia" w:ascii="宋体" w:hAnsi="宋体" w:eastAsia="宋体" w:cs="宋体"/>
          <w:bCs w:val="0"/>
          <w:szCs w:val="21"/>
        </w:rPr>
        <w:t xml:space="preserve">二十一、 </w:t>
      </w:r>
      <w:r>
        <w:rPr>
          <w:rFonts w:hint="eastAsia" w:ascii="宋体" w:hAnsi="宋体" w:eastAsia="宋体" w:cs="宋体"/>
          <w:bCs w:val="0"/>
          <w:szCs w:val="21"/>
          <w:lang w:val="en-US" w:eastAsia="zh-CN"/>
        </w:rPr>
        <w:t>其他资质证明</w:t>
      </w:r>
      <w:r>
        <w:tab/>
      </w:r>
      <w:r>
        <w:fldChar w:fldCharType="begin"/>
      </w:r>
      <w:r>
        <w:instrText xml:space="preserve"> PAGEREF _Toc9904 \h </w:instrText>
      </w:r>
      <w:r>
        <w:fldChar w:fldCharType="separate"/>
      </w:r>
      <w:r>
        <w:t>39</w:t>
      </w:r>
      <w:r>
        <w:fldChar w:fldCharType="end"/>
      </w:r>
      <w:r>
        <w:fldChar w:fldCharType="end"/>
      </w:r>
    </w:p>
    <w:p>
      <w:pPr>
        <w:rPr>
          <w:rFonts w:hint="eastAsia"/>
          <w:lang w:val="en-US" w:eastAsia="zh-CN"/>
        </w:rPr>
      </w:pPr>
      <w:bookmarkStart w:id="310" w:name="_GoBack"/>
      <w:bookmarkEnd w:id="310"/>
      <w:r>
        <w:rPr>
          <w:rFonts w:hint="eastAsia"/>
          <w:lang w:val="en-US" w:eastAsia="zh-CN"/>
        </w:rPr>
        <w:br w:type="page"/>
      </w:r>
    </w:p>
    <w:p>
      <w:pPr>
        <w:rPr>
          <w:rFonts w:hint="eastAsia"/>
          <w:lang w:val="en-US" w:eastAsia="zh-CN"/>
        </w:rPr>
      </w:pPr>
    </w:p>
    <w:p>
      <w:pPr>
        <w:pStyle w:val="3"/>
        <w:numPr>
          <w:ilvl w:val="0"/>
          <w:numId w:val="16"/>
        </w:numPr>
        <w:bidi w:val="0"/>
        <w:spacing w:line="360" w:lineRule="auto"/>
        <w:ind w:left="0" w:leftChars="0" w:firstLine="420" w:firstLineChars="0"/>
        <w:rPr>
          <w:rFonts w:hint="eastAsia" w:ascii="宋体" w:hAnsi="宋体" w:eastAsia="宋体" w:cs="宋体"/>
          <w:b/>
          <w:bCs w:val="0"/>
          <w:sz w:val="21"/>
          <w:szCs w:val="21"/>
        </w:rPr>
      </w:pPr>
      <w:bookmarkStart w:id="212" w:name="_Toc9985"/>
      <w:bookmarkStart w:id="213" w:name="_Toc4356"/>
      <w:bookmarkStart w:id="214" w:name="_Toc32684"/>
      <w:bookmarkStart w:id="215" w:name="_Toc687"/>
      <w:r>
        <w:rPr>
          <w:rFonts w:hint="eastAsia" w:ascii="宋体" w:hAnsi="宋体" w:eastAsia="宋体" w:cs="宋体"/>
          <w:b/>
          <w:bCs w:val="0"/>
          <w:sz w:val="21"/>
          <w:szCs w:val="21"/>
        </w:rPr>
        <w:t>投标书</w:t>
      </w:r>
      <w:bookmarkEnd w:id="212"/>
      <w:bookmarkEnd w:id="213"/>
      <w:bookmarkEnd w:id="214"/>
      <w:bookmarkEnd w:id="215"/>
    </w:p>
    <w:p>
      <w:pPr>
        <w:pageBreakBefore w:val="0"/>
        <w:kinsoku/>
        <w:wordWrap/>
        <w:overflowPunct/>
        <w:topLinePunct w:val="0"/>
        <w:bidi w:val="0"/>
        <w:adjustRightInd w:val="0"/>
        <w:snapToGrid w:val="0"/>
        <w:spacing w:line="360" w:lineRule="auto"/>
        <w:ind w:left="0" w:leftChars="0" w:right="0"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致：</w:t>
      </w:r>
      <w:r>
        <w:rPr>
          <w:rFonts w:hint="eastAsia" w:ascii="宋体" w:hAnsi="宋体" w:eastAsia="宋体" w:cs="宋体"/>
          <w:color w:val="auto"/>
          <w:sz w:val="21"/>
          <w:szCs w:val="21"/>
          <w:highlight w:val="none"/>
          <w:lang w:val="en-US" w:eastAsia="zh-CN"/>
        </w:rPr>
        <w:t>深圳市设计之都运营发展有限公司</w:t>
      </w:r>
    </w:p>
    <w:p>
      <w:pPr>
        <w:pageBreakBefore w:val="0"/>
        <w:kinsoku/>
        <w:wordWrap/>
        <w:overflowPunct/>
        <w:topLinePunct w:val="0"/>
        <w:bidi w:val="0"/>
        <w:adjustRightInd w:val="0"/>
        <w:snapToGrid w:val="0"/>
        <w:spacing w:line="360" w:lineRule="auto"/>
        <w:ind w:left="0" w:leftChars="0" w:right="0" w:firstLine="426" w:firstLineChars="200"/>
        <w:rPr>
          <w:rFonts w:hint="eastAsia" w:ascii="宋体" w:hAnsi="宋体" w:eastAsia="宋体" w:cs="宋体"/>
          <w:color w:val="auto"/>
          <w:sz w:val="21"/>
          <w:szCs w:val="21"/>
        </w:rPr>
      </w:pPr>
      <w:r>
        <w:rPr>
          <w:rFonts w:hint="eastAsia" w:ascii="宋体" w:hAnsi="宋体" w:eastAsia="宋体" w:cs="宋体"/>
          <w:color w:val="auto"/>
          <w:sz w:val="21"/>
          <w:szCs w:val="21"/>
        </w:rPr>
        <w:t>根据贵方为项目的招标公告（招标编号</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lang w:val="en-US" w:eastAsia="zh-CN"/>
        </w:rPr>
        <w:t>SJZD-2025001</w:t>
      </w:r>
      <w:r>
        <w:rPr>
          <w:rFonts w:hint="eastAsia" w:ascii="宋体" w:hAnsi="宋体" w:eastAsia="宋体" w:cs="宋体"/>
          <w:color w:val="auto"/>
          <w:sz w:val="21"/>
          <w:szCs w:val="21"/>
        </w:rPr>
        <w:t>），本人代表投标人</w:t>
      </w:r>
      <w:r>
        <w:rPr>
          <w:rFonts w:hint="eastAsia" w:ascii="宋体" w:hAnsi="宋体" w:eastAsia="宋体" w:cs="宋体"/>
          <w:color w:val="auto"/>
          <w:sz w:val="21"/>
          <w:szCs w:val="21"/>
          <w:highlight w:val="yellow"/>
          <w:u w:val="single"/>
          <w:lang w:val="en-US" w:eastAsia="zh-CN"/>
        </w:rPr>
        <w:t>XXX</w:t>
      </w:r>
      <w:r>
        <w:rPr>
          <w:rFonts w:hint="eastAsia" w:ascii="宋体" w:hAnsi="宋体" w:eastAsia="宋体" w:cs="宋体"/>
          <w:color w:val="auto"/>
          <w:sz w:val="21"/>
          <w:szCs w:val="21"/>
        </w:rPr>
        <w:t>（投标人</w:t>
      </w:r>
      <w:r>
        <w:rPr>
          <w:rFonts w:hint="eastAsia" w:ascii="宋体" w:hAnsi="宋体" w:eastAsia="宋体" w:cs="宋体"/>
          <w:color w:val="auto"/>
          <w:sz w:val="21"/>
          <w:szCs w:val="21"/>
          <w:lang w:val="en-US" w:eastAsia="zh-CN"/>
        </w:rPr>
        <w:t>公司</w:t>
      </w:r>
      <w:r>
        <w:rPr>
          <w:rFonts w:hint="eastAsia" w:ascii="宋体" w:hAnsi="宋体" w:eastAsia="宋体" w:cs="宋体"/>
          <w:color w:val="auto"/>
          <w:sz w:val="21"/>
          <w:szCs w:val="21"/>
        </w:rPr>
        <w:t>名称），提交投标文件。</w:t>
      </w:r>
    </w:p>
    <w:p>
      <w:pPr>
        <w:pageBreakBefore w:val="0"/>
        <w:tabs>
          <w:tab w:val="center" w:pos="4396"/>
        </w:tabs>
        <w:kinsoku/>
        <w:wordWrap/>
        <w:overflowPunct/>
        <w:topLinePunct w:val="0"/>
        <w:bidi w:val="0"/>
        <w:adjustRightInd w:val="0"/>
        <w:snapToGrid w:val="0"/>
        <w:spacing w:line="360" w:lineRule="auto"/>
        <w:ind w:left="0" w:leftChars="0" w:right="0" w:firstLine="426" w:firstLineChars="200"/>
        <w:rPr>
          <w:rFonts w:hint="eastAsia" w:ascii="宋体" w:hAnsi="宋体" w:eastAsia="宋体" w:cs="宋体"/>
          <w:color w:val="auto"/>
          <w:sz w:val="21"/>
          <w:szCs w:val="21"/>
        </w:rPr>
      </w:pPr>
      <w:r>
        <w:rPr>
          <w:rFonts w:hint="eastAsia" w:ascii="宋体" w:hAnsi="宋体" w:eastAsia="宋体" w:cs="宋体"/>
          <w:color w:val="auto"/>
          <w:sz w:val="21"/>
          <w:szCs w:val="21"/>
        </w:rPr>
        <w:t>据此函，本人宣布如下承诺：</w:t>
      </w:r>
      <w:r>
        <w:rPr>
          <w:rFonts w:hint="eastAsia" w:ascii="宋体" w:hAnsi="宋体" w:eastAsia="宋体" w:cs="宋体"/>
          <w:color w:val="auto"/>
          <w:sz w:val="21"/>
          <w:szCs w:val="21"/>
        </w:rPr>
        <w:tab/>
      </w:r>
    </w:p>
    <w:p>
      <w:pPr>
        <w:pageBreakBefore w:val="0"/>
        <w:numPr>
          <w:ilvl w:val="0"/>
          <w:numId w:val="17"/>
        </w:numPr>
        <w:kinsoku/>
        <w:wordWrap/>
        <w:overflowPunct/>
        <w:topLinePunct w:val="0"/>
        <w:bidi w:val="0"/>
        <w:adjustRightInd w:val="0"/>
        <w:snapToGrid w:val="0"/>
        <w:spacing w:line="360" w:lineRule="auto"/>
        <w:ind w:left="425" w:leftChars="0" w:right="0" w:hanging="425" w:firstLineChars="0"/>
        <w:rPr>
          <w:rFonts w:hint="eastAsia" w:ascii="宋体" w:hAnsi="宋体" w:eastAsia="宋体" w:cs="宋体"/>
          <w:color w:val="auto"/>
          <w:sz w:val="21"/>
          <w:szCs w:val="21"/>
        </w:rPr>
      </w:pPr>
      <w:r>
        <w:rPr>
          <w:rFonts w:hint="eastAsia" w:ascii="宋体" w:hAnsi="宋体" w:eastAsia="宋体" w:cs="宋体"/>
          <w:color w:val="auto"/>
          <w:sz w:val="21"/>
          <w:szCs w:val="21"/>
        </w:rPr>
        <w:t>所附“开标一览表”规定的应提供和交付的项目投标总价为：人民币</w:t>
      </w:r>
      <w:r>
        <w:rPr>
          <w:rFonts w:hint="eastAsia" w:ascii="宋体" w:hAnsi="宋体" w:eastAsia="宋体" w:cs="宋体"/>
          <w:color w:val="auto"/>
          <w:sz w:val="21"/>
          <w:szCs w:val="21"/>
          <w:highlight w:val="yellow"/>
          <w:u w:val="single"/>
          <w:lang w:val="en-US" w:eastAsia="zh-CN"/>
        </w:rPr>
        <w:t>XXX</w:t>
      </w:r>
      <w:r>
        <w:rPr>
          <w:rFonts w:hint="eastAsia" w:ascii="宋体" w:hAnsi="宋体" w:eastAsia="宋体" w:cs="宋体"/>
          <w:color w:val="auto"/>
          <w:sz w:val="21"/>
          <w:szCs w:val="21"/>
          <w:lang w:val="en-US" w:eastAsia="zh-CN"/>
        </w:rPr>
        <w:t>元，</w:t>
      </w:r>
      <w:r>
        <w:rPr>
          <w:rFonts w:hint="eastAsia" w:ascii="宋体" w:hAnsi="宋体" w:eastAsia="宋体" w:cs="宋体"/>
          <w:color w:val="auto"/>
          <w:sz w:val="21"/>
          <w:szCs w:val="21"/>
        </w:rPr>
        <w:t>（大写）</w:t>
      </w:r>
      <w:r>
        <w:rPr>
          <w:rFonts w:hint="eastAsia" w:ascii="宋体" w:hAnsi="宋体" w:eastAsia="宋体" w:cs="宋体"/>
          <w:color w:val="auto"/>
          <w:sz w:val="21"/>
          <w:szCs w:val="21"/>
          <w:highlight w:val="yellow"/>
          <w:u w:val="single"/>
        </w:rPr>
        <w:t>　　　　</w:t>
      </w:r>
      <w:r>
        <w:rPr>
          <w:rFonts w:hint="eastAsia" w:ascii="宋体" w:hAnsi="宋体" w:eastAsia="宋体" w:cs="宋体"/>
          <w:color w:val="auto"/>
          <w:sz w:val="21"/>
          <w:szCs w:val="21"/>
        </w:rPr>
        <w:t>。</w:t>
      </w:r>
    </w:p>
    <w:p>
      <w:pPr>
        <w:pageBreakBefore w:val="0"/>
        <w:numPr>
          <w:ilvl w:val="0"/>
          <w:numId w:val="17"/>
        </w:numPr>
        <w:kinsoku/>
        <w:wordWrap/>
        <w:overflowPunct/>
        <w:topLinePunct w:val="0"/>
        <w:bidi w:val="0"/>
        <w:adjustRightInd w:val="0"/>
        <w:snapToGrid w:val="0"/>
        <w:spacing w:line="360" w:lineRule="auto"/>
        <w:ind w:left="425" w:leftChars="0" w:right="0" w:hanging="425" w:firstLineChars="0"/>
        <w:rPr>
          <w:rFonts w:hint="eastAsia" w:ascii="宋体" w:hAnsi="宋体" w:eastAsia="宋体" w:cs="宋体"/>
          <w:color w:val="auto"/>
          <w:sz w:val="21"/>
          <w:szCs w:val="21"/>
        </w:rPr>
      </w:pPr>
      <w:r>
        <w:rPr>
          <w:rFonts w:hint="eastAsia" w:ascii="宋体" w:hAnsi="宋体" w:eastAsia="宋体" w:cs="宋体"/>
          <w:color w:val="auto"/>
          <w:sz w:val="21"/>
          <w:szCs w:val="21"/>
        </w:rPr>
        <w:t>我方将按招标文件的规定履行合同责任和义务。</w:t>
      </w:r>
    </w:p>
    <w:p>
      <w:pPr>
        <w:pageBreakBefore w:val="0"/>
        <w:numPr>
          <w:ilvl w:val="0"/>
          <w:numId w:val="17"/>
        </w:numPr>
        <w:kinsoku/>
        <w:wordWrap/>
        <w:overflowPunct/>
        <w:topLinePunct w:val="0"/>
        <w:bidi w:val="0"/>
        <w:adjustRightInd w:val="0"/>
        <w:snapToGrid w:val="0"/>
        <w:spacing w:line="360" w:lineRule="auto"/>
        <w:ind w:left="425" w:leftChars="0" w:right="0" w:hanging="425" w:firstLineChars="0"/>
        <w:rPr>
          <w:rFonts w:hint="eastAsia" w:ascii="宋体" w:hAnsi="宋体" w:eastAsia="宋体" w:cs="宋体"/>
          <w:color w:val="auto"/>
          <w:sz w:val="21"/>
          <w:szCs w:val="21"/>
        </w:rPr>
      </w:pPr>
      <w:r>
        <w:rPr>
          <w:rFonts w:hint="eastAsia" w:ascii="宋体" w:hAnsi="宋体" w:eastAsia="宋体" w:cs="宋体"/>
          <w:color w:val="auto"/>
          <w:sz w:val="21"/>
          <w:szCs w:val="21"/>
        </w:rPr>
        <w:t>我方已详细审查全部招标文件，包括修改文件（如有的话）以及全部参考资料和有关附件。</w:t>
      </w:r>
    </w:p>
    <w:p>
      <w:pPr>
        <w:pageBreakBefore w:val="0"/>
        <w:numPr>
          <w:ilvl w:val="0"/>
          <w:numId w:val="17"/>
        </w:numPr>
        <w:kinsoku/>
        <w:wordWrap/>
        <w:overflowPunct/>
        <w:topLinePunct w:val="0"/>
        <w:bidi w:val="0"/>
        <w:adjustRightInd w:val="0"/>
        <w:snapToGrid w:val="0"/>
        <w:spacing w:line="360" w:lineRule="auto"/>
        <w:ind w:left="425" w:leftChars="0" w:right="0" w:hanging="425" w:firstLineChars="0"/>
        <w:rPr>
          <w:rFonts w:hint="eastAsia" w:ascii="宋体" w:hAnsi="宋体" w:eastAsia="宋体" w:cs="宋体"/>
          <w:color w:val="auto"/>
          <w:sz w:val="21"/>
          <w:szCs w:val="21"/>
        </w:rPr>
      </w:pPr>
      <w:r>
        <w:rPr>
          <w:rFonts w:hint="eastAsia" w:ascii="宋体" w:hAnsi="宋体" w:eastAsia="宋体" w:cs="宋体"/>
          <w:color w:val="auto"/>
          <w:sz w:val="21"/>
          <w:szCs w:val="21"/>
        </w:rPr>
        <w:t>我方的投标自投标截止之日起有效期为90天，如在此之前撤回投标，我方的投标保证金将被贵方没收。</w:t>
      </w:r>
    </w:p>
    <w:p>
      <w:pPr>
        <w:pageBreakBefore w:val="0"/>
        <w:numPr>
          <w:ilvl w:val="0"/>
          <w:numId w:val="17"/>
        </w:numPr>
        <w:kinsoku/>
        <w:wordWrap/>
        <w:overflowPunct/>
        <w:topLinePunct w:val="0"/>
        <w:bidi w:val="0"/>
        <w:adjustRightInd w:val="0"/>
        <w:snapToGrid w:val="0"/>
        <w:spacing w:line="360" w:lineRule="auto"/>
        <w:ind w:left="425" w:leftChars="0" w:right="0" w:hanging="425" w:firstLineChars="0"/>
        <w:rPr>
          <w:rFonts w:hint="eastAsia" w:ascii="宋体" w:hAnsi="宋体" w:eastAsia="宋体" w:cs="宋体"/>
          <w:color w:val="auto"/>
          <w:sz w:val="21"/>
          <w:szCs w:val="21"/>
        </w:rPr>
      </w:pPr>
      <w:r>
        <w:rPr>
          <w:rFonts w:hint="eastAsia" w:ascii="宋体" w:hAnsi="宋体" w:eastAsia="宋体" w:cs="宋体"/>
          <w:color w:val="auto"/>
          <w:sz w:val="21"/>
          <w:szCs w:val="21"/>
        </w:rPr>
        <w:t>我方同意提供按照贵方要求的与我方投标有关的一切数据或资料，理解贵方不一定要接受最低报价的投标。</w:t>
      </w:r>
    </w:p>
    <w:p>
      <w:pPr>
        <w:pageBreakBefore w:val="0"/>
        <w:numPr>
          <w:ilvl w:val="0"/>
          <w:numId w:val="17"/>
        </w:numPr>
        <w:kinsoku/>
        <w:wordWrap/>
        <w:overflowPunct/>
        <w:topLinePunct w:val="0"/>
        <w:bidi w:val="0"/>
        <w:adjustRightInd w:val="0"/>
        <w:snapToGrid w:val="0"/>
        <w:spacing w:line="360" w:lineRule="auto"/>
        <w:ind w:left="425" w:leftChars="0" w:right="0" w:hanging="425" w:firstLineChars="0"/>
        <w:rPr>
          <w:rFonts w:hint="eastAsia" w:ascii="宋体" w:hAnsi="宋体" w:eastAsia="宋体" w:cs="宋体"/>
          <w:color w:val="auto"/>
          <w:sz w:val="21"/>
          <w:szCs w:val="21"/>
        </w:rPr>
      </w:pPr>
      <w:r>
        <w:rPr>
          <w:rFonts w:hint="eastAsia" w:ascii="宋体" w:hAnsi="宋体" w:eastAsia="宋体" w:cs="宋体"/>
          <w:color w:val="auto"/>
          <w:sz w:val="21"/>
          <w:szCs w:val="21"/>
        </w:rPr>
        <w:t>我方提供的服务参数优于或等于为招标人基本技术要求，无负偏离。否则，可能导致的严重影响投标人投标优势的后果，我方自行负责。</w:t>
      </w:r>
    </w:p>
    <w:p>
      <w:pPr>
        <w:pageBreakBefore w:val="0"/>
        <w:numPr>
          <w:ilvl w:val="0"/>
          <w:numId w:val="17"/>
        </w:numPr>
        <w:kinsoku/>
        <w:wordWrap/>
        <w:overflowPunct/>
        <w:topLinePunct w:val="0"/>
        <w:bidi w:val="0"/>
        <w:adjustRightInd w:val="0"/>
        <w:snapToGrid w:val="0"/>
        <w:spacing w:line="360" w:lineRule="auto"/>
        <w:ind w:left="425" w:leftChars="0" w:right="0" w:hanging="425" w:firstLineChars="0"/>
        <w:rPr>
          <w:rFonts w:hint="eastAsia" w:ascii="宋体" w:hAnsi="宋体" w:eastAsia="宋体" w:cs="宋体"/>
          <w:color w:val="auto"/>
          <w:sz w:val="21"/>
          <w:szCs w:val="21"/>
        </w:rPr>
      </w:pPr>
      <w:r>
        <w:rPr>
          <w:rFonts w:hint="eastAsia" w:ascii="宋体" w:hAnsi="宋体" w:eastAsia="宋体" w:cs="宋体"/>
          <w:color w:val="auto"/>
          <w:sz w:val="21"/>
          <w:szCs w:val="21"/>
        </w:rPr>
        <w:t>我方理解招标人关于数量、单价及报价要求的具体规定，我方将严格按照招标文件的有关要求进行投标，如中标，同标准签订合同。</w:t>
      </w:r>
    </w:p>
    <w:p>
      <w:pPr>
        <w:pageBreakBefore w:val="0"/>
        <w:numPr>
          <w:ilvl w:val="0"/>
          <w:numId w:val="17"/>
        </w:numPr>
        <w:kinsoku/>
        <w:wordWrap/>
        <w:overflowPunct/>
        <w:topLinePunct w:val="0"/>
        <w:bidi w:val="0"/>
        <w:adjustRightInd w:val="0"/>
        <w:snapToGrid w:val="0"/>
        <w:spacing w:line="360" w:lineRule="auto"/>
        <w:ind w:left="425" w:leftChars="0" w:right="0" w:hanging="425" w:firstLineChars="0"/>
        <w:rPr>
          <w:rFonts w:hint="eastAsia" w:ascii="宋体" w:hAnsi="宋体" w:eastAsia="宋体" w:cs="宋体"/>
          <w:color w:val="auto"/>
          <w:sz w:val="21"/>
          <w:szCs w:val="21"/>
        </w:rPr>
      </w:pPr>
      <w:r>
        <w:rPr>
          <w:rFonts w:hint="eastAsia" w:ascii="宋体" w:hAnsi="宋体" w:eastAsia="宋体" w:cs="宋体"/>
          <w:color w:val="auto"/>
          <w:sz w:val="21"/>
          <w:szCs w:val="21"/>
        </w:rPr>
        <w:t>为了保证项目的顺利进行，我方理解在本次项目合同执行期间因临时紧急采购、或者取消中标人部分或全部服务资格等原因，招标人可能与本次评标结果中排名第二的备选中标人签订相应服务合同。</w:t>
      </w:r>
    </w:p>
    <w:p>
      <w:pPr>
        <w:pageBreakBefore w:val="0"/>
        <w:numPr>
          <w:ilvl w:val="0"/>
          <w:numId w:val="17"/>
        </w:numPr>
        <w:kinsoku/>
        <w:wordWrap/>
        <w:overflowPunct/>
        <w:topLinePunct w:val="0"/>
        <w:bidi w:val="0"/>
        <w:adjustRightInd w:val="0"/>
        <w:snapToGrid w:val="0"/>
        <w:spacing w:line="360" w:lineRule="auto"/>
        <w:ind w:left="425" w:leftChars="0" w:right="0" w:hanging="425" w:firstLineChars="0"/>
        <w:rPr>
          <w:rFonts w:hint="eastAsia" w:ascii="宋体" w:hAnsi="宋体" w:eastAsia="宋体" w:cs="宋体"/>
          <w:color w:val="auto"/>
          <w:sz w:val="21"/>
          <w:szCs w:val="21"/>
        </w:rPr>
      </w:pPr>
      <w:r>
        <w:rPr>
          <w:rFonts w:hint="eastAsia" w:ascii="宋体" w:hAnsi="宋体" w:eastAsia="宋体" w:cs="宋体"/>
          <w:color w:val="auto"/>
          <w:sz w:val="21"/>
          <w:szCs w:val="21"/>
        </w:rPr>
        <w:t>与本投标有关的一切正式往来通讯请寄：</w:t>
      </w:r>
    </w:p>
    <w:p>
      <w:pPr>
        <w:pageBreakBefore w:val="0"/>
        <w:kinsoku/>
        <w:wordWrap/>
        <w:overflowPunct/>
        <w:topLinePunct w:val="0"/>
        <w:bidi w:val="0"/>
        <w:adjustRightInd w:val="0"/>
        <w:snapToGrid w:val="0"/>
        <w:spacing w:line="360" w:lineRule="auto"/>
        <w:ind w:left="0" w:leftChars="0" w:right="0" w:firstLine="426"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地址：</w:t>
      </w:r>
      <w:r>
        <w:rPr>
          <w:rFonts w:hint="eastAsia" w:ascii="宋体" w:hAnsi="宋体" w:eastAsia="宋体" w:cs="宋体"/>
          <w:color w:val="auto"/>
          <w:sz w:val="21"/>
          <w:szCs w:val="21"/>
          <w:highlight w:val="yellow"/>
          <w:lang w:val="en-US" w:eastAsia="zh-CN"/>
        </w:rPr>
        <w:t>XXX</w:t>
      </w:r>
    </w:p>
    <w:p>
      <w:pPr>
        <w:pageBreakBefore w:val="0"/>
        <w:kinsoku/>
        <w:wordWrap/>
        <w:overflowPunct/>
        <w:topLinePunct w:val="0"/>
        <w:bidi w:val="0"/>
        <w:adjustRightInd w:val="0"/>
        <w:snapToGrid w:val="0"/>
        <w:spacing w:line="360" w:lineRule="auto"/>
        <w:ind w:left="0" w:leftChars="0" w:right="0" w:firstLine="426"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邮编：</w:t>
      </w:r>
      <w:r>
        <w:rPr>
          <w:rFonts w:hint="eastAsia" w:ascii="宋体" w:hAnsi="宋体" w:eastAsia="宋体" w:cs="宋体"/>
          <w:color w:val="auto"/>
          <w:sz w:val="21"/>
          <w:szCs w:val="21"/>
          <w:highlight w:val="yellow"/>
          <w:lang w:val="en-US" w:eastAsia="zh-CN"/>
        </w:rPr>
        <w:t>XXX</w:t>
      </w:r>
    </w:p>
    <w:p>
      <w:pPr>
        <w:pageBreakBefore w:val="0"/>
        <w:kinsoku/>
        <w:wordWrap/>
        <w:overflowPunct/>
        <w:topLinePunct w:val="0"/>
        <w:bidi w:val="0"/>
        <w:adjustRightInd w:val="0"/>
        <w:snapToGrid w:val="0"/>
        <w:spacing w:line="360" w:lineRule="auto"/>
        <w:ind w:left="0" w:leftChars="0" w:right="0" w:firstLine="0" w:firstLineChars="0"/>
        <w:rPr>
          <w:rFonts w:hint="eastAsia" w:ascii="宋体" w:hAnsi="宋体" w:eastAsia="宋体" w:cs="宋体"/>
          <w:color w:val="auto"/>
          <w:sz w:val="21"/>
          <w:szCs w:val="21"/>
        </w:rPr>
      </w:pPr>
    </w:p>
    <w:p>
      <w:pPr>
        <w:pageBreakBefore w:val="0"/>
        <w:kinsoku/>
        <w:wordWrap/>
        <w:overflowPunct/>
        <w:topLinePunct w:val="0"/>
        <w:bidi w:val="0"/>
        <w:adjustRightInd w:val="0"/>
        <w:snapToGrid w:val="0"/>
        <w:spacing w:line="360" w:lineRule="auto"/>
        <w:ind w:left="0" w:leftChars="0" w:right="0" w:firstLine="426" w:firstLineChars="200"/>
        <w:rPr>
          <w:rFonts w:hint="eastAsia" w:ascii="宋体" w:hAnsi="宋体" w:eastAsia="宋体" w:cs="宋体"/>
          <w:bCs/>
          <w:color w:val="auto"/>
          <w:sz w:val="21"/>
          <w:szCs w:val="21"/>
          <w:lang w:val="en-US" w:eastAsia="zh-CN"/>
        </w:rPr>
      </w:pPr>
      <w:r>
        <w:rPr>
          <w:rFonts w:hint="eastAsia" w:ascii="宋体" w:hAnsi="宋体" w:eastAsia="宋体" w:cs="宋体"/>
          <w:bCs/>
          <w:color w:val="auto"/>
          <w:sz w:val="21"/>
          <w:szCs w:val="21"/>
        </w:rPr>
        <w:t>投标人法定代表人姓名、职务（印刷体）：</w:t>
      </w:r>
      <w:r>
        <w:rPr>
          <w:rFonts w:hint="eastAsia" w:ascii="宋体" w:hAnsi="宋体" w:eastAsia="宋体" w:cs="宋体"/>
          <w:bCs/>
          <w:color w:val="auto"/>
          <w:sz w:val="21"/>
          <w:szCs w:val="21"/>
          <w:highlight w:val="yellow"/>
          <w:lang w:val="en-US" w:eastAsia="zh-CN"/>
        </w:rPr>
        <w:t>XXX</w:t>
      </w:r>
    </w:p>
    <w:p>
      <w:pPr>
        <w:pageBreakBefore w:val="0"/>
        <w:kinsoku/>
        <w:wordWrap/>
        <w:overflowPunct/>
        <w:topLinePunct w:val="0"/>
        <w:bidi w:val="0"/>
        <w:adjustRightInd w:val="0"/>
        <w:snapToGrid w:val="0"/>
        <w:spacing w:line="360" w:lineRule="auto"/>
        <w:ind w:left="0" w:leftChars="0" w:right="0" w:firstLine="426" w:firstLineChars="200"/>
        <w:rPr>
          <w:rFonts w:hint="eastAsia" w:ascii="宋体" w:hAnsi="宋体" w:eastAsia="宋体" w:cs="宋体"/>
          <w:bCs/>
          <w:color w:val="auto"/>
          <w:sz w:val="21"/>
          <w:szCs w:val="21"/>
        </w:rPr>
      </w:pPr>
      <w:r>
        <w:rPr>
          <w:rFonts w:hint="eastAsia" w:ascii="宋体" w:hAnsi="宋体" w:eastAsia="宋体" w:cs="宋体"/>
          <w:bCs/>
          <w:color w:val="auto"/>
          <w:sz w:val="21"/>
          <w:szCs w:val="21"/>
        </w:rPr>
        <w:t>投标人名称：</w:t>
      </w:r>
      <w:r>
        <w:rPr>
          <w:rFonts w:hint="eastAsia" w:ascii="宋体" w:hAnsi="宋体" w:eastAsia="宋体" w:cs="宋体"/>
          <w:bCs/>
          <w:color w:val="auto"/>
          <w:sz w:val="21"/>
          <w:szCs w:val="21"/>
          <w:highlight w:val="yellow"/>
          <w:lang w:val="en-US" w:eastAsia="zh-CN"/>
        </w:rPr>
        <w:t>XXXX</w:t>
      </w:r>
      <w:r>
        <w:rPr>
          <w:rFonts w:hint="eastAsia" w:ascii="宋体" w:hAnsi="宋体" w:eastAsia="宋体" w:cs="宋体"/>
          <w:color w:val="auto"/>
          <w:sz w:val="21"/>
          <w:szCs w:val="21"/>
        </w:rPr>
        <w:t>（加盖公章）</w:t>
      </w:r>
    </w:p>
    <w:p>
      <w:pPr>
        <w:pageBreakBefore w:val="0"/>
        <w:kinsoku/>
        <w:wordWrap/>
        <w:overflowPunct/>
        <w:topLinePunct w:val="0"/>
        <w:bidi w:val="0"/>
        <w:adjustRightInd w:val="0"/>
        <w:snapToGrid w:val="0"/>
        <w:spacing w:line="360" w:lineRule="auto"/>
        <w:ind w:left="0" w:leftChars="0" w:right="0" w:firstLine="426" w:firstLineChars="200"/>
        <w:rPr>
          <w:rFonts w:hint="eastAsia" w:ascii="宋体" w:hAnsi="宋体" w:eastAsia="宋体" w:cs="宋体"/>
          <w:bCs/>
          <w:color w:val="auto"/>
          <w:sz w:val="21"/>
          <w:szCs w:val="21"/>
        </w:rPr>
      </w:pPr>
      <w:r>
        <w:rPr>
          <w:rFonts w:hint="eastAsia" w:ascii="宋体" w:hAnsi="宋体" w:eastAsia="宋体" w:cs="宋体"/>
          <w:bCs/>
          <w:color w:val="auto"/>
          <w:sz w:val="21"/>
          <w:szCs w:val="21"/>
        </w:rPr>
        <w:t>法定代表人签字（或其委托的全权代表人）：</w:t>
      </w:r>
    </w:p>
    <w:p>
      <w:pPr>
        <w:pageBreakBefore w:val="0"/>
        <w:kinsoku/>
        <w:wordWrap/>
        <w:overflowPunct/>
        <w:topLinePunct w:val="0"/>
        <w:bidi w:val="0"/>
        <w:adjustRightInd w:val="0"/>
        <w:snapToGrid w:val="0"/>
        <w:spacing w:line="360" w:lineRule="auto"/>
        <w:ind w:left="0" w:leftChars="0" w:right="0" w:firstLine="426" w:firstLineChars="200"/>
        <w:rPr>
          <w:rFonts w:hint="eastAsia" w:ascii="宋体" w:hAnsi="宋体" w:eastAsia="宋体" w:cs="宋体"/>
          <w:color w:val="auto"/>
          <w:sz w:val="21"/>
          <w:szCs w:val="21"/>
        </w:rPr>
      </w:pPr>
      <w:r>
        <w:rPr>
          <w:rFonts w:hint="eastAsia" w:ascii="宋体" w:hAnsi="宋体" w:eastAsia="宋体" w:cs="宋体"/>
          <w:color w:val="auto"/>
          <w:sz w:val="21"/>
          <w:szCs w:val="21"/>
        </w:rPr>
        <w:t>日期</w:t>
      </w:r>
      <w:r>
        <w:rPr>
          <w:rFonts w:hint="eastAsia" w:ascii="宋体" w:hAnsi="宋体" w:eastAsia="宋体" w:cs="宋体"/>
          <w:color w:val="auto"/>
          <w:sz w:val="21"/>
          <w:szCs w:val="21"/>
          <w:highlight w:val="yellow"/>
        </w:rPr>
        <w:t>：</w:t>
      </w:r>
      <w:r>
        <w:rPr>
          <w:rFonts w:hint="eastAsia" w:ascii="宋体" w:hAnsi="宋体" w:eastAsia="宋体" w:cs="宋体"/>
          <w:color w:val="auto"/>
          <w:sz w:val="21"/>
          <w:szCs w:val="21"/>
          <w:highlight w:val="yellow"/>
          <w:lang w:val="en-US" w:eastAsia="zh-CN"/>
        </w:rPr>
        <w:t>X</w:t>
      </w:r>
      <w:r>
        <w:rPr>
          <w:rFonts w:hint="eastAsia" w:ascii="宋体" w:hAnsi="宋体" w:eastAsia="宋体" w:cs="宋体"/>
          <w:color w:val="auto"/>
          <w:sz w:val="21"/>
          <w:szCs w:val="21"/>
          <w:highlight w:val="yellow"/>
        </w:rPr>
        <w:t>年</w:t>
      </w:r>
      <w:r>
        <w:rPr>
          <w:rFonts w:hint="eastAsia" w:ascii="宋体" w:hAnsi="宋体" w:eastAsia="宋体" w:cs="宋体"/>
          <w:color w:val="auto"/>
          <w:sz w:val="21"/>
          <w:szCs w:val="21"/>
          <w:highlight w:val="yellow"/>
          <w:lang w:val="en-US" w:eastAsia="zh-CN"/>
        </w:rPr>
        <w:t>X</w:t>
      </w:r>
      <w:r>
        <w:rPr>
          <w:rFonts w:hint="eastAsia" w:ascii="宋体" w:hAnsi="宋体" w:eastAsia="宋体" w:cs="宋体"/>
          <w:color w:val="auto"/>
          <w:sz w:val="21"/>
          <w:szCs w:val="21"/>
          <w:highlight w:val="yellow"/>
        </w:rPr>
        <w:t>月</w:t>
      </w:r>
      <w:r>
        <w:rPr>
          <w:rFonts w:hint="eastAsia" w:ascii="宋体" w:hAnsi="宋体" w:eastAsia="宋体" w:cs="宋体"/>
          <w:color w:val="auto"/>
          <w:sz w:val="21"/>
          <w:szCs w:val="21"/>
          <w:highlight w:val="yellow"/>
          <w:lang w:val="en-US" w:eastAsia="zh-CN"/>
        </w:rPr>
        <w:t>X</w:t>
      </w:r>
      <w:r>
        <w:rPr>
          <w:rFonts w:hint="eastAsia" w:ascii="宋体" w:hAnsi="宋体" w:eastAsia="宋体" w:cs="宋体"/>
          <w:color w:val="auto"/>
          <w:sz w:val="21"/>
          <w:szCs w:val="21"/>
          <w:highlight w:val="yellow"/>
        </w:rPr>
        <w:t xml:space="preserve"> 日</w:t>
      </w:r>
    </w:p>
    <w:p>
      <w:pPr>
        <w:pageBreakBefore w:val="0"/>
        <w:kinsoku/>
        <w:wordWrap/>
        <w:overflowPunct/>
        <w:topLinePunct w:val="0"/>
        <w:bidi w:val="0"/>
        <w:adjustRightInd w:val="0"/>
        <w:snapToGrid w:val="0"/>
        <w:spacing w:line="360" w:lineRule="auto"/>
        <w:ind w:left="0" w:leftChars="0" w:right="0" w:firstLine="426" w:firstLineChars="200"/>
        <w:rPr>
          <w:rFonts w:hint="eastAsia" w:ascii="宋体" w:hAnsi="宋体" w:eastAsia="宋体" w:cs="宋体"/>
          <w:b/>
          <w:bCs/>
          <w:color w:val="auto"/>
          <w:sz w:val="21"/>
          <w:szCs w:val="21"/>
        </w:rPr>
      </w:pPr>
      <w:r>
        <w:rPr>
          <w:rFonts w:hint="eastAsia" w:ascii="宋体" w:hAnsi="宋体" w:eastAsia="宋体" w:cs="宋体"/>
          <w:b/>
          <w:bCs/>
          <w:color w:val="auto"/>
          <w:sz w:val="21"/>
          <w:szCs w:val="21"/>
        </w:rPr>
        <w:t>注：全权代表须有法定代表人签署的授权委托书。</w:t>
      </w:r>
    </w:p>
    <w:p>
      <w:pPr>
        <w:spacing w:line="360" w:lineRule="auto"/>
        <w:rPr>
          <w:rFonts w:hint="eastAsia" w:ascii="宋体" w:hAnsi="宋体" w:eastAsia="宋体" w:cs="宋体"/>
          <w:b/>
          <w:sz w:val="21"/>
          <w:szCs w:val="21"/>
          <w:lang w:val="en-US" w:eastAsia="zh-CN"/>
        </w:rPr>
      </w:pPr>
      <w:r>
        <w:rPr>
          <w:rFonts w:hint="eastAsia" w:ascii="宋体" w:hAnsi="宋体" w:eastAsia="宋体" w:cs="宋体"/>
          <w:b/>
          <w:sz w:val="21"/>
          <w:szCs w:val="21"/>
          <w:lang w:val="en-US" w:eastAsia="zh-CN"/>
        </w:rPr>
        <w:br w:type="page"/>
      </w:r>
    </w:p>
    <w:p>
      <w:pPr>
        <w:pStyle w:val="3"/>
        <w:numPr>
          <w:ilvl w:val="0"/>
          <w:numId w:val="16"/>
        </w:numPr>
        <w:bidi w:val="0"/>
        <w:spacing w:line="360" w:lineRule="auto"/>
        <w:ind w:left="0" w:leftChars="0" w:firstLine="420" w:firstLineChars="0"/>
        <w:rPr>
          <w:rFonts w:hint="eastAsia" w:ascii="宋体" w:hAnsi="宋体" w:eastAsia="宋体" w:cs="宋体"/>
          <w:b/>
          <w:bCs w:val="0"/>
          <w:sz w:val="21"/>
          <w:szCs w:val="21"/>
          <w:lang w:val="en-US" w:eastAsia="zh-CN"/>
        </w:rPr>
      </w:pPr>
      <w:bookmarkStart w:id="216" w:name="_Toc11993"/>
      <w:bookmarkStart w:id="217" w:name="_Toc9032"/>
      <w:bookmarkStart w:id="218" w:name="_Toc24701"/>
      <w:bookmarkStart w:id="219" w:name="_Toc26264"/>
      <w:r>
        <w:rPr>
          <w:rFonts w:hint="eastAsia" w:ascii="宋体" w:hAnsi="宋体" w:eastAsia="宋体" w:cs="宋体"/>
          <w:b/>
          <w:bCs w:val="0"/>
          <w:sz w:val="21"/>
          <w:szCs w:val="21"/>
          <w:lang w:val="en-US" w:eastAsia="zh-CN"/>
        </w:rPr>
        <w:t>开标一览表</w:t>
      </w:r>
      <w:bookmarkEnd w:id="216"/>
      <w:bookmarkEnd w:id="217"/>
      <w:bookmarkEnd w:id="218"/>
      <w:bookmarkEnd w:id="219"/>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投标人名称：</w:t>
      </w:r>
      <w:r>
        <w:rPr>
          <w:rFonts w:hint="eastAsia" w:ascii="宋体" w:hAnsi="宋体" w:eastAsia="宋体" w:cs="宋体"/>
          <w:color w:val="auto"/>
          <w:szCs w:val="21"/>
          <w:highlight w:val="none"/>
          <w:u w:val="single"/>
        </w:rPr>
        <w:t>XXX</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招标编号：</w:t>
      </w:r>
      <w:r>
        <w:rPr>
          <w:rFonts w:hint="eastAsia" w:ascii="宋体" w:hAnsi="宋体" w:eastAsia="宋体" w:cs="宋体"/>
          <w:color w:val="auto"/>
          <w:szCs w:val="21"/>
          <w:highlight w:val="none"/>
          <w:u w:val="single"/>
        </w:rPr>
        <w:t>XXX</w:t>
      </w:r>
    </w:p>
    <w:p>
      <w:pPr>
        <w:pStyle w:val="9"/>
        <w:pageBreakBefore w:val="0"/>
        <w:kinsoku/>
        <w:wordWrap/>
        <w:overflowPunct/>
        <w:topLinePunct w:val="0"/>
        <w:bidi w:val="0"/>
        <w:spacing w:line="360" w:lineRule="auto"/>
        <w:ind w:left="0" w:leftChars="0" w:right="0" w:firstLine="0" w:firstLineChars="0"/>
        <w:rPr>
          <w:rFonts w:hint="eastAsia" w:ascii="宋体" w:hAnsi="宋体" w:eastAsia="宋体" w:cs="宋体"/>
          <w:color w:val="auto"/>
          <w:highlight w:val="none"/>
          <w:u w:val="single"/>
        </w:rPr>
      </w:pPr>
      <w:r>
        <w:rPr>
          <w:rFonts w:hint="eastAsia" w:ascii="宋体" w:hAnsi="宋体" w:eastAsia="宋体" w:cs="宋体"/>
          <w:color w:val="auto"/>
          <w:highlight w:val="none"/>
        </w:rPr>
        <w:t>项目名称：</w:t>
      </w:r>
      <w:r>
        <w:rPr>
          <w:rFonts w:hint="eastAsia" w:ascii="宋体" w:hAnsi="宋体" w:eastAsia="宋体" w:cs="宋体"/>
          <w:color w:val="auto"/>
          <w:highlight w:val="none"/>
          <w:u w:val="single"/>
        </w:rPr>
        <w:t>XXX</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highlight w:val="none"/>
        </w:rPr>
      </w:pPr>
    </w:p>
    <w:tbl>
      <w:tblPr>
        <w:tblStyle w:val="16"/>
        <w:tblW w:w="88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7"/>
        <w:gridCol w:w="2170"/>
        <w:gridCol w:w="2835"/>
        <w:gridCol w:w="1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9" w:hRule="atLeast"/>
          <w:jc w:val="center"/>
        </w:trPr>
        <w:tc>
          <w:tcPr>
            <w:tcW w:w="1907" w:type="dxa"/>
            <w:vAlign w:val="center"/>
          </w:tcPr>
          <w:p>
            <w:pPr>
              <w:pageBreakBefore w:val="0"/>
              <w:tabs>
                <w:tab w:val="left" w:pos="654"/>
                <w:tab w:val="left" w:pos="1734"/>
                <w:tab w:val="left" w:pos="2814"/>
                <w:tab w:val="left" w:pos="3894"/>
                <w:tab w:val="left" w:pos="5334"/>
                <w:tab w:val="left" w:pos="6414"/>
                <w:tab w:val="left" w:pos="7254"/>
                <w:tab w:val="left" w:pos="8574"/>
                <w:tab w:val="left" w:pos="9654"/>
              </w:tabs>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w:t>
            </w:r>
          </w:p>
        </w:tc>
        <w:tc>
          <w:tcPr>
            <w:tcW w:w="2170" w:type="dxa"/>
            <w:vAlign w:val="center"/>
          </w:tcPr>
          <w:p>
            <w:pPr>
              <w:pageBreakBefore w:val="0"/>
              <w:tabs>
                <w:tab w:val="left" w:pos="654"/>
                <w:tab w:val="left" w:pos="1734"/>
                <w:tab w:val="left" w:pos="2814"/>
                <w:tab w:val="left" w:pos="3894"/>
                <w:tab w:val="left" w:pos="5334"/>
                <w:tab w:val="left" w:pos="6414"/>
                <w:tab w:val="left" w:pos="7254"/>
                <w:tab w:val="left" w:pos="8574"/>
                <w:tab w:val="left" w:pos="9654"/>
              </w:tabs>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w:t>
            </w:r>
          </w:p>
        </w:tc>
        <w:tc>
          <w:tcPr>
            <w:tcW w:w="2835" w:type="dxa"/>
            <w:vAlign w:val="center"/>
          </w:tcPr>
          <w:p>
            <w:pPr>
              <w:pageBreakBefore w:val="0"/>
              <w:tabs>
                <w:tab w:val="left" w:pos="654"/>
                <w:tab w:val="left" w:pos="1734"/>
                <w:tab w:val="left" w:pos="2814"/>
                <w:tab w:val="left" w:pos="3894"/>
                <w:tab w:val="left" w:pos="5334"/>
                <w:tab w:val="left" w:pos="6414"/>
                <w:tab w:val="left" w:pos="7254"/>
                <w:tab w:val="left" w:pos="8574"/>
                <w:tab w:val="left" w:pos="9654"/>
              </w:tabs>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投标总价（含税、注明发票类型）</w:t>
            </w:r>
          </w:p>
        </w:tc>
        <w:tc>
          <w:tcPr>
            <w:tcW w:w="1984" w:type="dxa"/>
            <w:vAlign w:val="center"/>
          </w:tcPr>
          <w:p>
            <w:pPr>
              <w:pageBreakBefore w:val="0"/>
              <w:tabs>
                <w:tab w:val="left" w:pos="654"/>
                <w:tab w:val="left" w:pos="1734"/>
                <w:tab w:val="left" w:pos="2814"/>
                <w:tab w:val="left" w:pos="3894"/>
                <w:tab w:val="left" w:pos="5334"/>
                <w:tab w:val="left" w:pos="6414"/>
                <w:tab w:val="left" w:pos="7254"/>
                <w:tab w:val="left" w:pos="8574"/>
                <w:tab w:val="left" w:pos="9654"/>
              </w:tabs>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4" w:hRule="atLeast"/>
          <w:jc w:val="center"/>
        </w:trPr>
        <w:tc>
          <w:tcPr>
            <w:tcW w:w="1907" w:type="dxa"/>
            <w:vAlign w:val="center"/>
          </w:tcPr>
          <w:p>
            <w:pPr>
              <w:pageBreakBefore w:val="0"/>
              <w:tabs>
                <w:tab w:val="left" w:pos="654"/>
                <w:tab w:val="left" w:pos="1734"/>
                <w:tab w:val="left" w:pos="2814"/>
                <w:tab w:val="left" w:pos="3894"/>
                <w:tab w:val="left" w:pos="5334"/>
                <w:tab w:val="left" w:pos="6414"/>
                <w:tab w:val="left" w:pos="7254"/>
                <w:tab w:val="left" w:pos="8574"/>
                <w:tab w:val="left" w:pos="9654"/>
              </w:tabs>
              <w:kinsoku/>
              <w:wordWrap/>
              <w:overflowPunct/>
              <w:topLinePunct w:val="0"/>
              <w:bidi w:val="0"/>
              <w:spacing w:line="360" w:lineRule="auto"/>
              <w:ind w:left="0" w:leftChars="0" w:right="0" w:firstLine="0" w:firstLineChars="0"/>
              <w:jc w:val="center"/>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XXX</w:t>
            </w:r>
          </w:p>
        </w:tc>
        <w:tc>
          <w:tcPr>
            <w:tcW w:w="2170" w:type="dxa"/>
            <w:vAlign w:val="center"/>
          </w:tcPr>
          <w:p>
            <w:pPr>
              <w:pageBreakBefore w:val="0"/>
              <w:tabs>
                <w:tab w:val="left" w:pos="654"/>
                <w:tab w:val="left" w:pos="1734"/>
                <w:tab w:val="left" w:pos="2814"/>
                <w:tab w:val="left" w:pos="3894"/>
                <w:tab w:val="left" w:pos="5334"/>
                <w:tab w:val="left" w:pos="6414"/>
                <w:tab w:val="left" w:pos="7254"/>
                <w:tab w:val="left" w:pos="8574"/>
                <w:tab w:val="left" w:pos="9654"/>
              </w:tabs>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总服务价格（含增值税价（服务类专用））</w:t>
            </w:r>
          </w:p>
        </w:tc>
        <w:tc>
          <w:tcPr>
            <w:tcW w:w="2835" w:type="dxa"/>
            <w:vAlign w:val="center"/>
          </w:tcPr>
          <w:p>
            <w:pPr>
              <w:pageBreakBefore w:val="0"/>
              <w:tabs>
                <w:tab w:val="left" w:pos="654"/>
                <w:tab w:val="left" w:pos="1734"/>
                <w:tab w:val="left" w:pos="2814"/>
                <w:tab w:val="left" w:pos="3894"/>
                <w:tab w:val="left" w:pos="5334"/>
                <w:tab w:val="left" w:pos="6414"/>
                <w:tab w:val="left" w:pos="7254"/>
                <w:tab w:val="left" w:pos="8574"/>
                <w:tab w:val="left" w:pos="9654"/>
              </w:tabs>
              <w:kinsoku/>
              <w:wordWrap/>
              <w:overflowPunct/>
              <w:topLinePunct w:val="0"/>
              <w:bidi w:val="0"/>
              <w:spacing w:line="360" w:lineRule="auto"/>
              <w:ind w:left="0" w:leftChars="0" w:right="0" w:firstLine="0" w:firstLineChars="0"/>
              <w:jc w:val="center"/>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XXX</w:t>
            </w:r>
          </w:p>
        </w:tc>
        <w:tc>
          <w:tcPr>
            <w:tcW w:w="1984" w:type="dxa"/>
            <w:vAlign w:val="center"/>
          </w:tcPr>
          <w:p>
            <w:pPr>
              <w:pageBreakBefore w:val="0"/>
              <w:tabs>
                <w:tab w:val="left" w:pos="654"/>
                <w:tab w:val="left" w:pos="1734"/>
                <w:tab w:val="left" w:pos="2814"/>
                <w:tab w:val="left" w:pos="3894"/>
                <w:tab w:val="left" w:pos="5334"/>
                <w:tab w:val="left" w:pos="6414"/>
                <w:tab w:val="left" w:pos="7254"/>
                <w:tab w:val="left" w:pos="8574"/>
                <w:tab w:val="left" w:pos="9654"/>
              </w:tabs>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highlight w:val="none"/>
              </w:rPr>
            </w:pPr>
          </w:p>
        </w:tc>
      </w:tr>
    </w:tbl>
    <w:p>
      <w:pPr>
        <w:pStyle w:val="9"/>
        <w:pageBreakBefore w:val="0"/>
        <w:kinsoku/>
        <w:wordWrap/>
        <w:overflowPunct/>
        <w:topLinePunct w:val="0"/>
        <w:bidi w:val="0"/>
        <w:spacing w:line="360" w:lineRule="auto"/>
        <w:ind w:left="0" w:leftChars="0" w:right="0" w:firstLine="0" w:firstLineChars="0"/>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ab/>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 w:val="21"/>
          <w:szCs w:val="21"/>
          <w:highlight w:val="none"/>
        </w:rPr>
      </w:pP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投标人代表签字：</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投标人盖章：</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 w:val="21"/>
          <w:szCs w:val="21"/>
        </w:rPr>
      </w:pPr>
    </w:p>
    <w:p>
      <w:pPr>
        <w:pageBreakBefore w:val="0"/>
        <w:kinsoku/>
        <w:wordWrap/>
        <w:overflowPunct/>
        <w:topLinePunct w:val="0"/>
        <w:bidi w:val="0"/>
        <w:spacing w:line="360" w:lineRule="auto"/>
        <w:ind w:left="639" w:leftChars="0" w:right="0" w:hanging="639" w:hangingChars="300"/>
        <w:rPr>
          <w:rFonts w:hint="eastAsia" w:ascii="宋体" w:hAnsi="宋体" w:eastAsia="宋体" w:cs="宋体"/>
          <w:color w:val="auto"/>
          <w:sz w:val="21"/>
          <w:szCs w:val="21"/>
        </w:rPr>
      </w:pPr>
      <w:r>
        <w:rPr>
          <w:rFonts w:hint="eastAsia" w:ascii="宋体" w:hAnsi="宋体" w:eastAsia="宋体" w:cs="宋体"/>
          <w:color w:val="auto"/>
          <w:sz w:val="21"/>
          <w:szCs w:val="21"/>
        </w:rPr>
        <w:t>注：</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此表应按投标人须知的规定密封标记并与授权委托书、投标保证金汇入情况说明及投标保证金汇款底单复印件一同密封装入开标文件，开标文件单独提交。</w:t>
      </w:r>
    </w:p>
    <w:p>
      <w:pPr>
        <w:pageBreakBefore w:val="0"/>
        <w:numPr>
          <w:ilvl w:val="0"/>
          <w:numId w:val="0"/>
        </w:numPr>
        <w:kinsoku/>
        <w:wordWrap/>
        <w:overflowPunct/>
        <w:topLinePunct w:val="0"/>
        <w:bidi w:val="0"/>
        <w:spacing w:line="360" w:lineRule="auto"/>
        <w:ind w:leftChars="200" w:right="0" w:rightChars="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温馨提示：未按招标文件要求报价、填写开标一览表是导致投标人废标的常见问题，请投标人仔细填写，认真核对。</w:t>
      </w:r>
    </w:p>
    <w:p>
      <w:pPr>
        <w:spacing w:line="360" w:lineRule="auto"/>
        <w:jc w:val="center"/>
        <w:rPr>
          <w:rFonts w:hint="eastAsia" w:ascii="宋体" w:hAnsi="宋体" w:eastAsia="宋体" w:cs="宋体"/>
          <w:b/>
          <w:sz w:val="21"/>
          <w:szCs w:val="21"/>
          <w:lang w:val="en-US" w:eastAsia="zh-CN"/>
        </w:rPr>
      </w:pPr>
    </w:p>
    <w:p>
      <w:pPr>
        <w:spacing w:line="360" w:lineRule="auto"/>
        <w:rPr>
          <w:rFonts w:hint="eastAsia" w:ascii="宋体" w:hAnsi="宋体" w:eastAsia="宋体" w:cs="宋体"/>
          <w:b/>
          <w:sz w:val="21"/>
          <w:szCs w:val="21"/>
          <w:lang w:val="en-US" w:eastAsia="zh-CN"/>
        </w:rPr>
      </w:pPr>
      <w:r>
        <w:rPr>
          <w:rFonts w:hint="eastAsia" w:ascii="宋体" w:hAnsi="宋体" w:eastAsia="宋体" w:cs="宋体"/>
          <w:b/>
          <w:sz w:val="21"/>
          <w:szCs w:val="21"/>
          <w:lang w:val="en-US" w:eastAsia="zh-CN"/>
        </w:rPr>
        <w:br w:type="page"/>
      </w:r>
    </w:p>
    <w:p>
      <w:pPr>
        <w:pStyle w:val="3"/>
        <w:numPr>
          <w:ilvl w:val="0"/>
          <w:numId w:val="16"/>
        </w:numPr>
        <w:bidi w:val="0"/>
        <w:spacing w:line="360" w:lineRule="auto"/>
        <w:ind w:left="0" w:leftChars="0" w:firstLine="420" w:firstLineChars="0"/>
        <w:rPr>
          <w:rFonts w:hint="eastAsia" w:ascii="宋体" w:hAnsi="宋体" w:eastAsia="宋体" w:cs="宋体"/>
          <w:b/>
          <w:bCs w:val="0"/>
          <w:sz w:val="21"/>
          <w:szCs w:val="21"/>
          <w:lang w:val="en-US" w:eastAsia="zh-CN"/>
        </w:rPr>
      </w:pPr>
      <w:bookmarkStart w:id="220" w:name="_Toc23861"/>
      <w:bookmarkStart w:id="221" w:name="_Toc2450"/>
      <w:bookmarkStart w:id="222" w:name="_Toc24269"/>
      <w:bookmarkStart w:id="223" w:name="_Toc14049"/>
      <w:r>
        <w:rPr>
          <w:rFonts w:hint="eastAsia" w:ascii="宋体" w:hAnsi="宋体" w:eastAsia="宋体" w:cs="宋体"/>
          <w:b/>
          <w:bCs w:val="0"/>
          <w:sz w:val="21"/>
          <w:szCs w:val="21"/>
          <w:lang w:val="en-US" w:eastAsia="zh-CN"/>
        </w:rPr>
        <w:t>投标分项报价表</w:t>
      </w:r>
      <w:bookmarkEnd w:id="220"/>
      <w:bookmarkEnd w:id="221"/>
      <w:bookmarkEnd w:id="222"/>
      <w:bookmarkEnd w:id="223"/>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 w:val="21"/>
          <w:szCs w:val="21"/>
        </w:rPr>
      </w:pP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rPr>
        <w:t>投标人名称：</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　　招标编号：</w:t>
      </w:r>
      <w:r>
        <w:rPr>
          <w:rFonts w:hint="eastAsia" w:ascii="宋体" w:hAnsi="宋体" w:eastAsia="宋体" w:cs="宋体"/>
          <w:color w:val="auto"/>
          <w:sz w:val="21"/>
          <w:szCs w:val="21"/>
          <w:highlight w:val="none"/>
          <w:u w:val="single"/>
        </w:rPr>
        <w:t>　　　　　　　　　　　</w:t>
      </w:r>
    </w:p>
    <w:p>
      <w:pPr>
        <w:pageBreakBefore w:val="0"/>
        <w:kinsoku/>
        <w:wordWrap/>
        <w:overflowPunct/>
        <w:topLinePunct w:val="0"/>
        <w:bidi w:val="0"/>
        <w:snapToGrid w:val="0"/>
        <w:spacing w:line="360" w:lineRule="auto"/>
        <w:ind w:left="0" w:leftChars="0" w:right="0" w:firstLine="0" w:firstLineChars="0"/>
        <w:rPr>
          <w:rFonts w:hint="eastAsia" w:ascii="宋体" w:hAnsi="宋体" w:eastAsia="宋体" w:cs="宋体"/>
          <w:b/>
          <w:bCs/>
          <w:color w:val="auto"/>
          <w:sz w:val="21"/>
          <w:szCs w:val="21"/>
          <w:highlight w:val="none"/>
        </w:rPr>
      </w:pPr>
    </w:p>
    <w:tbl>
      <w:tblPr>
        <w:tblStyle w:val="16"/>
        <w:tblW w:w="8640" w:type="dxa"/>
        <w:jc w:val="center"/>
        <w:tblLayout w:type="fixed"/>
        <w:tblCellMar>
          <w:top w:w="0" w:type="dxa"/>
          <w:left w:w="108" w:type="dxa"/>
          <w:bottom w:w="0" w:type="dxa"/>
          <w:right w:w="108" w:type="dxa"/>
        </w:tblCellMar>
      </w:tblPr>
      <w:tblGrid>
        <w:gridCol w:w="1080"/>
        <w:gridCol w:w="1080"/>
        <w:gridCol w:w="1080"/>
        <w:gridCol w:w="1080"/>
        <w:gridCol w:w="1080"/>
        <w:gridCol w:w="1080"/>
        <w:gridCol w:w="1080"/>
        <w:gridCol w:w="1080"/>
      </w:tblGrid>
      <w:tr>
        <w:tblPrEx>
          <w:tblCellMar>
            <w:top w:w="0" w:type="dxa"/>
            <w:left w:w="108" w:type="dxa"/>
            <w:bottom w:w="0" w:type="dxa"/>
            <w:right w:w="108" w:type="dxa"/>
          </w:tblCellMar>
        </w:tblPrEx>
        <w:trPr>
          <w:trHeight w:val="285" w:hRule="atLeast"/>
          <w:jc w:val="center"/>
        </w:trPr>
        <w:tc>
          <w:tcPr>
            <w:tcW w:w="10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序号</w:t>
            </w:r>
          </w:p>
        </w:tc>
        <w:tc>
          <w:tcPr>
            <w:tcW w:w="10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项目名称</w:t>
            </w:r>
          </w:p>
        </w:tc>
        <w:tc>
          <w:tcPr>
            <w:tcW w:w="10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数量</w:t>
            </w:r>
          </w:p>
        </w:tc>
        <w:tc>
          <w:tcPr>
            <w:tcW w:w="10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材质</w:t>
            </w:r>
          </w:p>
        </w:tc>
        <w:tc>
          <w:tcPr>
            <w:tcW w:w="1080" w:type="dxa"/>
            <w:tcBorders>
              <w:top w:val="single" w:color="auto" w:sz="4" w:space="0"/>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面积</w:t>
            </w:r>
          </w:p>
        </w:tc>
        <w:tc>
          <w:tcPr>
            <w:tcW w:w="10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单价</w:t>
            </w:r>
          </w:p>
        </w:tc>
        <w:tc>
          <w:tcPr>
            <w:tcW w:w="1080" w:type="dxa"/>
            <w:tcBorders>
              <w:top w:val="single" w:color="auto" w:sz="4" w:space="0"/>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总价</w:t>
            </w:r>
          </w:p>
        </w:tc>
        <w:tc>
          <w:tcPr>
            <w:tcW w:w="10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备注</w:t>
            </w:r>
          </w:p>
        </w:tc>
      </w:tr>
      <w:tr>
        <w:tblPrEx>
          <w:tblCellMar>
            <w:top w:w="0" w:type="dxa"/>
            <w:left w:w="108" w:type="dxa"/>
            <w:bottom w:w="0" w:type="dxa"/>
            <w:right w:w="108" w:type="dxa"/>
          </w:tblCellMar>
        </w:tblPrEx>
        <w:trPr>
          <w:trHeight w:val="285" w:hRule="atLeast"/>
          <w:jc w:val="center"/>
        </w:trPr>
        <w:tc>
          <w:tcPr>
            <w:tcW w:w="1080" w:type="dxa"/>
            <w:vMerge w:val="continue"/>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360" w:lineRule="auto"/>
              <w:ind w:left="0" w:leftChars="0" w:right="0" w:firstLine="0" w:firstLineChars="0"/>
              <w:jc w:val="left"/>
              <w:rPr>
                <w:rFonts w:hint="eastAsia" w:ascii="宋体" w:hAnsi="宋体" w:eastAsia="宋体" w:cs="宋体"/>
                <w:color w:val="auto"/>
                <w:kern w:val="0"/>
                <w:sz w:val="21"/>
                <w:szCs w:val="21"/>
                <w:highlight w:val="none"/>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360" w:lineRule="auto"/>
              <w:ind w:left="0" w:leftChars="0" w:right="0" w:firstLine="0" w:firstLineChars="0"/>
              <w:jc w:val="left"/>
              <w:rPr>
                <w:rFonts w:hint="eastAsia" w:ascii="宋体" w:hAnsi="宋体" w:eastAsia="宋体" w:cs="宋体"/>
                <w:color w:val="auto"/>
                <w:kern w:val="0"/>
                <w:sz w:val="21"/>
                <w:szCs w:val="21"/>
                <w:highlight w:val="none"/>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360" w:lineRule="auto"/>
              <w:ind w:left="0" w:leftChars="0" w:right="0" w:firstLine="0" w:firstLineChars="0"/>
              <w:jc w:val="left"/>
              <w:rPr>
                <w:rFonts w:hint="eastAsia" w:ascii="宋体" w:hAnsi="宋体" w:eastAsia="宋体" w:cs="宋体"/>
                <w:color w:val="auto"/>
                <w:kern w:val="0"/>
                <w:sz w:val="21"/>
                <w:szCs w:val="21"/>
                <w:highlight w:val="none"/>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360" w:lineRule="auto"/>
              <w:ind w:left="0" w:leftChars="0" w:right="0" w:firstLine="0" w:firstLineChars="0"/>
              <w:jc w:val="left"/>
              <w:rPr>
                <w:rFonts w:hint="eastAsia" w:ascii="宋体" w:hAnsi="宋体" w:eastAsia="宋体" w:cs="宋体"/>
                <w:color w:val="auto"/>
                <w:kern w:val="0"/>
                <w:sz w:val="21"/>
                <w:szCs w:val="21"/>
                <w:highlight w:val="none"/>
              </w:rPr>
            </w:pP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单位</w:t>
            </w: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360" w:lineRule="auto"/>
              <w:ind w:left="0" w:leftChars="0" w:right="0" w:firstLine="0" w:firstLineChars="0"/>
              <w:jc w:val="left"/>
              <w:rPr>
                <w:rFonts w:hint="eastAsia" w:ascii="宋体" w:hAnsi="宋体" w:eastAsia="宋体" w:cs="宋体"/>
                <w:color w:val="auto"/>
                <w:kern w:val="0"/>
                <w:sz w:val="21"/>
                <w:szCs w:val="21"/>
                <w:highlight w:val="none"/>
              </w:rPr>
            </w:pP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（万元）</w:t>
            </w: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pageBreakBefore w:val="0"/>
              <w:widowControl/>
              <w:kinsoku/>
              <w:wordWrap/>
              <w:overflowPunct/>
              <w:topLinePunct w:val="0"/>
              <w:bidi w:val="0"/>
              <w:spacing w:line="360" w:lineRule="auto"/>
              <w:ind w:left="0" w:leftChars="0" w:right="0" w:firstLine="0" w:firstLineChars="0"/>
              <w:jc w:val="left"/>
              <w:rPr>
                <w:rFonts w:hint="eastAsia" w:ascii="宋体" w:hAnsi="宋体" w:eastAsia="宋体" w:cs="宋体"/>
                <w:color w:val="auto"/>
                <w:kern w:val="0"/>
                <w:sz w:val="21"/>
                <w:szCs w:val="21"/>
                <w:highlight w:val="none"/>
              </w:rPr>
            </w:pPr>
          </w:p>
        </w:tc>
      </w:tr>
      <w:tr>
        <w:tblPrEx>
          <w:tblCellMar>
            <w:top w:w="0" w:type="dxa"/>
            <w:left w:w="108" w:type="dxa"/>
            <w:bottom w:w="0" w:type="dxa"/>
            <w:right w:w="108" w:type="dxa"/>
          </w:tblCellMar>
        </w:tblPrEx>
        <w:trPr>
          <w:trHeight w:val="285" w:hRule="atLeast"/>
          <w:jc w:val="center"/>
        </w:trPr>
        <w:tc>
          <w:tcPr>
            <w:tcW w:w="1080" w:type="dxa"/>
            <w:tcBorders>
              <w:top w:val="nil"/>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r>
      <w:tr>
        <w:tblPrEx>
          <w:tblCellMar>
            <w:top w:w="0" w:type="dxa"/>
            <w:left w:w="108" w:type="dxa"/>
            <w:bottom w:w="0" w:type="dxa"/>
            <w:right w:w="108" w:type="dxa"/>
          </w:tblCellMar>
        </w:tblPrEx>
        <w:trPr>
          <w:trHeight w:val="285" w:hRule="atLeast"/>
          <w:jc w:val="center"/>
        </w:trPr>
        <w:tc>
          <w:tcPr>
            <w:tcW w:w="1080" w:type="dxa"/>
            <w:tcBorders>
              <w:top w:val="nil"/>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r>
      <w:tr>
        <w:tblPrEx>
          <w:tblCellMar>
            <w:top w:w="0" w:type="dxa"/>
            <w:left w:w="108" w:type="dxa"/>
            <w:bottom w:w="0" w:type="dxa"/>
            <w:right w:w="108" w:type="dxa"/>
          </w:tblCellMar>
        </w:tblPrEx>
        <w:trPr>
          <w:trHeight w:val="285" w:hRule="atLeast"/>
          <w:jc w:val="center"/>
        </w:trPr>
        <w:tc>
          <w:tcPr>
            <w:tcW w:w="1080" w:type="dxa"/>
            <w:tcBorders>
              <w:top w:val="nil"/>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r>
      <w:tr>
        <w:tblPrEx>
          <w:tblCellMar>
            <w:top w:w="0" w:type="dxa"/>
            <w:left w:w="108" w:type="dxa"/>
            <w:bottom w:w="0" w:type="dxa"/>
            <w:right w:w="108" w:type="dxa"/>
          </w:tblCellMar>
        </w:tblPrEx>
        <w:trPr>
          <w:trHeight w:val="285" w:hRule="atLeast"/>
          <w:jc w:val="center"/>
        </w:trPr>
        <w:tc>
          <w:tcPr>
            <w:tcW w:w="1080" w:type="dxa"/>
            <w:tcBorders>
              <w:top w:val="nil"/>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c>
          <w:tcPr>
            <w:tcW w:w="1080" w:type="dxa"/>
            <w:tcBorders>
              <w:top w:val="nil"/>
              <w:left w:val="nil"/>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w:t>
            </w:r>
          </w:p>
        </w:tc>
      </w:tr>
      <w:tr>
        <w:tblPrEx>
          <w:tblCellMar>
            <w:top w:w="0" w:type="dxa"/>
            <w:left w:w="108" w:type="dxa"/>
            <w:bottom w:w="0" w:type="dxa"/>
            <w:right w:w="108" w:type="dxa"/>
          </w:tblCellMar>
        </w:tblPrEx>
        <w:trPr>
          <w:trHeight w:val="285" w:hRule="atLeast"/>
          <w:jc w:val="center"/>
        </w:trPr>
        <w:tc>
          <w:tcPr>
            <w:tcW w:w="8640" w:type="dxa"/>
            <w:gridSpan w:val="8"/>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w:t>
            </w:r>
          </w:p>
        </w:tc>
      </w:tr>
      <w:tr>
        <w:tblPrEx>
          <w:tblCellMar>
            <w:top w:w="0" w:type="dxa"/>
            <w:left w:w="108" w:type="dxa"/>
            <w:bottom w:w="0" w:type="dxa"/>
            <w:right w:w="108" w:type="dxa"/>
          </w:tblCellMar>
        </w:tblPrEx>
        <w:trPr>
          <w:trHeight w:val="285" w:hRule="atLeast"/>
          <w:jc w:val="center"/>
        </w:trPr>
        <w:tc>
          <w:tcPr>
            <w:tcW w:w="8640" w:type="dxa"/>
            <w:gridSpan w:val="8"/>
            <w:tcBorders>
              <w:top w:val="single" w:color="auto" w:sz="4" w:space="0"/>
              <w:left w:val="single" w:color="auto" w:sz="4" w:space="0"/>
              <w:bottom w:val="single" w:color="auto" w:sz="4" w:space="0"/>
              <w:right w:val="single" w:color="auto" w:sz="4" w:space="0"/>
            </w:tcBorders>
            <w:shd w:val="clear" w:color="auto" w:fill="auto"/>
            <w:vAlign w:val="center"/>
          </w:tcPr>
          <w:p>
            <w:pPr>
              <w:pageBreakBefore w:val="0"/>
              <w:widowControl/>
              <w:kinsoku/>
              <w:wordWrap/>
              <w:overflowPunct/>
              <w:topLinePunct w:val="0"/>
              <w:bidi w:val="0"/>
              <w:spacing w:line="360" w:lineRule="auto"/>
              <w:ind w:left="0" w:leftChars="0" w:right="0" w:firstLine="0" w:firstLineChars="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投标总报价：                 （万元）</w:t>
            </w:r>
          </w:p>
        </w:tc>
      </w:tr>
    </w:tbl>
    <w:p>
      <w:pPr>
        <w:pageBreakBefore w:val="0"/>
        <w:kinsoku/>
        <w:wordWrap/>
        <w:overflowPunct/>
        <w:topLinePunct w:val="0"/>
        <w:bidi w:val="0"/>
        <w:snapToGrid w:val="0"/>
        <w:spacing w:line="360" w:lineRule="auto"/>
        <w:ind w:left="0" w:leftChars="0" w:right="0" w:firstLine="0" w:firstLineChars="0"/>
        <w:rPr>
          <w:rFonts w:hint="eastAsia" w:ascii="宋体" w:hAnsi="宋体" w:eastAsia="宋体" w:cs="宋体"/>
          <w:b/>
          <w:bCs/>
          <w:color w:val="auto"/>
          <w:sz w:val="21"/>
          <w:szCs w:val="21"/>
          <w:highlight w:val="none"/>
        </w:rPr>
      </w:pPr>
    </w:p>
    <w:p>
      <w:pPr>
        <w:pageBreakBefore w:val="0"/>
        <w:kinsoku/>
        <w:wordWrap/>
        <w:overflowPunct/>
        <w:topLinePunct w:val="0"/>
        <w:bidi w:val="0"/>
        <w:snapToGrid w:val="0"/>
        <w:spacing w:line="360" w:lineRule="auto"/>
        <w:ind w:left="0" w:leftChars="0" w:right="0" w:firstLine="0" w:firstLineChars="0"/>
        <w:rPr>
          <w:rFonts w:hint="eastAsia" w:ascii="宋体" w:hAnsi="宋体" w:eastAsia="宋体" w:cs="宋体"/>
          <w:b/>
          <w:bCs/>
          <w:color w:val="auto"/>
          <w:sz w:val="21"/>
          <w:szCs w:val="21"/>
          <w:highlight w:val="none"/>
        </w:rPr>
      </w:pP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 w:val="21"/>
          <w:szCs w:val="21"/>
          <w:highlight w:val="none"/>
        </w:rPr>
      </w:pP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投标人代表签字：</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投标人盖章：</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 w:val="21"/>
          <w:szCs w:val="21"/>
        </w:rPr>
      </w:pP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注：</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上述各项的详细分项报价，应另页描述。</w:t>
      </w:r>
    </w:p>
    <w:p>
      <w:pPr>
        <w:pageBreakBefore w:val="0"/>
        <w:kinsoku/>
        <w:wordWrap/>
        <w:overflowPunct/>
        <w:topLinePunct w:val="0"/>
        <w:bidi w:val="0"/>
        <w:spacing w:line="360" w:lineRule="auto"/>
        <w:ind w:left="0" w:leftChars="0" w:right="0" w:firstLine="426"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详细分项报价必须提供相应的品牌、规格型号、产地、维保服务单价、数量、小计、合计等详细信息。</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 w:val="21"/>
          <w:szCs w:val="21"/>
        </w:rPr>
      </w:pPr>
    </w:p>
    <w:p>
      <w:pPr>
        <w:pStyle w:val="3"/>
        <w:numPr>
          <w:ilvl w:val="0"/>
          <w:numId w:val="16"/>
        </w:numPr>
        <w:bidi w:val="0"/>
        <w:spacing w:line="360" w:lineRule="auto"/>
        <w:ind w:left="0" w:leftChars="0" w:firstLine="420" w:firstLineChars="0"/>
        <w:rPr>
          <w:rFonts w:hint="eastAsia" w:ascii="宋体" w:hAnsi="宋体" w:eastAsia="宋体" w:cs="宋体"/>
          <w:b/>
          <w:bCs w:val="0"/>
          <w:kern w:val="44"/>
          <w:sz w:val="21"/>
          <w:szCs w:val="21"/>
          <w:lang w:val="en-US" w:eastAsia="zh-CN" w:bidi="ar-SA"/>
        </w:rPr>
      </w:pPr>
      <w:r>
        <w:rPr>
          <w:rFonts w:hint="eastAsia" w:ascii="宋体" w:hAnsi="宋体" w:eastAsia="宋体" w:cs="宋体"/>
          <w:b/>
          <w:sz w:val="21"/>
          <w:szCs w:val="21"/>
          <w:lang w:val="en-US" w:eastAsia="zh-CN"/>
        </w:rPr>
        <w:br w:type="page"/>
      </w:r>
      <w:bookmarkStart w:id="224" w:name="_Toc16916"/>
      <w:bookmarkStart w:id="225" w:name="_Toc8739"/>
      <w:bookmarkStart w:id="226" w:name="_Toc27849"/>
      <w:bookmarkStart w:id="227" w:name="_Toc7662"/>
      <w:r>
        <w:rPr>
          <w:rFonts w:hint="eastAsia" w:ascii="宋体" w:hAnsi="宋体" w:eastAsia="宋体" w:cs="宋体"/>
          <w:b/>
          <w:bCs w:val="0"/>
          <w:kern w:val="44"/>
          <w:sz w:val="21"/>
          <w:szCs w:val="21"/>
          <w:lang w:val="en-US" w:eastAsia="zh-CN" w:bidi="ar-SA"/>
        </w:rPr>
        <w:t>投标报价函</w:t>
      </w:r>
      <w:bookmarkEnd w:id="224"/>
      <w:bookmarkEnd w:id="225"/>
      <w:bookmarkEnd w:id="226"/>
      <w:bookmarkEnd w:id="227"/>
    </w:p>
    <w:p>
      <w:pPr>
        <w:pStyle w:val="41"/>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b/>
          <w:color w:val="auto"/>
          <w:szCs w:val="21"/>
          <w:highlight w:val="none"/>
          <w:u w:val="single"/>
          <w:lang w:val="en-US" w:eastAsia="zh-CN"/>
        </w:rPr>
        <w:t>Xxx</w:t>
      </w:r>
      <w:r>
        <w:rPr>
          <w:rFonts w:hint="eastAsia" w:ascii="宋体" w:hAnsi="宋体" w:eastAsia="宋体" w:cs="宋体"/>
          <w:b/>
          <w:color w:val="auto"/>
          <w:szCs w:val="21"/>
        </w:rPr>
        <w:t>公司：</w:t>
      </w:r>
    </w:p>
    <w:p>
      <w:pPr>
        <w:pStyle w:val="41"/>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__________________________(投标人全称)授权___________(代理人姓名)_________(职务、职称)为全权代表，参加贵方组织的_________________________(招标项目名称)招标的有关活动，并对__________________________进行投标。为此：</w:t>
      </w:r>
    </w:p>
    <w:p>
      <w:pPr>
        <w:pStyle w:val="41"/>
        <w:pageBreakBefore w:val="0"/>
        <w:numPr>
          <w:ilvl w:val="0"/>
          <w:numId w:val="18"/>
        </w:numPr>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提供投标须知规定的全部投标文件；</w:t>
      </w:r>
    </w:p>
    <w:p>
      <w:pPr>
        <w:pStyle w:val="41"/>
        <w:pageBreakBefore w:val="0"/>
        <w:numPr>
          <w:ilvl w:val="0"/>
          <w:numId w:val="18"/>
        </w:numPr>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项目总价为_______________万元人民币（大写：），服务日期为展会结束日止。</w:t>
      </w:r>
    </w:p>
    <w:p>
      <w:pPr>
        <w:pStyle w:val="41"/>
        <w:pageBreakBefore w:val="0"/>
        <w:numPr>
          <w:ilvl w:val="0"/>
          <w:numId w:val="18"/>
        </w:numPr>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保证遵守招标文件中的有关规定和收费标准。</w:t>
      </w:r>
    </w:p>
    <w:p>
      <w:pPr>
        <w:pStyle w:val="41"/>
        <w:pageBreakBefore w:val="0"/>
        <w:numPr>
          <w:ilvl w:val="0"/>
          <w:numId w:val="18"/>
        </w:numPr>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保证忠实地执行买卖双方所签订的合同，并承担合同规定的责任义务。</w:t>
      </w:r>
    </w:p>
    <w:p>
      <w:pPr>
        <w:pStyle w:val="41"/>
        <w:pageBreakBefore w:val="0"/>
        <w:numPr>
          <w:ilvl w:val="0"/>
          <w:numId w:val="18"/>
        </w:numPr>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愿意向贵方提供任何与该项投标有关的数据、情况和技术资料。</w:t>
      </w:r>
    </w:p>
    <w:p>
      <w:pPr>
        <w:pStyle w:val="41"/>
        <w:pageBreakBefore w:val="0"/>
        <w:numPr>
          <w:ilvl w:val="0"/>
          <w:numId w:val="18"/>
        </w:numPr>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我方已详细审查全部招标文件，包括修改意见（如有），以及全部参考资料和有关附件，完全理解并同意放弃对这方面有不明产生误解而要求招标人解释和承担责任的权利。</w:t>
      </w:r>
    </w:p>
    <w:p>
      <w:pPr>
        <w:pStyle w:val="41"/>
        <w:pageBreakBefore w:val="0"/>
        <w:numPr>
          <w:ilvl w:val="0"/>
          <w:numId w:val="18"/>
        </w:numPr>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我们理解，招标人不负担我们的任何投标费用。</w:t>
      </w:r>
    </w:p>
    <w:p>
      <w:pPr>
        <w:pStyle w:val="41"/>
        <w:pageBreakBefore w:val="0"/>
        <w:numPr>
          <w:ilvl w:val="0"/>
          <w:numId w:val="18"/>
        </w:numPr>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在投标文件有效期间被你方接受的上述文件对我方一直具有约束力。我方保证在投标文件有效期内不撤回投标文件，除招标文件另有规定外，不修改投标文件。</w:t>
      </w:r>
    </w:p>
    <w:p>
      <w:pPr>
        <w:pStyle w:val="41"/>
        <w:pageBreakBefore w:val="0"/>
        <w:numPr>
          <w:ilvl w:val="0"/>
          <w:numId w:val="18"/>
        </w:numPr>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highlight w:val="none"/>
        </w:rPr>
        <w:t>随同本投标书，我们附上投标保证书一份，作为我方投标的担保</w:t>
      </w:r>
      <w:r>
        <w:rPr>
          <w:rFonts w:hint="eastAsia" w:ascii="宋体" w:hAnsi="宋体" w:eastAsia="宋体" w:cs="宋体"/>
          <w:color w:val="auto"/>
          <w:szCs w:val="21"/>
        </w:rPr>
        <w:t>。如果我们在投标书有效期内撤回投标书；或在接到中标通知书后未能或拒绝签订合同协议书，你单位有权另选中标单位。</w:t>
      </w:r>
    </w:p>
    <w:p>
      <w:pPr>
        <w:pStyle w:val="41"/>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p>
    <w:p>
      <w:pPr>
        <w:pStyle w:val="41"/>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投标人（盖单位公章）：____________________</w:t>
      </w:r>
    </w:p>
    <w:p>
      <w:pPr>
        <w:pStyle w:val="41"/>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法定代表人或委托代理人（签字）：___________</w:t>
      </w:r>
    </w:p>
    <w:p>
      <w:pPr>
        <w:spacing w:line="360" w:lineRule="auto"/>
        <w:rPr>
          <w:rFonts w:hint="eastAsia" w:ascii="宋体" w:hAnsi="宋体" w:eastAsia="宋体" w:cs="宋体"/>
          <w:b/>
          <w:sz w:val="21"/>
          <w:szCs w:val="21"/>
          <w:lang w:val="en-US" w:eastAsia="zh-CN"/>
        </w:rPr>
      </w:pPr>
    </w:p>
    <w:p>
      <w:pPr>
        <w:spacing w:line="360" w:lineRule="auto"/>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br w:type="page"/>
      </w:r>
    </w:p>
    <w:p>
      <w:pPr>
        <w:pStyle w:val="3"/>
        <w:numPr>
          <w:ilvl w:val="0"/>
          <w:numId w:val="16"/>
        </w:numPr>
        <w:bidi w:val="0"/>
        <w:spacing w:line="360" w:lineRule="auto"/>
        <w:ind w:left="0" w:leftChars="0" w:firstLine="420" w:firstLineChars="0"/>
        <w:rPr>
          <w:rFonts w:hint="eastAsia" w:ascii="宋体" w:hAnsi="宋体" w:eastAsia="宋体" w:cs="宋体"/>
          <w:b/>
          <w:bCs w:val="0"/>
          <w:sz w:val="21"/>
          <w:szCs w:val="21"/>
          <w:lang w:val="en-US" w:eastAsia="zh-CN"/>
        </w:rPr>
      </w:pPr>
      <w:bookmarkStart w:id="228" w:name="_Toc8249"/>
      <w:bookmarkStart w:id="229" w:name="_Toc31111"/>
      <w:bookmarkStart w:id="230" w:name="_Toc9854"/>
      <w:bookmarkStart w:id="231" w:name="_Toc15675"/>
      <w:r>
        <w:rPr>
          <w:rFonts w:hint="eastAsia" w:ascii="宋体" w:hAnsi="宋体" w:eastAsia="宋体" w:cs="宋体"/>
          <w:b/>
          <w:bCs w:val="0"/>
          <w:sz w:val="21"/>
          <w:szCs w:val="21"/>
          <w:lang w:val="en-US" w:eastAsia="zh-CN"/>
        </w:rPr>
        <w:t>法定代表人证明书</w:t>
      </w:r>
      <w:bookmarkEnd w:id="228"/>
      <w:bookmarkEnd w:id="229"/>
      <w:bookmarkEnd w:id="230"/>
      <w:bookmarkEnd w:id="231"/>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highlight w:val="yellow"/>
          <w:lang w:val="en-US" w:eastAsia="zh-CN"/>
        </w:rPr>
        <w:t>Xxx</w:t>
      </w:r>
      <w:r>
        <w:rPr>
          <w:rFonts w:hint="eastAsia" w:ascii="宋体" w:hAnsi="宋体" w:eastAsia="宋体" w:cs="宋体"/>
          <w:color w:val="auto"/>
          <w:szCs w:val="21"/>
          <w:highlight w:val="yellow"/>
        </w:rPr>
        <w:t>先生/小姐，</w:t>
      </w:r>
      <w:r>
        <w:rPr>
          <w:rFonts w:hint="eastAsia" w:ascii="宋体" w:hAnsi="宋体" w:eastAsia="宋体" w:cs="宋体"/>
          <w:color w:val="auto"/>
          <w:szCs w:val="21"/>
        </w:rPr>
        <w:t>现任我单位职务，为法定代表人，特此证明。</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有效日期：签发日期：单位：（盖章）</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附：代表人性别：年龄：身份证号码：</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营业执照号码：经济性质：</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主营（产）：</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兼营（产）：</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进口物品经营许可证号码：</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主营（产）：</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兼营（产）：</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b/>
          <w:color w:val="auto"/>
          <w:szCs w:val="21"/>
        </w:rPr>
        <w:t>注：法定代表人身份证明书需附法人代表身份证复印件（加盖公章）</w:t>
      </w:r>
      <w:r>
        <w:rPr>
          <w:rFonts w:hint="eastAsia" w:ascii="宋体" w:hAnsi="宋体" w:eastAsia="宋体" w:cs="宋体"/>
          <w:b/>
          <w:color w:val="auto"/>
          <w:sz w:val="21"/>
          <w:szCs w:val="21"/>
        </w:rPr>
        <w:t>。</w:t>
      </w:r>
    </w:p>
    <w:p>
      <w:pPr>
        <w:pStyle w:val="3"/>
        <w:numPr>
          <w:ilvl w:val="0"/>
          <w:numId w:val="0"/>
        </w:numPr>
        <w:bidi w:val="0"/>
        <w:spacing w:line="360" w:lineRule="auto"/>
        <w:ind w:left="420" w:leftChars="0"/>
        <w:jc w:val="both"/>
        <w:rPr>
          <w:rFonts w:hint="eastAsia" w:ascii="宋体" w:hAnsi="宋体" w:eastAsia="宋体" w:cs="宋体"/>
          <w:b/>
          <w:bCs w:val="0"/>
          <w:sz w:val="21"/>
          <w:szCs w:val="21"/>
          <w:lang w:val="en-US" w:eastAsia="zh-CN"/>
        </w:rPr>
      </w:pPr>
    </w:p>
    <w:p>
      <w:pPr>
        <w:pStyle w:val="2"/>
        <w:spacing w:line="360" w:lineRule="auto"/>
        <w:rPr>
          <w:rFonts w:hint="eastAsia" w:ascii="宋体" w:hAnsi="宋体" w:eastAsia="宋体" w:cs="宋体"/>
          <w:sz w:val="21"/>
          <w:szCs w:val="21"/>
          <w:lang w:val="en-US" w:eastAsia="zh-CN"/>
        </w:rPr>
      </w:pPr>
    </w:p>
    <w:p>
      <w:pPr>
        <w:spacing w:line="360" w:lineRule="auto"/>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br w:type="page"/>
      </w:r>
    </w:p>
    <w:p>
      <w:pPr>
        <w:pStyle w:val="3"/>
        <w:numPr>
          <w:ilvl w:val="0"/>
          <w:numId w:val="16"/>
        </w:numPr>
        <w:bidi w:val="0"/>
        <w:spacing w:line="360" w:lineRule="auto"/>
        <w:ind w:left="0" w:leftChars="0" w:firstLine="420" w:firstLineChars="0"/>
        <w:rPr>
          <w:rFonts w:hint="eastAsia" w:ascii="宋体" w:hAnsi="宋体" w:eastAsia="宋体" w:cs="宋体"/>
          <w:b/>
          <w:bCs w:val="0"/>
          <w:sz w:val="21"/>
          <w:szCs w:val="21"/>
          <w:lang w:val="en-US" w:eastAsia="zh-CN"/>
        </w:rPr>
      </w:pPr>
      <w:bookmarkStart w:id="232" w:name="_Toc2491"/>
      <w:bookmarkStart w:id="233" w:name="_Toc25060"/>
      <w:bookmarkStart w:id="234" w:name="_Toc4883"/>
      <w:bookmarkStart w:id="235" w:name="_Toc3431"/>
      <w:r>
        <w:rPr>
          <w:rFonts w:hint="eastAsia" w:ascii="宋体" w:hAnsi="宋体" w:eastAsia="宋体" w:cs="宋体"/>
          <w:b/>
          <w:bCs w:val="0"/>
          <w:sz w:val="21"/>
          <w:szCs w:val="21"/>
          <w:lang w:val="en-US" w:eastAsia="zh-CN"/>
        </w:rPr>
        <w:t>法定代表人授权委托书</w:t>
      </w:r>
      <w:bookmarkEnd w:id="232"/>
      <w:bookmarkEnd w:id="233"/>
      <w:bookmarkEnd w:id="234"/>
      <w:bookmarkEnd w:id="235"/>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本授权书声明：注册于</w:t>
      </w:r>
      <w:r>
        <w:rPr>
          <w:rFonts w:hint="eastAsia" w:ascii="宋体" w:hAnsi="宋体" w:eastAsia="宋体" w:cs="宋体"/>
          <w:i/>
          <w:color w:val="auto"/>
          <w:szCs w:val="21"/>
          <w:u w:val="single"/>
        </w:rPr>
        <w:t>（国家或地区的名称）</w:t>
      </w:r>
      <w:r>
        <w:rPr>
          <w:rFonts w:hint="eastAsia" w:ascii="宋体" w:hAnsi="宋体" w:eastAsia="宋体" w:cs="宋体"/>
          <w:color w:val="auto"/>
          <w:szCs w:val="21"/>
        </w:rPr>
        <w:t>的</w:t>
      </w:r>
      <w:r>
        <w:rPr>
          <w:rFonts w:hint="eastAsia" w:ascii="宋体" w:hAnsi="宋体" w:eastAsia="宋体" w:cs="宋体"/>
          <w:i/>
          <w:color w:val="auto"/>
          <w:szCs w:val="21"/>
          <w:u w:val="single"/>
        </w:rPr>
        <w:t>（公司名称）</w:t>
      </w:r>
      <w:r>
        <w:rPr>
          <w:rFonts w:hint="eastAsia" w:ascii="宋体" w:hAnsi="宋体" w:eastAsia="宋体" w:cs="宋体"/>
          <w:color w:val="auto"/>
          <w:szCs w:val="21"/>
        </w:rPr>
        <w:t>的在下面签字的</w:t>
      </w:r>
      <w:r>
        <w:rPr>
          <w:rFonts w:hint="eastAsia" w:ascii="宋体" w:hAnsi="宋体" w:eastAsia="宋体" w:cs="宋体"/>
          <w:i/>
          <w:color w:val="auto"/>
          <w:szCs w:val="21"/>
          <w:u w:val="single"/>
        </w:rPr>
        <w:t>（法定代表人姓名、职务）</w:t>
      </w:r>
      <w:r>
        <w:rPr>
          <w:rFonts w:hint="eastAsia" w:ascii="宋体" w:hAnsi="宋体" w:eastAsia="宋体" w:cs="宋体"/>
          <w:color w:val="auto"/>
          <w:szCs w:val="21"/>
        </w:rPr>
        <w:t>代表本公司授权</w:t>
      </w:r>
      <w:r>
        <w:rPr>
          <w:rFonts w:hint="eastAsia" w:ascii="宋体" w:hAnsi="宋体" w:eastAsia="宋体" w:cs="宋体"/>
          <w:i/>
          <w:color w:val="auto"/>
          <w:szCs w:val="21"/>
          <w:u w:val="single"/>
        </w:rPr>
        <w:t>（单位名称）</w:t>
      </w:r>
      <w:r>
        <w:rPr>
          <w:rFonts w:hint="eastAsia" w:ascii="宋体" w:hAnsi="宋体" w:eastAsia="宋体" w:cs="宋体"/>
          <w:color w:val="auto"/>
          <w:szCs w:val="21"/>
        </w:rPr>
        <w:t>的在下面签字的</w:t>
      </w:r>
      <w:r>
        <w:rPr>
          <w:rFonts w:hint="eastAsia" w:ascii="宋体" w:hAnsi="宋体" w:eastAsia="宋体" w:cs="宋体"/>
          <w:i/>
          <w:color w:val="auto"/>
          <w:szCs w:val="21"/>
          <w:u w:val="single"/>
        </w:rPr>
        <w:t>（被授权人的姓名、职务）</w:t>
      </w:r>
      <w:r>
        <w:rPr>
          <w:rFonts w:hint="eastAsia" w:ascii="宋体" w:hAnsi="宋体" w:eastAsia="宋体" w:cs="宋体"/>
          <w:color w:val="auto"/>
          <w:szCs w:val="21"/>
        </w:rPr>
        <w:t>为本公司的合法代理人，就</w:t>
      </w:r>
      <w:r>
        <w:rPr>
          <w:rFonts w:hint="eastAsia" w:ascii="宋体" w:hAnsi="宋体" w:eastAsia="宋体" w:cs="宋体"/>
          <w:i/>
          <w:color w:val="auto"/>
          <w:szCs w:val="21"/>
          <w:u w:val="single"/>
        </w:rPr>
        <w:t>（项目名称）</w:t>
      </w:r>
      <w:r>
        <w:rPr>
          <w:rFonts w:hint="eastAsia" w:ascii="宋体" w:hAnsi="宋体" w:eastAsia="宋体" w:cs="宋体"/>
          <w:color w:val="auto"/>
          <w:szCs w:val="21"/>
        </w:rPr>
        <w:t>投标及参加项目谈判，以本公司名义处理一切与之有关的事务。</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本授权书于</w:t>
      </w:r>
      <w:r>
        <w:rPr>
          <w:rFonts w:hint="eastAsia" w:ascii="宋体" w:hAnsi="宋体" w:eastAsia="宋体" w:cs="宋体"/>
          <w:color w:val="auto"/>
          <w:szCs w:val="21"/>
          <w:u w:val="single"/>
        </w:rPr>
        <w:t>　　</w:t>
      </w:r>
      <w:r>
        <w:rPr>
          <w:rFonts w:hint="eastAsia" w:ascii="宋体" w:hAnsi="宋体" w:eastAsia="宋体" w:cs="宋体"/>
          <w:color w:val="auto"/>
          <w:szCs w:val="21"/>
        </w:rPr>
        <w:t>年</w:t>
      </w:r>
      <w:r>
        <w:rPr>
          <w:rFonts w:hint="eastAsia" w:ascii="宋体" w:hAnsi="宋体" w:eastAsia="宋体" w:cs="宋体"/>
          <w:color w:val="auto"/>
          <w:szCs w:val="21"/>
          <w:u w:val="single"/>
        </w:rPr>
        <w:t>　　</w:t>
      </w:r>
      <w:r>
        <w:rPr>
          <w:rFonts w:hint="eastAsia" w:ascii="宋体" w:hAnsi="宋体" w:eastAsia="宋体" w:cs="宋体"/>
          <w:color w:val="auto"/>
          <w:szCs w:val="21"/>
        </w:rPr>
        <w:t>月</w:t>
      </w:r>
      <w:r>
        <w:rPr>
          <w:rFonts w:hint="eastAsia" w:ascii="宋体" w:hAnsi="宋体" w:eastAsia="宋体" w:cs="宋体"/>
          <w:color w:val="auto"/>
          <w:szCs w:val="21"/>
          <w:u w:val="single"/>
        </w:rPr>
        <w:t>　　</w:t>
      </w:r>
      <w:r>
        <w:rPr>
          <w:rFonts w:hint="eastAsia" w:ascii="宋体" w:hAnsi="宋体" w:eastAsia="宋体" w:cs="宋体"/>
          <w:color w:val="auto"/>
          <w:szCs w:val="21"/>
        </w:rPr>
        <w:t>日签字生效，特此声明。</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法定代表人签字：</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被授权人签字：　</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单位盖章：　</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附：</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被授权人姓名：</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职务：</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详细通讯地址：</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邮政编码：</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电话：</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移动电话：</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传真：</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p>
    <w:p>
      <w:pPr>
        <w:pageBreakBefore w:val="0"/>
        <w:kinsoku/>
        <w:wordWrap/>
        <w:overflowPunct/>
        <w:topLinePunct w:val="0"/>
        <w:bidi w:val="0"/>
        <w:spacing w:line="360" w:lineRule="auto"/>
        <w:ind w:left="0" w:leftChars="0" w:right="0" w:firstLine="0" w:firstLineChars="0"/>
        <w:rPr>
          <w:rFonts w:hint="eastAsia" w:ascii="宋体" w:hAnsi="宋体" w:eastAsia="宋体" w:cs="宋体"/>
          <w:b/>
          <w:color w:val="auto"/>
          <w:szCs w:val="21"/>
        </w:rPr>
      </w:pPr>
      <w:r>
        <w:rPr>
          <w:rFonts w:hint="eastAsia" w:ascii="宋体" w:hAnsi="宋体" w:eastAsia="宋体" w:cs="宋体"/>
          <w:b/>
          <w:color w:val="auto"/>
          <w:szCs w:val="21"/>
        </w:rPr>
        <w:t>注：1、法定代表人授权书除装订于投标文件中外，还须另置一份按“投标人须知”要求单独密封。</w:t>
      </w:r>
    </w:p>
    <w:p>
      <w:pPr>
        <w:pageBreakBefore w:val="0"/>
        <w:kinsoku/>
        <w:wordWrap/>
        <w:overflowPunct/>
        <w:topLinePunct w:val="0"/>
        <w:bidi w:val="0"/>
        <w:spacing w:line="360" w:lineRule="auto"/>
        <w:ind w:left="0" w:leftChars="0" w:right="0" w:firstLine="426" w:firstLineChars="200"/>
        <w:rPr>
          <w:rFonts w:hint="eastAsia" w:ascii="宋体" w:hAnsi="宋体" w:eastAsia="宋体" w:cs="宋体"/>
          <w:color w:val="auto"/>
          <w:szCs w:val="21"/>
        </w:rPr>
      </w:pPr>
      <w:r>
        <w:rPr>
          <w:rFonts w:hint="eastAsia" w:ascii="宋体" w:hAnsi="宋体" w:eastAsia="宋体" w:cs="宋体"/>
          <w:b/>
          <w:color w:val="auto"/>
          <w:szCs w:val="21"/>
        </w:rPr>
        <w:t>2、提供被授权人的身份证复印件盖公章。</w:t>
      </w:r>
    </w:p>
    <w:p>
      <w:pPr>
        <w:spacing w:line="360" w:lineRule="auto"/>
        <w:rPr>
          <w:rFonts w:hint="eastAsia" w:ascii="宋体" w:hAnsi="宋体" w:eastAsia="宋体" w:cs="宋体"/>
          <w:sz w:val="21"/>
          <w:szCs w:val="21"/>
        </w:rPr>
      </w:pPr>
    </w:p>
    <w:p>
      <w:pPr>
        <w:spacing w:line="360" w:lineRule="auto"/>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br w:type="page"/>
      </w:r>
    </w:p>
    <w:p>
      <w:pPr>
        <w:pStyle w:val="3"/>
        <w:numPr>
          <w:ilvl w:val="0"/>
          <w:numId w:val="16"/>
        </w:numPr>
        <w:bidi w:val="0"/>
        <w:spacing w:line="360" w:lineRule="auto"/>
        <w:ind w:left="0" w:leftChars="0" w:firstLine="420" w:firstLineChars="0"/>
        <w:rPr>
          <w:rFonts w:hint="eastAsia" w:ascii="宋体" w:hAnsi="宋体" w:eastAsia="宋体" w:cs="宋体"/>
          <w:b/>
          <w:bCs w:val="0"/>
          <w:sz w:val="21"/>
          <w:szCs w:val="21"/>
          <w:lang w:val="en-US" w:eastAsia="zh-CN"/>
        </w:rPr>
      </w:pPr>
      <w:bookmarkStart w:id="236" w:name="_Toc2656"/>
      <w:bookmarkStart w:id="237" w:name="_Toc12431"/>
      <w:bookmarkStart w:id="238" w:name="_Toc29225"/>
      <w:bookmarkStart w:id="239" w:name="_Toc20568"/>
      <w:r>
        <w:rPr>
          <w:rFonts w:hint="eastAsia" w:ascii="宋体" w:hAnsi="宋体" w:eastAsia="宋体" w:cs="宋体"/>
          <w:b/>
          <w:bCs w:val="0"/>
          <w:sz w:val="21"/>
          <w:szCs w:val="21"/>
          <w:lang w:val="en-US" w:eastAsia="zh-CN"/>
        </w:rPr>
        <w:t>股权关系证明</w:t>
      </w:r>
      <w:bookmarkEnd w:id="236"/>
      <w:bookmarkEnd w:id="237"/>
      <w:bookmarkEnd w:id="238"/>
      <w:bookmarkEnd w:id="239"/>
    </w:p>
    <w:p>
      <w:pPr>
        <w:spacing w:line="360" w:lineRule="auto"/>
        <w:jc w:val="both"/>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(自行在市场监督局网站截图下载)</w:t>
      </w:r>
    </w:p>
    <w:p>
      <w:pPr>
        <w:spacing w:line="360" w:lineRule="auto"/>
        <w:rPr>
          <w:rFonts w:hint="eastAsia" w:ascii="宋体" w:hAnsi="宋体" w:eastAsia="宋体" w:cs="宋体"/>
          <w:sz w:val="21"/>
          <w:szCs w:val="21"/>
        </w:rPr>
      </w:pPr>
    </w:p>
    <w:p>
      <w:pPr>
        <w:spacing w:line="360" w:lineRule="auto"/>
        <w:ind w:firstLine="5751" w:firstLineChars="2700"/>
        <w:rPr>
          <w:rFonts w:hint="eastAsia" w:ascii="宋体" w:hAnsi="宋体" w:eastAsia="宋体" w:cs="宋体"/>
          <w:sz w:val="21"/>
          <w:szCs w:val="21"/>
        </w:rPr>
      </w:pPr>
      <w:r>
        <w:rPr>
          <w:rFonts w:hint="eastAsia" w:ascii="宋体" w:hAnsi="宋体" w:eastAsia="宋体" w:cs="宋体"/>
          <w:sz w:val="21"/>
          <w:szCs w:val="21"/>
          <w:highlight w:val="yellow"/>
          <w:lang w:val="en-US" w:eastAsia="zh-CN"/>
        </w:rPr>
        <w:t>XXXX</w:t>
      </w:r>
      <w:r>
        <w:rPr>
          <w:rFonts w:hint="eastAsia" w:ascii="宋体" w:hAnsi="宋体" w:eastAsia="宋体" w:cs="宋体"/>
          <w:sz w:val="21"/>
          <w:szCs w:val="21"/>
          <w:lang w:val="en-US" w:eastAsia="zh-CN"/>
        </w:rPr>
        <w:t>公司</w:t>
      </w:r>
      <w:r>
        <w:rPr>
          <w:rFonts w:hint="eastAsia" w:ascii="宋体" w:hAnsi="宋体" w:eastAsia="宋体" w:cs="宋体"/>
          <w:sz w:val="21"/>
          <w:szCs w:val="21"/>
          <w:lang w:eastAsia="zh-CN"/>
        </w:rPr>
        <w:t>（</w:t>
      </w:r>
      <w:r>
        <w:rPr>
          <w:rFonts w:hint="eastAsia" w:ascii="宋体" w:hAnsi="宋体" w:eastAsia="宋体" w:cs="宋体"/>
          <w:sz w:val="21"/>
          <w:szCs w:val="21"/>
        </w:rPr>
        <w:t xml:space="preserve">盖章） </w:t>
      </w:r>
    </w:p>
    <w:p>
      <w:pPr>
        <w:spacing w:line="360" w:lineRule="auto"/>
        <w:rPr>
          <w:rFonts w:hint="eastAsia" w:ascii="宋体" w:hAnsi="宋体" w:eastAsia="宋体" w:cs="宋体"/>
          <w:sz w:val="21"/>
          <w:szCs w:val="21"/>
        </w:rPr>
      </w:pPr>
      <w:r>
        <w:rPr>
          <w:rFonts w:hint="eastAsia" w:ascii="宋体" w:hAnsi="宋体" w:eastAsia="宋体" w:cs="宋体"/>
          <w:sz w:val="21"/>
          <w:szCs w:val="21"/>
        </w:rPr>
        <w:t xml:space="preserve">  </w:t>
      </w:r>
    </w:p>
    <w:p>
      <w:pPr>
        <w:spacing w:line="360" w:lineRule="auto"/>
        <w:rPr>
          <w:rFonts w:hint="eastAsia" w:ascii="宋体" w:hAnsi="宋体" w:eastAsia="宋体" w:cs="宋体"/>
          <w:szCs w:val="21"/>
          <w:lang w:val="en-US" w:eastAsia="zh-CN"/>
        </w:rPr>
      </w:pPr>
    </w:p>
    <w:p>
      <w:pPr>
        <w:spacing w:line="360" w:lineRule="auto"/>
        <w:rPr>
          <w:rFonts w:hint="eastAsia" w:ascii="宋体" w:hAnsi="宋体" w:eastAsia="宋体" w:cs="宋体"/>
          <w:b/>
          <w:bCs w:val="0"/>
          <w:sz w:val="21"/>
          <w:szCs w:val="21"/>
          <w:lang w:val="en-US" w:eastAsia="zh-CN"/>
        </w:rPr>
      </w:pPr>
    </w:p>
    <w:p>
      <w:pPr>
        <w:pStyle w:val="2"/>
        <w:spacing w:line="360" w:lineRule="auto"/>
        <w:rPr>
          <w:rFonts w:hint="eastAsia" w:ascii="宋体" w:hAnsi="宋体" w:eastAsia="宋体" w:cs="宋体"/>
          <w:sz w:val="21"/>
          <w:szCs w:val="21"/>
          <w:lang w:val="en-US" w:eastAsia="zh-CN"/>
        </w:rPr>
        <w:sectPr>
          <w:footerReference r:id="rId4" w:type="default"/>
          <w:pgSz w:w="11906" w:h="16838"/>
          <w:pgMar w:top="1440" w:right="1797" w:bottom="873" w:left="1797" w:header="851" w:footer="992" w:gutter="0"/>
          <w:cols w:space="425" w:num="1"/>
          <w:docGrid w:type="linesAndChars" w:linePitch="317" w:charSpace="640"/>
        </w:sectPr>
      </w:pPr>
    </w:p>
    <w:p>
      <w:pPr>
        <w:pStyle w:val="3"/>
        <w:numPr>
          <w:ilvl w:val="0"/>
          <w:numId w:val="16"/>
        </w:numPr>
        <w:bidi w:val="0"/>
        <w:spacing w:line="360" w:lineRule="auto"/>
        <w:ind w:left="0" w:leftChars="0" w:firstLine="420" w:firstLineChars="0"/>
        <w:rPr>
          <w:rFonts w:hint="eastAsia" w:ascii="宋体" w:hAnsi="宋体" w:eastAsia="宋体" w:cs="宋体"/>
          <w:sz w:val="21"/>
          <w:szCs w:val="21"/>
          <w:highlight w:val="none"/>
        </w:rPr>
      </w:pPr>
      <w:bookmarkStart w:id="240" w:name="_Toc1142"/>
      <w:bookmarkStart w:id="241" w:name="_Toc9379"/>
      <w:bookmarkStart w:id="242" w:name="_Toc20631"/>
      <w:bookmarkStart w:id="243" w:name="_Toc29718"/>
      <w:r>
        <w:rPr>
          <w:rFonts w:hint="eastAsia" w:ascii="宋体" w:hAnsi="宋体" w:eastAsia="宋体" w:cs="宋体"/>
          <w:b/>
          <w:bCs w:val="0"/>
          <w:sz w:val="21"/>
          <w:szCs w:val="21"/>
          <w:lang w:val="en-US" w:eastAsia="zh-CN"/>
        </w:rPr>
        <w:t>营业执照</w:t>
      </w:r>
      <w:bookmarkEnd w:id="240"/>
      <w:bookmarkEnd w:id="241"/>
      <w:bookmarkEnd w:id="242"/>
      <w:bookmarkEnd w:id="243"/>
    </w:p>
    <w:p>
      <w:pPr>
        <w:rPr>
          <w:rFonts w:hint="eastAsia" w:ascii="宋体" w:hAnsi="宋体" w:eastAsia="宋体" w:cs="宋体"/>
          <w:szCs w:val="21"/>
          <w:lang w:val="en-US" w:eastAsia="zh-CN"/>
        </w:rPr>
        <w:sectPr>
          <w:pgSz w:w="11906" w:h="16838"/>
          <w:pgMar w:top="1440" w:right="1797" w:bottom="1440" w:left="1797" w:header="851" w:footer="992" w:gutter="0"/>
          <w:cols w:space="425" w:num="1"/>
          <w:docGrid w:type="linesAndChars" w:linePitch="317" w:charSpace="640"/>
        </w:sectPr>
      </w:pPr>
      <w:r>
        <w:rPr>
          <w:rFonts w:hint="eastAsia" w:ascii="宋体" w:hAnsi="宋体" w:eastAsia="宋体" w:cs="宋体"/>
          <w:sz w:val="21"/>
          <w:szCs w:val="21"/>
          <w:lang w:eastAsia="zh-CN"/>
        </w:rPr>
        <w:t>（</w:t>
      </w:r>
      <w:r>
        <w:rPr>
          <w:rFonts w:hint="eastAsia" w:ascii="宋体" w:hAnsi="宋体" w:eastAsia="宋体" w:cs="宋体"/>
          <w:sz w:val="21"/>
          <w:szCs w:val="21"/>
        </w:rPr>
        <w:t>盖章）</w:t>
      </w:r>
    </w:p>
    <w:p>
      <w:pPr>
        <w:pStyle w:val="3"/>
        <w:numPr>
          <w:ilvl w:val="0"/>
          <w:numId w:val="16"/>
        </w:numPr>
        <w:bidi w:val="0"/>
        <w:spacing w:line="360" w:lineRule="auto"/>
        <w:ind w:left="0" w:leftChars="0" w:firstLine="420" w:firstLineChars="0"/>
        <w:rPr>
          <w:rFonts w:hint="eastAsia" w:ascii="宋体" w:hAnsi="宋体" w:eastAsia="宋体" w:cs="宋体"/>
          <w:b/>
          <w:bCs w:val="0"/>
          <w:sz w:val="21"/>
          <w:szCs w:val="21"/>
          <w:lang w:val="en-US" w:eastAsia="zh-CN"/>
        </w:rPr>
      </w:pPr>
      <w:bookmarkStart w:id="244" w:name="_Toc6219"/>
      <w:bookmarkStart w:id="245" w:name="_Toc12649"/>
      <w:bookmarkStart w:id="246" w:name="_Toc17321"/>
      <w:bookmarkStart w:id="247" w:name="_Toc28249"/>
      <w:r>
        <w:rPr>
          <w:rFonts w:hint="eastAsia" w:ascii="宋体" w:hAnsi="宋体" w:eastAsia="宋体" w:cs="宋体"/>
          <w:b/>
          <w:bCs w:val="0"/>
          <w:sz w:val="21"/>
          <w:szCs w:val="21"/>
          <w:lang w:val="en-US" w:eastAsia="zh-CN"/>
        </w:rPr>
        <w:t>诚信投标承诺书</w:t>
      </w:r>
      <w:bookmarkEnd w:id="244"/>
      <w:bookmarkEnd w:id="245"/>
      <w:bookmarkEnd w:id="246"/>
      <w:bookmarkEnd w:id="247"/>
    </w:p>
    <w:p>
      <w:pPr>
        <w:pStyle w:val="3"/>
        <w:numPr>
          <w:ilvl w:val="0"/>
          <w:numId w:val="0"/>
        </w:numPr>
        <w:bidi w:val="0"/>
        <w:spacing w:line="360" w:lineRule="auto"/>
        <w:ind w:left="420" w:leftChars="0"/>
        <w:jc w:val="both"/>
        <w:rPr>
          <w:rFonts w:hint="eastAsia" w:ascii="宋体" w:hAnsi="宋体" w:eastAsia="宋体" w:cs="宋体"/>
          <w:color w:val="auto"/>
          <w:sz w:val="21"/>
          <w:szCs w:val="21"/>
        </w:rPr>
      </w:pPr>
      <w:bookmarkStart w:id="248" w:name="_Toc29788"/>
      <w:bookmarkStart w:id="249" w:name="_Toc13345"/>
      <w:bookmarkStart w:id="250" w:name="_Toc31505"/>
      <w:bookmarkStart w:id="251" w:name="_Toc3467"/>
      <w:r>
        <w:rPr>
          <w:rFonts w:hint="eastAsia" w:ascii="宋体" w:hAnsi="宋体" w:eastAsia="宋体" w:cs="宋体"/>
          <w:color w:val="auto"/>
          <w:sz w:val="21"/>
          <w:szCs w:val="21"/>
        </w:rPr>
        <w:t>本企业郑重承诺：</w:t>
      </w:r>
      <w:bookmarkEnd w:id="248"/>
      <w:bookmarkEnd w:id="249"/>
      <w:bookmarkEnd w:id="250"/>
      <w:bookmarkEnd w:id="251"/>
    </w:p>
    <w:p>
      <w:pPr>
        <w:pageBreakBefore w:val="0"/>
        <w:numPr>
          <w:ilvl w:val="0"/>
          <w:numId w:val="19"/>
        </w:numPr>
        <w:kinsoku/>
        <w:wordWrap/>
        <w:overflowPunct/>
        <w:topLinePunct w:val="0"/>
        <w:bidi w:val="0"/>
        <w:spacing w:line="360" w:lineRule="auto"/>
        <w:ind w:left="0" w:leftChars="0" w:right="0" w:firstLine="0" w:firstLineChars="0"/>
        <w:rPr>
          <w:rFonts w:hint="eastAsia" w:ascii="宋体" w:hAnsi="宋体" w:eastAsia="宋体" w:cs="宋体"/>
          <w:sz w:val="21"/>
          <w:szCs w:val="21"/>
        </w:rPr>
      </w:pPr>
      <w:r>
        <w:rPr>
          <w:rFonts w:hint="eastAsia" w:ascii="宋体" w:hAnsi="宋体" w:eastAsia="宋体" w:cs="宋体"/>
          <w:color w:val="auto"/>
          <w:sz w:val="21"/>
          <w:szCs w:val="21"/>
        </w:rPr>
        <w:t>遵循公开、公平、公正和诚实信用的原则参加</w:t>
      </w:r>
      <w:r>
        <w:rPr>
          <w:rFonts w:hint="eastAsia" w:ascii="宋体" w:hAnsi="宋体" w:eastAsia="宋体" w:cs="宋体"/>
          <w:color w:val="auto"/>
          <w:sz w:val="21"/>
          <w:szCs w:val="21"/>
          <w:u w:val="none"/>
        </w:rPr>
        <w:t>深圳市设计之都运营发展有限公司</w:t>
      </w:r>
      <w:r>
        <w:rPr>
          <w:rFonts w:hint="eastAsia" w:ascii="宋体" w:hAnsi="宋体" w:eastAsia="宋体" w:cs="宋体"/>
          <w:color w:val="auto"/>
          <w:sz w:val="21"/>
          <w:szCs w:val="21"/>
          <w:u w:val="none"/>
          <w:lang w:val="en-US" w:eastAsia="zh-CN"/>
        </w:rPr>
        <w:t xml:space="preserve"> XXXXXXXX </w:t>
      </w:r>
      <w:r>
        <w:rPr>
          <w:rFonts w:hint="eastAsia" w:ascii="宋体" w:hAnsi="宋体" w:eastAsia="宋体" w:cs="宋体"/>
          <w:color w:val="auto"/>
          <w:sz w:val="21"/>
          <w:szCs w:val="21"/>
          <w:lang w:val="en-US" w:eastAsia="zh-CN"/>
        </w:rPr>
        <w:t>项目企业</w:t>
      </w:r>
      <w:r>
        <w:rPr>
          <w:rFonts w:hint="eastAsia" w:ascii="宋体" w:hAnsi="宋体" w:eastAsia="宋体" w:cs="宋体"/>
          <w:color w:val="auto"/>
          <w:sz w:val="21"/>
          <w:szCs w:val="21"/>
        </w:rPr>
        <w:t>投标；</w:t>
      </w:r>
    </w:p>
    <w:p>
      <w:pPr>
        <w:pageBreakBefore w:val="0"/>
        <w:numPr>
          <w:ilvl w:val="0"/>
          <w:numId w:val="19"/>
        </w:numPr>
        <w:kinsoku/>
        <w:wordWrap/>
        <w:overflowPunct/>
        <w:topLinePunct w:val="0"/>
        <w:bidi w:val="0"/>
        <w:spacing w:line="360" w:lineRule="auto"/>
        <w:ind w:left="0" w:leftChars="0" w:right="0" w:firstLine="0" w:firstLineChars="0"/>
        <w:rPr>
          <w:rFonts w:hint="eastAsia" w:ascii="宋体" w:hAnsi="宋体" w:eastAsia="宋体" w:cs="宋体"/>
          <w:sz w:val="21"/>
          <w:szCs w:val="21"/>
        </w:rPr>
      </w:pPr>
      <w:r>
        <w:rPr>
          <w:rFonts w:hint="eastAsia" w:ascii="宋体" w:hAnsi="宋体" w:eastAsia="宋体" w:cs="宋体"/>
          <w:color w:val="auto"/>
          <w:sz w:val="21"/>
          <w:szCs w:val="21"/>
        </w:rPr>
        <w:t>所提供的一切材料都是真实、有效、合法的；</w:t>
      </w:r>
    </w:p>
    <w:p>
      <w:pPr>
        <w:pageBreakBefore w:val="0"/>
        <w:numPr>
          <w:ilvl w:val="0"/>
          <w:numId w:val="19"/>
        </w:numPr>
        <w:kinsoku/>
        <w:wordWrap/>
        <w:overflowPunct/>
        <w:topLinePunct w:val="0"/>
        <w:bidi w:val="0"/>
        <w:spacing w:line="360" w:lineRule="auto"/>
        <w:ind w:left="0" w:leftChars="0" w:right="0" w:firstLine="0" w:firstLineChars="0"/>
        <w:rPr>
          <w:rFonts w:hint="eastAsia" w:ascii="宋体" w:hAnsi="宋体" w:eastAsia="宋体" w:cs="宋体"/>
          <w:sz w:val="21"/>
          <w:szCs w:val="21"/>
        </w:rPr>
      </w:pPr>
      <w:r>
        <w:rPr>
          <w:rFonts w:hint="eastAsia" w:ascii="宋体" w:hAnsi="宋体" w:eastAsia="宋体" w:cs="宋体"/>
          <w:color w:val="auto"/>
          <w:sz w:val="21"/>
          <w:szCs w:val="21"/>
        </w:rPr>
        <w:t>不与其他投标人相互串通投标报价，不排挤其他投标人的公平竞争，损害招标人 或其他投标人的合法权益；</w:t>
      </w:r>
    </w:p>
    <w:p>
      <w:pPr>
        <w:pageBreakBefore w:val="0"/>
        <w:numPr>
          <w:ilvl w:val="0"/>
          <w:numId w:val="19"/>
        </w:numPr>
        <w:kinsoku/>
        <w:wordWrap/>
        <w:overflowPunct/>
        <w:topLinePunct w:val="0"/>
        <w:bidi w:val="0"/>
        <w:spacing w:line="360" w:lineRule="auto"/>
        <w:ind w:left="0" w:leftChars="0" w:right="0" w:firstLine="0" w:firstLineChars="0"/>
        <w:rPr>
          <w:rFonts w:hint="eastAsia" w:ascii="宋体" w:hAnsi="宋体" w:eastAsia="宋体" w:cs="宋体"/>
          <w:sz w:val="21"/>
          <w:szCs w:val="21"/>
        </w:rPr>
      </w:pPr>
      <w:r>
        <w:rPr>
          <w:rFonts w:hint="eastAsia" w:ascii="宋体" w:hAnsi="宋体" w:eastAsia="宋体" w:cs="宋体"/>
          <w:color w:val="auto"/>
          <w:sz w:val="21"/>
          <w:szCs w:val="21"/>
        </w:rPr>
        <w:t>不与招标人串通投标，损害国家利益、社会公共利益或者他人的合法权益；</w:t>
      </w:r>
    </w:p>
    <w:p>
      <w:pPr>
        <w:pageBreakBefore w:val="0"/>
        <w:numPr>
          <w:ilvl w:val="0"/>
          <w:numId w:val="19"/>
        </w:numPr>
        <w:kinsoku/>
        <w:wordWrap/>
        <w:overflowPunct/>
        <w:topLinePunct w:val="0"/>
        <w:bidi w:val="0"/>
        <w:spacing w:line="360" w:lineRule="auto"/>
        <w:ind w:left="0" w:leftChars="0" w:right="0" w:firstLine="0" w:firstLineChars="0"/>
        <w:rPr>
          <w:rFonts w:hint="eastAsia" w:ascii="宋体" w:hAnsi="宋体" w:eastAsia="宋体" w:cs="宋体"/>
          <w:sz w:val="21"/>
          <w:szCs w:val="21"/>
        </w:rPr>
      </w:pPr>
      <w:r>
        <w:rPr>
          <w:rFonts w:hint="eastAsia" w:ascii="宋体" w:hAnsi="宋体" w:eastAsia="宋体" w:cs="宋体"/>
          <w:color w:val="auto"/>
          <w:sz w:val="21"/>
          <w:szCs w:val="21"/>
        </w:rPr>
        <w:t>不向招标人或者评标委员会成员行贿以牟取中标；</w:t>
      </w:r>
    </w:p>
    <w:p>
      <w:pPr>
        <w:pageBreakBefore w:val="0"/>
        <w:numPr>
          <w:ilvl w:val="0"/>
          <w:numId w:val="19"/>
        </w:numPr>
        <w:kinsoku/>
        <w:wordWrap/>
        <w:overflowPunct/>
        <w:topLinePunct w:val="0"/>
        <w:bidi w:val="0"/>
        <w:spacing w:line="360" w:lineRule="auto"/>
        <w:ind w:left="0" w:leftChars="0" w:right="0" w:firstLine="0" w:firstLineChars="0"/>
        <w:rPr>
          <w:rFonts w:hint="eastAsia" w:ascii="宋体" w:hAnsi="宋体" w:eastAsia="宋体" w:cs="宋体"/>
          <w:sz w:val="21"/>
          <w:szCs w:val="21"/>
        </w:rPr>
      </w:pPr>
      <w:r>
        <w:rPr>
          <w:rFonts w:hint="eastAsia" w:ascii="宋体" w:hAnsi="宋体" w:eastAsia="宋体" w:cs="宋体"/>
          <w:color w:val="auto"/>
          <w:sz w:val="21"/>
          <w:szCs w:val="21"/>
        </w:rPr>
        <w:t>不以他人名义投标或者以其他方式弄虚作假，骗取中标；</w:t>
      </w:r>
    </w:p>
    <w:p>
      <w:pPr>
        <w:pageBreakBefore w:val="0"/>
        <w:numPr>
          <w:ilvl w:val="0"/>
          <w:numId w:val="19"/>
        </w:numPr>
        <w:kinsoku/>
        <w:wordWrap/>
        <w:overflowPunct/>
        <w:topLinePunct w:val="0"/>
        <w:bidi w:val="0"/>
        <w:spacing w:line="360" w:lineRule="auto"/>
        <w:ind w:left="0" w:leftChars="0" w:right="0" w:firstLine="0" w:firstLineChars="0"/>
        <w:rPr>
          <w:rFonts w:hint="eastAsia" w:ascii="宋体" w:hAnsi="宋体" w:eastAsia="宋体" w:cs="宋体"/>
          <w:sz w:val="21"/>
          <w:szCs w:val="21"/>
        </w:rPr>
      </w:pPr>
      <w:r>
        <w:rPr>
          <w:rFonts w:hint="eastAsia" w:ascii="宋体" w:hAnsi="宋体" w:eastAsia="宋体" w:cs="宋体"/>
          <w:color w:val="auto"/>
          <w:sz w:val="21"/>
          <w:szCs w:val="21"/>
        </w:rPr>
        <w:t>不出卖资质，让他人挂靠投标；</w:t>
      </w:r>
    </w:p>
    <w:p>
      <w:pPr>
        <w:pageBreakBefore w:val="0"/>
        <w:numPr>
          <w:ilvl w:val="0"/>
          <w:numId w:val="19"/>
        </w:numPr>
        <w:kinsoku/>
        <w:wordWrap/>
        <w:overflowPunct/>
        <w:topLinePunct w:val="0"/>
        <w:bidi w:val="0"/>
        <w:spacing w:line="360" w:lineRule="auto"/>
        <w:ind w:left="0" w:leftChars="0" w:right="0" w:firstLine="0" w:firstLineChars="0"/>
        <w:rPr>
          <w:rFonts w:hint="eastAsia" w:ascii="宋体" w:hAnsi="宋体" w:eastAsia="宋体" w:cs="宋体"/>
          <w:sz w:val="21"/>
          <w:szCs w:val="21"/>
        </w:rPr>
      </w:pPr>
      <w:r>
        <w:rPr>
          <w:rFonts w:hint="eastAsia" w:ascii="宋体" w:hAnsi="宋体" w:eastAsia="宋体" w:cs="宋体"/>
          <w:color w:val="auto"/>
          <w:sz w:val="21"/>
          <w:szCs w:val="21"/>
        </w:rPr>
        <w:t>不恶意压低或抬高投标报价；</w:t>
      </w:r>
    </w:p>
    <w:p>
      <w:pPr>
        <w:pageBreakBefore w:val="0"/>
        <w:numPr>
          <w:ilvl w:val="0"/>
          <w:numId w:val="19"/>
        </w:numPr>
        <w:kinsoku/>
        <w:wordWrap/>
        <w:overflowPunct/>
        <w:topLinePunct w:val="0"/>
        <w:bidi w:val="0"/>
        <w:spacing w:line="360" w:lineRule="auto"/>
        <w:ind w:left="0" w:leftChars="0" w:right="0" w:firstLine="0" w:firstLineChars="0"/>
        <w:rPr>
          <w:rFonts w:hint="eastAsia" w:ascii="宋体" w:hAnsi="宋体" w:eastAsia="宋体" w:cs="宋体"/>
          <w:sz w:val="21"/>
          <w:szCs w:val="21"/>
        </w:rPr>
      </w:pPr>
      <w:r>
        <w:rPr>
          <w:rFonts w:hint="eastAsia" w:ascii="宋体" w:hAnsi="宋体" w:eastAsia="宋体" w:cs="宋体"/>
          <w:color w:val="auto"/>
          <w:sz w:val="21"/>
          <w:szCs w:val="21"/>
        </w:rPr>
        <w:t>不扰乱</w:t>
      </w:r>
      <w:r>
        <w:rPr>
          <w:rFonts w:hint="eastAsia" w:ascii="宋体" w:hAnsi="宋体" w:eastAsia="宋体" w:cs="宋体"/>
          <w:color w:val="auto"/>
          <w:sz w:val="21"/>
          <w:szCs w:val="21"/>
          <w:highlight w:val="yellow"/>
          <w:u w:val="single"/>
          <w:lang w:val="en-US" w:eastAsia="zh-CN"/>
        </w:rPr>
        <w:t xml:space="preserve">XXXXXXXX </w:t>
      </w:r>
      <w:r>
        <w:rPr>
          <w:rFonts w:hint="eastAsia" w:ascii="宋体" w:hAnsi="宋体" w:eastAsia="宋体" w:cs="宋体"/>
          <w:b/>
          <w:bCs/>
          <w:color w:val="auto"/>
          <w:sz w:val="21"/>
          <w:szCs w:val="21"/>
          <w:highlight w:val="yellow"/>
          <w:u w:val="single"/>
        </w:rPr>
        <w:t>项目</w:t>
      </w:r>
      <w:r>
        <w:rPr>
          <w:rFonts w:hint="eastAsia" w:ascii="宋体" w:hAnsi="宋体" w:eastAsia="宋体" w:cs="宋体"/>
          <w:color w:val="auto"/>
          <w:sz w:val="21"/>
          <w:szCs w:val="21"/>
        </w:rPr>
        <w:t>企业投标市场秩序；</w:t>
      </w:r>
    </w:p>
    <w:p>
      <w:pPr>
        <w:pageBreakBefore w:val="0"/>
        <w:numPr>
          <w:ilvl w:val="0"/>
          <w:numId w:val="19"/>
        </w:numPr>
        <w:kinsoku/>
        <w:wordWrap/>
        <w:overflowPunct/>
        <w:topLinePunct w:val="0"/>
        <w:bidi w:val="0"/>
        <w:spacing w:line="360" w:lineRule="auto"/>
        <w:ind w:left="0" w:leftChars="0" w:right="0" w:firstLine="0" w:firstLineChars="0"/>
        <w:rPr>
          <w:rFonts w:hint="eastAsia" w:ascii="宋体" w:hAnsi="宋体" w:eastAsia="宋体" w:cs="宋体"/>
          <w:sz w:val="21"/>
          <w:szCs w:val="21"/>
        </w:rPr>
      </w:pPr>
      <w:r>
        <w:rPr>
          <w:rFonts w:hint="eastAsia" w:ascii="宋体" w:hAnsi="宋体" w:eastAsia="宋体" w:cs="宋体"/>
          <w:color w:val="auto"/>
          <w:sz w:val="21"/>
          <w:szCs w:val="21"/>
        </w:rPr>
        <w:t>不在开标后进行虚假恶意投诉。</w:t>
      </w:r>
    </w:p>
    <w:p>
      <w:pPr>
        <w:pageBreakBefore w:val="0"/>
        <w:numPr>
          <w:ilvl w:val="0"/>
          <w:numId w:val="19"/>
        </w:numPr>
        <w:kinsoku/>
        <w:wordWrap/>
        <w:overflowPunct/>
        <w:topLinePunct w:val="0"/>
        <w:bidi w:val="0"/>
        <w:spacing w:line="360" w:lineRule="auto"/>
        <w:ind w:left="0" w:leftChars="0" w:right="0" w:firstLine="0" w:firstLineChars="0"/>
        <w:rPr>
          <w:rFonts w:hint="eastAsia" w:ascii="宋体" w:hAnsi="宋体" w:eastAsia="宋体" w:cs="宋体"/>
          <w:sz w:val="21"/>
          <w:szCs w:val="21"/>
        </w:rPr>
      </w:pPr>
      <w:r>
        <w:rPr>
          <w:rFonts w:hint="eastAsia" w:ascii="宋体" w:hAnsi="宋体" w:eastAsia="宋体" w:cs="宋体"/>
          <w:color w:val="auto"/>
          <w:sz w:val="21"/>
          <w:szCs w:val="21"/>
        </w:rPr>
        <w:t>无故不按时领取招标文件、不按时参加标前答疑、不按时递交投标文件，愿意接受取消本投标人在</w:t>
      </w:r>
      <w:r>
        <w:rPr>
          <w:rFonts w:hint="eastAsia" w:ascii="宋体" w:hAnsi="宋体" w:eastAsia="宋体" w:cs="宋体"/>
          <w:color w:val="auto"/>
          <w:sz w:val="21"/>
          <w:szCs w:val="21"/>
          <w:highlight w:val="yellow"/>
          <w:u w:val="single"/>
        </w:rPr>
        <w:t>XXXXXXXX</w:t>
      </w:r>
      <w:r>
        <w:rPr>
          <w:rFonts w:hint="eastAsia" w:ascii="宋体" w:hAnsi="宋体" w:eastAsia="宋体" w:cs="宋体"/>
          <w:b/>
          <w:color w:val="auto"/>
          <w:sz w:val="21"/>
          <w:szCs w:val="21"/>
          <w:highlight w:val="yellow"/>
          <w:u w:val="single"/>
          <w:lang w:eastAsia="zh-CN"/>
        </w:rPr>
        <w:t>项目</w:t>
      </w:r>
      <w:r>
        <w:rPr>
          <w:rFonts w:hint="eastAsia" w:ascii="宋体" w:hAnsi="宋体" w:eastAsia="宋体" w:cs="宋体"/>
          <w:color w:val="auto"/>
          <w:sz w:val="21"/>
          <w:szCs w:val="21"/>
        </w:rPr>
        <w:t>企业投标报名资格。</w:t>
      </w:r>
    </w:p>
    <w:p>
      <w:pPr>
        <w:pageBreakBefore w:val="0"/>
        <w:numPr>
          <w:ilvl w:val="0"/>
          <w:numId w:val="19"/>
        </w:numPr>
        <w:kinsoku/>
        <w:wordWrap/>
        <w:overflowPunct/>
        <w:topLinePunct w:val="0"/>
        <w:bidi w:val="0"/>
        <w:spacing w:line="360" w:lineRule="auto"/>
        <w:ind w:left="0" w:leftChars="0" w:right="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本公司若有违反本承诺内容的行为，愿意承担法律责任。</w:t>
      </w:r>
    </w:p>
    <w:p>
      <w:pPr>
        <w:pageBreakBefore w:val="0"/>
        <w:numPr>
          <w:ilvl w:val="-1"/>
          <w:numId w:val="0"/>
        </w:numPr>
        <w:kinsoku/>
        <w:wordWrap/>
        <w:overflowPunct/>
        <w:topLinePunct w:val="0"/>
        <w:bidi w:val="0"/>
        <w:spacing w:line="360" w:lineRule="auto"/>
        <w:ind w:left="0" w:leftChars="0" w:right="0" w:firstLine="0" w:firstLineChars="0"/>
        <w:rPr>
          <w:rFonts w:hint="eastAsia" w:ascii="宋体" w:hAnsi="宋体" w:eastAsia="宋体" w:cs="宋体"/>
          <w:color w:val="auto"/>
          <w:sz w:val="21"/>
          <w:szCs w:val="21"/>
        </w:rPr>
      </w:pPr>
    </w:p>
    <w:p>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投标人（盖章）</w:t>
      </w:r>
    </w:p>
    <w:p>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法定代表人（签字、盖章）</w:t>
      </w:r>
    </w:p>
    <w:p>
      <w:pPr>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日</w:t>
      </w:r>
    </w:p>
    <w:p>
      <w:pPr>
        <w:spacing w:line="360" w:lineRule="auto"/>
        <w:rPr>
          <w:rFonts w:hint="eastAsia" w:ascii="宋体" w:hAnsi="宋体" w:eastAsia="宋体" w:cs="宋体"/>
          <w:b/>
          <w:bCs w:val="0"/>
          <w:sz w:val="21"/>
          <w:szCs w:val="21"/>
          <w:lang w:val="en-US" w:eastAsia="zh-CN"/>
        </w:rPr>
      </w:pPr>
    </w:p>
    <w:p>
      <w:pPr>
        <w:pStyle w:val="3"/>
        <w:numPr>
          <w:ilvl w:val="0"/>
          <w:numId w:val="16"/>
        </w:numPr>
        <w:bidi w:val="0"/>
        <w:spacing w:line="360" w:lineRule="auto"/>
        <w:ind w:left="0" w:leftChars="0" w:firstLine="420" w:firstLineChars="0"/>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br w:type="page"/>
      </w:r>
      <w:bookmarkStart w:id="252" w:name="_Toc15331"/>
      <w:bookmarkStart w:id="253" w:name="_Toc447024908"/>
      <w:bookmarkStart w:id="254" w:name="_Toc446599941"/>
      <w:bookmarkStart w:id="255" w:name="_Toc2254"/>
      <w:bookmarkStart w:id="256" w:name="_Toc12270"/>
      <w:bookmarkStart w:id="257" w:name="_Toc2744"/>
      <w:r>
        <w:rPr>
          <w:rFonts w:hint="eastAsia" w:ascii="宋体" w:hAnsi="宋体" w:eastAsia="宋体" w:cs="宋体"/>
          <w:b/>
          <w:bCs w:val="0"/>
          <w:kern w:val="44"/>
          <w:sz w:val="21"/>
          <w:szCs w:val="21"/>
          <w:lang w:val="en-US" w:eastAsia="zh-CN" w:bidi="ar-SA"/>
        </w:rPr>
        <w:t>无重大违法记录声明</w:t>
      </w:r>
      <w:bookmarkEnd w:id="252"/>
      <w:bookmarkEnd w:id="253"/>
      <w:bookmarkEnd w:id="254"/>
      <w:bookmarkEnd w:id="255"/>
      <w:bookmarkEnd w:id="256"/>
      <w:bookmarkEnd w:id="257"/>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1"/>
          <w:szCs w:val="21"/>
        </w:rPr>
      </w:pPr>
      <w:r>
        <w:rPr>
          <w:rFonts w:hint="eastAsia" w:ascii="宋体" w:hAnsi="宋体" w:eastAsia="宋体" w:cs="宋体"/>
          <w:color w:val="000000"/>
          <w:kern w:val="0"/>
          <w:sz w:val="21"/>
          <w:szCs w:val="21"/>
          <w:highlight w:val="yellow"/>
          <w:u w:val="single"/>
          <w:lang w:val="en-US" w:eastAsia="zh-CN"/>
        </w:rPr>
        <w:t>XXXX</w:t>
      </w:r>
      <w:r>
        <w:rPr>
          <w:rFonts w:hint="eastAsia" w:ascii="宋体" w:hAnsi="宋体" w:eastAsia="宋体" w:cs="宋体"/>
          <w:color w:val="000000"/>
          <w:kern w:val="0"/>
          <w:sz w:val="21"/>
          <w:szCs w:val="21"/>
          <w:lang w:val="en-US" w:eastAsia="zh-CN"/>
        </w:rPr>
        <w:t>公司</w:t>
      </w:r>
      <w:r>
        <w:rPr>
          <w:rFonts w:hint="eastAsia" w:ascii="宋体" w:hAnsi="宋体" w:eastAsia="宋体" w:cs="宋体"/>
          <w:color w:val="000000"/>
          <w:kern w:val="0"/>
          <w:sz w:val="21"/>
          <w:szCs w:val="21"/>
        </w:rPr>
        <w:t>：</w:t>
      </w:r>
    </w:p>
    <w:p>
      <w:pPr>
        <w:keepNext w:val="0"/>
        <w:keepLines w:val="0"/>
        <w:pageBreakBefore w:val="0"/>
        <w:widowControl w:val="0"/>
        <w:kinsoku/>
        <w:wordWrap/>
        <w:overflowPunct/>
        <w:topLinePunct w:val="0"/>
        <w:autoSpaceDE/>
        <w:autoSpaceDN/>
        <w:bidi w:val="0"/>
        <w:adjustRightInd/>
        <w:snapToGrid/>
        <w:spacing w:line="360" w:lineRule="auto"/>
        <w:ind w:firstLine="426" w:firstLineChars="200"/>
        <w:textAlignment w:val="auto"/>
        <w:rPr>
          <w:rFonts w:hint="eastAsia" w:ascii="宋体" w:hAnsi="宋体" w:eastAsia="宋体" w:cs="宋体"/>
          <w:color w:val="000000"/>
          <w:sz w:val="21"/>
          <w:szCs w:val="21"/>
        </w:rPr>
      </w:pPr>
      <w:r>
        <w:rPr>
          <w:rFonts w:hint="eastAsia" w:ascii="宋体" w:hAnsi="宋体" w:eastAsia="宋体" w:cs="宋体"/>
          <w:color w:val="000000"/>
          <w:kern w:val="0"/>
          <w:sz w:val="21"/>
          <w:szCs w:val="21"/>
        </w:rPr>
        <w:t>我方在此声明，我方在参加本</w:t>
      </w:r>
      <w:r>
        <w:rPr>
          <w:rFonts w:hint="eastAsia" w:ascii="宋体" w:hAnsi="宋体" w:eastAsia="宋体" w:cs="宋体"/>
          <w:color w:val="000000"/>
          <w:kern w:val="0"/>
          <w:sz w:val="21"/>
          <w:szCs w:val="21"/>
          <w:shd w:val="clear" w:color="auto" w:fill="FFFFFF"/>
        </w:rPr>
        <w:t>次</w:t>
      </w:r>
      <w:r>
        <w:rPr>
          <w:rFonts w:hint="eastAsia" w:ascii="宋体" w:hAnsi="宋体" w:eastAsia="宋体" w:cs="宋体"/>
          <w:color w:val="000000"/>
          <w:kern w:val="0"/>
          <w:sz w:val="21"/>
          <w:szCs w:val="21"/>
          <w:highlight w:val="yellow"/>
          <w:u w:val="single"/>
          <w:shd w:val="clear" w:color="auto" w:fill="FFFFFF"/>
          <w:lang w:val="en-US" w:eastAsia="zh-CN"/>
        </w:rPr>
        <w:t>XXXXX</w:t>
      </w:r>
      <w:r>
        <w:rPr>
          <w:rFonts w:hint="eastAsia" w:ascii="宋体" w:hAnsi="宋体" w:eastAsia="宋体" w:cs="宋体"/>
          <w:color w:val="000000"/>
          <w:kern w:val="0"/>
          <w:sz w:val="21"/>
          <w:szCs w:val="21"/>
          <w:shd w:val="clear" w:color="auto" w:fill="FFFFFF"/>
          <w:lang w:val="en-US" w:eastAsia="zh-CN"/>
        </w:rPr>
        <w:t>项目</w:t>
      </w:r>
      <w:r>
        <w:rPr>
          <w:rFonts w:hint="eastAsia" w:ascii="宋体" w:hAnsi="宋体" w:eastAsia="宋体" w:cs="宋体"/>
          <w:color w:val="000000"/>
          <w:kern w:val="0"/>
          <w:sz w:val="21"/>
          <w:szCs w:val="21"/>
          <w:shd w:val="clear" w:color="auto" w:fill="FFFFFF"/>
        </w:rPr>
        <w:t>采购活动前</w:t>
      </w:r>
      <w:r>
        <w:rPr>
          <w:rFonts w:hint="eastAsia" w:ascii="宋体" w:hAnsi="宋体" w:eastAsia="宋体" w:cs="宋体"/>
          <w:color w:val="000000"/>
          <w:kern w:val="0"/>
          <w:sz w:val="21"/>
          <w:szCs w:val="21"/>
          <w:shd w:val="clear" w:color="auto" w:fill="FFFFFF"/>
          <w:lang w:val="en-US" w:eastAsia="zh-CN"/>
        </w:rPr>
        <w:t>五</w:t>
      </w:r>
      <w:r>
        <w:rPr>
          <w:rFonts w:hint="eastAsia" w:ascii="宋体" w:hAnsi="宋体" w:eastAsia="宋体" w:cs="宋体"/>
          <w:color w:val="000000"/>
          <w:kern w:val="0"/>
          <w:sz w:val="21"/>
          <w:szCs w:val="21"/>
          <w:shd w:val="clear" w:color="auto" w:fill="FFFFFF"/>
        </w:rPr>
        <w:t>年内，在经营活动中没有以下重大违法记录：</w:t>
      </w:r>
    </w:p>
    <w:p>
      <w:pPr>
        <w:keepNext w:val="0"/>
        <w:keepLines w:val="0"/>
        <w:pageBreakBefore w:val="0"/>
        <w:widowControl w:val="0"/>
        <w:kinsoku/>
        <w:wordWrap/>
        <w:overflowPunct/>
        <w:topLinePunct w:val="0"/>
        <w:autoSpaceDE/>
        <w:autoSpaceDN/>
        <w:bidi w:val="0"/>
        <w:adjustRightInd/>
        <w:snapToGrid/>
        <w:spacing w:line="360" w:lineRule="auto"/>
        <w:ind w:firstLine="426" w:firstLineChars="200"/>
        <w:textAlignment w:val="auto"/>
        <w:rPr>
          <w:rFonts w:hint="eastAsia" w:ascii="宋体" w:hAnsi="宋体" w:eastAsia="宋体" w:cs="宋体"/>
          <w:color w:val="000000"/>
          <w:sz w:val="21"/>
          <w:szCs w:val="21"/>
        </w:rPr>
      </w:pPr>
      <w:r>
        <w:rPr>
          <w:rFonts w:hint="eastAsia" w:ascii="宋体" w:hAnsi="宋体" w:eastAsia="宋体" w:cs="宋体"/>
          <w:color w:val="000000"/>
          <w:kern w:val="0"/>
          <w:sz w:val="21"/>
          <w:szCs w:val="21"/>
          <w:shd w:val="clear" w:color="auto" w:fill="FFFFFF"/>
        </w:rPr>
        <w:t>1.我方因违法经营被追究过刑事责任；</w:t>
      </w:r>
    </w:p>
    <w:p>
      <w:pPr>
        <w:keepNext w:val="0"/>
        <w:keepLines w:val="0"/>
        <w:pageBreakBefore w:val="0"/>
        <w:widowControl w:val="0"/>
        <w:kinsoku/>
        <w:wordWrap/>
        <w:overflowPunct/>
        <w:topLinePunct w:val="0"/>
        <w:autoSpaceDE/>
        <w:autoSpaceDN/>
        <w:bidi w:val="0"/>
        <w:adjustRightInd/>
        <w:snapToGrid/>
        <w:spacing w:line="360" w:lineRule="auto"/>
        <w:ind w:firstLine="426" w:firstLineChars="200"/>
        <w:textAlignment w:val="auto"/>
        <w:rPr>
          <w:rFonts w:hint="eastAsia" w:ascii="宋体" w:hAnsi="宋体" w:eastAsia="宋体" w:cs="宋体"/>
          <w:color w:val="000000"/>
          <w:sz w:val="21"/>
          <w:szCs w:val="21"/>
        </w:rPr>
      </w:pPr>
      <w:r>
        <w:rPr>
          <w:rFonts w:hint="eastAsia" w:ascii="宋体" w:hAnsi="宋体" w:eastAsia="宋体" w:cs="宋体"/>
          <w:color w:val="000000"/>
          <w:kern w:val="0"/>
          <w:sz w:val="21"/>
          <w:szCs w:val="21"/>
          <w:shd w:val="clear" w:color="auto" w:fill="FFFFFF"/>
        </w:rPr>
        <w:t>2.我方因违法经营被责令停产停业、吊销许可证或者执照；</w:t>
      </w:r>
    </w:p>
    <w:p>
      <w:pPr>
        <w:keepNext w:val="0"/>
        <w:keepLines w:val="0"/>
        <w:pageBreakBefore w:val="0"/>
        <w:widowControl w:val="0"/>
        <w:kinsoku/>
        <w:wordWrap/>
        <w:overflowPunct/>
        <w:topLinePunct w:val="0"/>
        <w:autoSpaceDE/>
        <w:autoSpaceDN/>
        <w:bidi w:val="0"/>
        <w:adjustRightInd/>
        <w:snapToGrid/>
        <w:spacing w:line="360" w:lineRule="auto"/>
        <w:ind w:firstLine="426" w:firstLineChars="200"/>
        <w:textAlignment w:val="auto"/>
        <w:rPr>
          <w:rFonts w:hint="eastAsia" w:ascii="宋体" w:hAnsi="宋体" w:eastAsia="宋体" w:cs="宋体"/>
          <w:color w:val="000000"/>
          <w:sz w:val="21"/>
          <w:szCs w:val="21"/>
        </w:rPr>
      </w:pPr>
      <w:r>
        <w:rPr>
          <w:rFonts w:hint="eastAsia" w:ascii="宋体" w:hAnsi="宋体" w:eastAsia="宋体" w:cs="宋体"/>
          <w:color w:val="000000"/>
          <w:kern w:val="0"/>
          <w:sz w:val="21"/>
          <w:szCs w:val="21"/>
          <w:shd w:val="clear" w:color="auto" w:fill="FFFFFF"/>
        </w:rPr>
        <w:t>3.我方因违法经营被处以较大数额罚款等行政处罚。</w:t>
      </w:r>
    </w:p>
    <w:p>
      <w:pPr>
        <w:keepNext w:val="0"/>
        <w:keepLines w:val="0"/>
        <w:pageBreakBefore w:val="0"/>
        <w:widowControl w:val="0"/>
        <w:kinsoku/>
        <w:wordWrap/>
        <w:overflowPunct/>
        <w:topLinePunct w:val="0"/>
        <w:autoSpaceDE/>
        <w:autoSpaceDN/>
        <w:bidi w:val="0"/>
        <w:adjustRightInd/>
        <w:snapToGrid/>
        <w:spacing w:line="360" w:lineRule="auto"/>
        <w:ind w:firstLine="426" w:firstLineChars="200"/>
        <w:textAlignment w:val="auto"/>
        <w:rPr>
          <w:rFonts w:hint="eastAsia" w:ascii="宋体" w:hAnsi="宋体" w:eastAsia="宋体" w:cs="宋体"/>
          <w:color w:val="000000"/>
          <w:sz w:val="21"/>
          <w:szCs w:val="21"/>
        </w:rPr>
      </w:pPr>
      <w:r>
        <w:rPr>
          <w:rFonts w:hint="eastAsia" w:ascii="宋体" w:hAnsi="宋体" w:eastAsia="宋体" w:cs="宋体"/>
          <w:color w:val="000000"/>
          <w:kern w:val="0"/>
          <w:sz w:val="21"/>
          <w:szCs w:val="21"/>
          <w:shd w:val="clear" w:color="auto" w:fill="FFFFFF"/>
        </w:rPr>
        <w:t>我方保证上述信息的完整、客观、真实、准确，并愿意承担我方因提供虚假材料谋骗取中标、成交所引起的一切法律后果。</w:t>
      </w:r>
    </w:p>
    <w:p>
      <w:pPr>
        <w:keepNext w:val="0"/>
        <w:keepLines w:val="0"/>
        <w:pageBreakBefore w:val="0"/>
        <w:widowControl w:val="0"/>
        <w:kinsoku/>
        <w:wordWrap/>
        <w:overflowPunct/>
        <w:topLinePunct w:val="0"/>
        <w:autoSpaceDE/>
        <w:autoSpaceDN/>
        <w:bidi w:val="0"/>
        <w:adjustRightInd/>
        <w:snapToGrid/>
        <w:spacing w:line="360" w:lineRule="auto"/>
        <w:ind w:firstLine="426" w:firstLineChars="200"/>
        <w:textAlignment w:val="auto"/>
        <w:rPr>
          <w:rFonts w:hint="eastAsia" w:ascii="宋体" w:hAnsi="宋体" w:eastAsia="宋体" w:cs="宋体"/>
          <w:color w:val="000000"/>
          <w:sz w:val="21"/>
          <w:szCs w:val="21"/>
        </w:rPr>
      </w:pPr>
      <w:r>
        <w:rPr>
          <w:rFonts w:hint="eastAsia" w:ascii="宋体" w:hAnsi="宋体" w:eastAsia="宋体" w:cs="宋体"/>
          <w:color w:val="000000"/>
          <w:kern w:val="0"/>
          <w:sz w:val="21"/>
          <w:szCs w:val="21"/>
          <w:shd w:val="clear" w:color="auto" w:fill="FFFFFF"/>
        </w:rPr>
        <w:t>特此声明！</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1"/>
          <w:szCs w:val="21"/>
        </w:rPr>
      </w:pPr>
      <w:r>
        <w:rPr>
          <w:rFonts w:hint="eastAsia" w:ascii="宋体" w:hAnsi="宋体" w:eastAsia="宋体" w:cs="宋体"/>
          <w:color w:val="000000"/>
          <w:kern w:val="0"/>
          <w:sz w:val="21"/>
          <w:szCs w:val="21"/>
          <w:shd w:val="clear" w:color="auto" w:fill="FFFFFF"/>
        </w:rPr>
        <w:t>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1"/>
          <w:szCs w:val="21"/>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sz w:val="21"/>
          <w:szCs w:val="21"/>
        </w:rPr>
      </w:pPr>
      <w:r>
        <w:rPr>
          <w:rFonts w:hint="eastAsia" w:ascii="宋体" w:hAnsi="宋体" w:eastAsia="宋体" w:cs="宋体"/>
          <w:color w:val="000000"/>
          <w:kern w:val="0"/>
          <w:sz w:val="21"/>
          <w:szCs w:val="21"/>
          <w:shd w:val="clear" w:color="auto" w:fill="FFFFFF"/>
        </w:rPr>
        <w:t> </w:t>
      </w:r>
    </w:p>
    <w:p>
      <w:pPr>
        <w:keepNext w:val="0"/>
        <w:keepLines w:val="0"/>
        <w:pageBreakBefore w:val="0"/>
        <w:widowControl w:val="0"/>
        <w:kinsoku/>
        <w:wordWrap/>
        <w:overflowPunct/>
        <w:topLinePunct w:val="0"/>
        <w:autoSpaceDE/>
        <w:autoSpaceDN/>
        <w:bidi w:val="0"/>
        <w:adjustRightInd/>
        <w:snapToGrid/>
        <w:spacing w:line="360" w:lineRule="auto"/>
        <w:jc w:val="right"/>
        <w:textAlignment w:val="auto"/>
        <w:rPr>
          <w:rFonts w:hint="eastAsia" w:ascii="宋体" w:hAnsi="宋体" w:eastAsia="宋体" w:cs="宋体"/>
          <w:color w:val="000000"/>
          <w:sz w:val="21"/>
          <w:szCs w:val="21"/>
        </w:rPr>
      </w:pPr>
      <w:r>
        <w:rPr>
          <w:rFonts w:hint="eastAsia" w:ascii="宋体" w:hAnsi="宋体" w:eastAsia="宋体" w:cs="宋体"/>
          <w:color w:val="000000"/>
          <w:kern w:val="0"/>
          <w:sz w:val="21"/>
          <w:szCs w:val="21"/>
          <w:shd w:val="clear" w:color="auto" w:fill="FFFFFF"/>
        </w:rPr>
        <w:t>供应商（供应商）：</w:t>
      </w:r>
      <w:r>
        <w:rPr>
          <w:rFonts w:hint="eastAsia" w:ascii="宋体" w:hAnsi="宋体" w:eastAsia="宋体" w:cs="宋体"/>
          <w:color w:val="000000"/>
          <w:kern w:val="0"/>
          <w:sz w:val="21"/>
          <w:szCs w:val="21"/>
          <w:u w:val="single"/>
          <w:shd w:val="clear" w:color="auto" w:fill="FFFFFF"/>
          <w:lang w:val="en-US" w:eastAsia="zh-CN"/>
        </w:rPr>
        <w:t xml:space="preserve">            </w:t>
      </w:r>
      <w:r>
        <w:rPr>
          <w:rFonts w:hint="eastAsia" w:ascii="宋体" w:hAnsi="宋体" w:eastAsia="宋体" w:cs="宋体"/>
          <w:color w:val="000000"/>
          <w:kern w:val="0"/>
          <w:sz w:val="21"/>
          <w:szCs w:val="21"/>
          <w:shd w:val="clear" w:color="auto" w:fill="FFFFFF"/>
        </w:rPr>
        <w:t>（盖单位章）</w:t>
      </w:r>
    </w:p>
    <w:p>
      <w:pPr>
        <w:keepNext w:val="0"/>
        <w:keepLines w:val="0"/>
        <w:pageBreakBefore w:val="0"/>
        <w:widowControl w:val="0"/>
        <w:kinsoku/>
        <w:wordWrap/>
        <w:overflowPunct/>
        <w:topLinePunct w:val="0"/>
        <w:autoSpaceDE/>
        <w:autoSpaceDN/>
        <w:bidi w:val="0"/>
        <w:adjustRightInd/>
        <w:snapToGrid/>
        <w:spacing w:line="360" w:lineRule="auto"/>
        <w:jc w:val="right"/>
        <w:textAlignment w:val="auto"/>
        <w:rPr>
          <w:rFonts w:hint="eastAsia" w:ascii="宋体" w:hAnsi="宋体" w:eastAsia="宋体" w:cs="宋体"/>
          <w:color w:val="000000"/>
          <w:sz w:val="21"/>
          <w:szCs w:val="21"/>
        </w:rPr>
      </w:pPr>
      <w:r>
        <w:rPr>
          <w:rFonts w:hint="eastAsia" w:ascii="宋体" w:hAnsi="宋体" w:eastAsia="宋体" w:cs="宋体"/>
          <w:color w:val="000000"/>
          <w:kern w:val="0"/>
          <w:sz w:val="21"/>
          <w:szCs w:val="21"/>
          <w:shd w:val="clear" w:color="auto" w:fill="FFFFFF"/>
        </w:rPr>
        <w:t>法定代表人或其委托代理人：</w:t>
      </w:r>
      <w:r>
        <w:rPr>
          <w:rFonts w:hint="eastAsia" w:ascii="宋体" w:hAnsi="宋体" w:eastAsia="宋体" w:cs="宋体"/>
          <w:color w:val="000000"/>
          <w:kern w:val="0"/>
          <w:sz w:val="21"/>
          <w:szCs w:val="21"/>
          <w:u w:val="single"/>
          <w:shd w:val="clear" w:color="auto" w:fill="FFFFFF"/>
          <w:lang w:val="en-US" w:eastAsia="zh-CN"/>
        </w:rPr>
        <w:t xml:space="preserve">        </w:t>
      </w:r>
      <w:r>
        <w:rPr>
          <w:rFonts w:hint="eastAsia" w:ascii="宋体" w:hAnsi="宋体" w:eastAsia="宋体" w:cs="宋体"/>
          <w:color w:val="000000"/>
          <w:kern w:val="0"/>
          <w:sz w:val="21"/>
          <w:szCs w:val="21"/>
          <w:shd w:val="clear" w:color="auto" w:fill="FFFFFF"/>
        </w:rPr>
        <w:t>（签字）</w:t>
      </w:r>
    </w:p>
    <w:p>
      <w:pPr>
        <w:keepNext w:val="0"/>
        <w:keepLines w:val="0"/>
        <w:pageBreakBefore w:val="0"/>
        <w:widowControl w:val="0"/>
        <w:kinsoku/>
        <w:wordWrap/>
        <w:overflowPunct/>
        <w:topLinePunct w:val="0"/>
        <w:autoSpaceDE/>
        <w:autoSpaceDN/>
        <w:bidi w:val="0"/>
        <w:adjustRightInd/>
        <w:snapToGrid/>
        <w:spacing w:line="360" w:lineRule="auto"/>
        <w:jc w:val="right"/>
        <w:textAlignment w:val="auto"/>
        <w:rPr>
          <w:rFonts w:hint="eastAsia" w:ascii="宋体" w:hAnsi="宋体" w:eastAsia="宋体" w:cs="宋体"/>
          <w:color w:val="000000"/>
          <w:sz w:val="21"/>
          <w:szCs w:val="21"/>
        </w:rPr>
      </w:pPr>
      <w:r>
        <w:rPr>
          <w:rFonts w:hint="eastAsia" w:ascii="宋体" w:hAnsi="宋体" w:eastAsia="宋体" w:cs="宋体"/>
          <w:color w:val="000000"/>
          <w:kern w:val="0"/>
          <w:sz w:val="21"/>
          <w:szCs w:val="21"/>
          <w:u w:val="single"/>
          <w:shd w:val="clear" w:color="auto" w:fill="FFFFFF"/>
          <w:lang w:val="en-US" w:eastAsia="zh-CN"/>
        </w:rPr>
        <w:t xml:space="preserve">       </w:t>
      </w:r>
      <w:r>
        <w:rPr>
          <w:rFonts w:hint="eastAsia" w:ascii="宋体" w:hAnsi="宋体" w:eastAsia="宋体" w:cs="宋体"/>
          <w:color w:val="000000"/>
          <w:kern w:val="0"/>
          <w:sz w:val="21"/>
          <w:szCs w:val="21"/>
          <w:shd w:val="clear" w:color="auto" w:fill="FFFFFF"/>
        </w:rPr>
        <w:t>年</w:t>
      </w:r>
      <w:r>
        <w:rPr>
          <w:rFonts w:hint="eastAsia" w:ascii="宋体" w:hAnsi="宋体" w:eastAsia="宋体" w:cs="宋体"/>
          <w:color w:val="000000"/>
          <w:kern w:val="0"/>
          <w:sz w:val="21"/>
          <w:szCs w:val="21"/>
          <w:u w:val="single"/>
          <w:shd w:val="clear" w:color="auto" w:fill="FFFFFF"/>
          <w:lang w:val="en-US" w:eastAsia="zh-CN"/>
        </w:rPr>
        <w:t xml:space="preserve">    </w:t>
      </w:r>
      <w:r>
        <w:rPr>
          <w:rFonts w:hint="eastAsia" w:ascii="宋体" w:hAnsi="宋体" w:eastAsia="宋体" w:cs="宋体"/>
          <w:color w:val="000000"/>
          <w:kern w:val="0"/>
          <w:sz w:val="21"/>
          <w:szCs w:val="21"/>
          <w:shd w:val="clear" w:color="auto" w:fill="FFFFFF"/>
        </w:rPr>
        <w:t>月</w:t>
      </w:r>
      <w:r>
        <w:rPr>
          <w:rFonts w:hint="eastAsia" w:ascii="宋体" w:hAnsi="宋体" w:eastAsia="宋体" w:cs="宋体"/>
          <w:color w:val="000000"/>
          <w:kern w:val="0"/>
          <w:sz w:val="21"/>
          <w:szCs w:val="21"/>
          <w:u w:val="single"/>
          <w:shd w:val="clear" w:color="auto" w:fill="FFFFFF"/>
          <w:lang w:val="en-US" w:eastAsia="zh-CN"/>
        </w:rPr>
        <w:t xml:space="preserve">    </w:t>
      </w:r>
      <w:r>
        <w:rPr>
          <w:rFonts w:hint="eastAsia" w:ascii="宋体" w:hAnsi="宋体" w:eastAsia="宋体" w:cs="宋体"/>
          <w:color w:val="000000"/>
          <w:kern w:val="0"/>
          <w:sz w:val="21"/>
          <w:szCs w:val="21"/>
          <w:shd w:val="clear" w:color="auto" w:fill="FFFFFF"/>
        </w:rPr>
        <w:t>日</w:t>
      </w:r>
      <w:bookmarkStart w:id="258" w:name="_Toc25994"/>
      <w:bookmarkEnd w:id="258"/>
      <w:bookmarkStart w:id="259" w:name="_Toc27204"/>
      <w:bookmarkEnd w:id="259"/>
    </w:p>
    <w:p>
      <w:pPr>
        <w:spacing w:line="360" w:lineRule="auto"/>
        <w:rPr>
          <w:rFonts w:hint="eastAsia" w:ascii="宋体" w:hAnsi="宋体" w:eastAsia="宋体" w:cs="宋体"/>
          <w:b/>
          <w:bCs w:val="0"/>
          <w:kern w:val="44"/>
          <w:sz w:val="21"/>
          <w:szCs w:val="21"/>
          <w:lang w:val="en-US" w:eastAsia="zh-CN" w:bidi="ar-SA"/>
        </w:rPr>
      </w:pPr>
      <w:r>
        <w:rPr>
          <w:rFonts w:hint="eastAsia" w:ascii="宋体" w:hAnsi="宋体" w:eastAsia="宋体" w:cs="宋体"/>
          <w:b/>
          <w:bCs w:val="0"/>
          <w:kern w:val="44"/>
          <w:sz w:val="21"/>
          <w:szCs w:val="21"/>
          <w:lang w:val="en-US" w:eastAsia="zh-CN" w:bidi="ar-SA"/>
        </w:rPr>
        <w:br w:type="page"/>
      </w:r>
    </w:p>
    <w:p>
      <w:pPr>
        <w:pStyle w:val="3"/>
        <w:numPr>
          <w:ilvl w:val="0"/>
          <w:numId w:val="16"/>
        </w:numPr>
        <w:bidi w:val="0"/>
        <w:spacing w:line="360" w:lineRule="auto"/>
        <w:ind w:left="0" w:leftChars="0" w:firstLine="420" w:firstLineChars="0"/>
        <w:rPr>
          <w:rFonts w:hint="eastAsia" w:ascii="宋体" w:hAnsi="宋体" w:eastAsia="宋体" w:cs="宋体"/>
          <w:b/>
          <w:bCs w:val="0"/>
          <w:kern w:val="44"/>
          <w:sz w:val="21"/>
          <w:szCs w:val="21"/>
          <w:lang w:val="en-US" w:eastAsia="zh-CN" w:bidi="ar-SA"/>
        </w:rPr>
      </w:pPr>
      <w:bookmarkStart w:id="260" w:name="_Toc3997"/>
      <w:bookmarkStart w:id="261" w:name="_Toc18346"/>
      <w:bookmarkStart w:id="262" w:name="_Toc6473"/>
      <w:bookmarkStart w:id="263" w:name="_Toc13524"/>
      <w:r>
        <w:rPr>
          <w:rFonts w:hint="eastAsia" w:ascii="宋体" w:hAnsi="宋体" w:eastAsia="宋体" w:cs="宋体"/>
          <w:b/>
          <w:bCs w:val="0"/>
          <w:kern w:val="44"/>
          <w:sz w:val="21"/>
          <w:szCs w:val="21"/>
          <w:lang w:val="en-US" w:eastAsia="zh-CN" w:bidi="ar-SA"/>
        </w:rPr>
        <w:t>工期承诺</w:t>
      </w:r>
      <w:bookmarkEnd w:id="260"/>
      <w:bookmarkEnd w:id="261"/>
      <w:bookmarkEnd w:id="262"/>
      <w:bookmarkEnd w:id="263"/>
    </w:p>
    <w:p>
      <w:pPr>
        <w:spacing w:line="360" w:lineRule="auto"/>
        <w:ind w:firstLine="570"/>
        <w:rPr>
          <w:rFonts w:hint="eastAsia" w:ascii="宋体" w:hAnsi="宋体" w:eastAsia="宋体" w:cs="宋体"/>
          <w:sz w:val="21"/>
          <w:szCs w:val="21"/>
        </w:rPr>
      </w:pPr>
      <w:r>
        <w:rPr>
          <w:rFonts w:hint="eastAsia" w:ascii="宋体" w:hAnsi="宋体" w:eastAsia="宋体" w:cs="宋体"/>
          <w:sz w:val="21"/>
          <w:szCs w:val="21"/>
        </w:rPr>
        <w:t>为确保本单位所承接的</w:t>
      </w:r>
      <w:r>
        <w:rPr>
          <w:rFonts w:hint="eastAsia" w:ascii="宋体" w:hAnsi="宋体" w:eastAsia="宋体" w:cs="宋体"/>
          <w:sz w:val="21"/>
          <w:szCs w:val="21"/>
          <w:highlight w:val="yellow"/>
          <w:u w:val="single"/>
          <w:lang w:val="en-US" w:eastAsia="zh-CN"/>
        </w:rPr>
        <w:t>XXX</w:t>
      </w:r>
      <w:r>
        <w:rPr>
          <w:rFonts w:hint="eastAsia" w:ascii="宋体" w:hAnsi="宋体" w:eastAsia="宋体" w:cs="宋体"/>
          <w:sz w:val="21"/>
          <w:szCs w:val="21"/>
        </w:rPr>
        <w:t>项目保质保量的顺利进行，特作以下承诺:</w:t>
      </w:r>
    </w:p>
    <w:p>
      <w:pPr>
        <w:numPr>
          <w:ilvl w:val="0"/>
          <w:numId w:val="20"/>
        </w:numPr>
        <w:spacing w:line="360" w:lineRule="auto"/>
        <w:ind w:firstLine="570"/>
        <w:rPr>
          <w:rFonts w:hint="eastAsia" w:ascii="宋体" w:hAnsi="宋体" w:eastAsia="宋体" w:cs="宋体"/>
          <w:sz w:val="21"/>
          <w:szCs w:val="21"/>
        </w:rPr>
      </w:pPr>
      <w:r>
        <w:rPr>
          <w:rFonts w:hint="eastAsia" w:ascii="宋体" w:hAnsi="宋体" w:eastAsia="宋体" w:cs="宋体"/>
          <w:sz w:val="21"/>
          <w:szCs w:val="21"/>
        </w:rPr>
        <w:t>质量保证</w:t>
      </w:r>
      <w:r>
        <w:rPr>
          <w:rFonts w:hint="eastAsia" w:ascii="宋体" w:hAnsi="宋体" w:eastAsia="宋体" w:cs="宋体"/>
          <w:sz w:val="21"/>
          <w:szCs w:val="21"/>
          <w:lang w:eastAsia="zh-CN"/>
        </w:rPr>
        <w:t>：</w:t>
      </w:r>
    </w:p>
    <w:p>
      <w:pPr>
        <w:numPr>
          <w:ilvl w:val="0"/>
          <w:numId w:val="21"/>
        </w:numPr>
        <w:spacing w:line="360" w:lineRule="auto"/>
        <w:ind w:firstLine="426" w:firstLineChars="200"/>
        <w:rPr>
          <w:rFonts w:hint="eastAsia" w:ascii="宋体" w:hAnsi="宋体" w:eastAsia="宋体" w:cs="宋体"/>
          <w:sz w:val="21"/>
          <w:szCs w:val="21"/>
        </w:rPr>
      </w:pPr>
      <w:r>
        <w:rPr>
          <w:rFonts w:hint="eastAsia" w:ascii="宋体" w:hAnsi="宋体" w:eastAsia="宋体" w:cs="宋体"/>
          <w:sz w:val="21"/>
          <w:szCs w:val="21"/>
        </w:rPr>
        <w:t>严格执行项目的要求及有关通知规定</w:t>
      </w:r>
      <w:r>
        <w:rPr>
          <w:rFonts w:hint="eastAsia" w:ascii="宋体" w:hAnsi="宋体" w:eastAsia="宋体" w:cs="宋体"/>
          <w:sz w:val="21"/>
          <w:szCs w:val="21"/>
          <w:lang w:val="en-US" w:eastAsia="zh-CN"/>
        </w:rPr>
        <w:t>和</w:t>
      </w:r>
      <w:r>
        <w:rPr>
          <w:rFonts w:hint="eastAsia" w:ascii="宋体" w:hAnsi="宋体" w:eastAsia="宋体" w:cs="宋体"/>
          <w:sz w:val="21"/>
          <w:szCs w:val="21"/>
        </w:rPr>
        <w:t>规范标准。建立健全项目组织机构与质量管理体系,明确各岗位职责,保证项目开发质量,保证项目开发的顺利进行</w:t>
      </w:r>
    </w:p>
    <w:p>
      <w:pPr>
        <w:numPr>
          <w:ilvl w:val="0"/>
          <w:numId w:val="21"/>
        </w:numPr>
        <w:spacing w:line="360" w:lineRule="auto"/>
        <w:ind w:firstLine="426" w:firstLineChars="200"/>
        <w:rPr>
          <w:rFonts w:hint="eastAsia" w:ascii="宋体" w:hAnsi="宋体" w:eastAsia="宋体" w:cs="宋体"/>
          <w:sz w:val="21"/>
          <w:szCs w:val="21"/>
        </w:rPr>
      </w:pPr>
      <w:r>
        <w:rPr>
          <w:rFonts w:hint="eastAsia" w:ascii="宋体" w:hAnsi="宋体" w:eastAsia="宋体" w:cs="宋体"/>
          <w:sz w:val="21"/>
          <w:szCs w:val="21"/>
        </w:rPr>
        <w:t xml:space="preserve">落实项目管理人员岗位责任制，项目经理、各资源包开发负责人对项目质 量负全面责任，负责建立健全项目保证体系，定期检查、协调，召开项目评审、总结会，严格执行奖惩制度。 </w:t>
      </w:r>
    </w:p>
    <w:p>
      <w:pPr>
        <w:numPr>
          <w:ilvl w:val="0"/>
          <w:numId w:val="21"/>
        </w:numPr>
        <w:spacing w:line="360" w:lineRule="auto"/>
        <w:ind w:firstLine="426" w:firstLineChars="200"/>
        <w:rPr>
          <w:rFonts w:hint="eastAsia" w:ascii="宋体" w:hAnsi="宋体" w:eastAsia="宋体" w:cs="宋体"/>
          <w:sz w:val="21"/>
          <w:szCs w:val="21"/>
        </w:rPr>
      </w:pPr>
      <w:r>
        <w:rPr>
          <w:rFonts w:hint="eastAsia" w:ascii="宋体" w:hAnsi="宋体" w:eastAsia="宋体" w:cs="宋体"/>
          <w:sz w:val="21"/>
          <w:szCs w:val="21"/>
        </w:rPr>
        <w:t>及时报告，并接受督导专家、项目管理组的检查、指导与监督</w:t>
      </w:r>
    </w:p>
    <w:p>
      <w:pPr>
        <w:numPr>
          <w:ilvl w:val="0"/>
          <w:numId w:val="20"/>
        </w:numPr>
        <w:spacing w:line="360" w:lineRule="auto"/>
        <w:ind w:left="0" w:leftChars="0" w:firstLine="570" w:firstLineChars="0"/>
        <w:rPr>
          <w:rFonts w:hint="eastAsia" w:ascii="宋体" w:hAnsi="宋体" w:eastAsia="宋体" w:cs="宋体"/>
          <w:sz w:val="21"/>
          <w:szCs w:val="21"/>
        </w:rPr>
      </w:pPr>
      <w:r>
        <w:rPr>
          <w:rFonts w:hint="eastAsia" w:ascii="宋体" w:hAnsi="宋体" w:eastAsia="宋体" w:cs="宋体"/>
          <w:sz w:val="21"/>
          <w:szCs w:val="21"/>
        </w:rPr>
        <w:t xml:space="preserve">工期保证: </w:t>
      </w:r>
    </w:p>
    <w:p>
      <w:pPr>
        <w:numPr>
          <w:ilvl w:val="0"/>
          <w:numId w:val="0"/>
        </w:numPr>
        <w:spacing w:line="360" w:lineRule="auto"/>
        <w:ind w:firstLine="426" w:firstLineChars="200"/>
        <w:rPr>
          <w:rFonts w:hint="eastAsia" w:ascii="宋体" w:hAnsi="宋体" w:eastAsia="宋体" w:cs="宋体"/>
          <w:sz w:val="21"/>
          <w:szCs w:val="21"/>
        </w:rPr>
      </w:pPr>
      <w:r>
        <w:rPr>
          <w:rFonts w:hint="eastAsia" w:ascii="宋体" w:hAnsi="宋体" w:eastAsia="宋体" w:cs="宋体"/>
          <w:sz w:val="21"/>
          <w:szCs w:val="21"/>
        </w:rPr>
        <w:t>如我方中标，我单位将严格按照项目的要求，在确保项目质量的前提下按时完成开发任务。</w:t>
      </w:r>
    </w:p>
    <w:p>
      <w:pPr>
        <w:numPr>
          <w:ilvl w:val="0"/>
          <w:numId w:val="22"/>
        </w:numPr>
        <w:spacing w:line="360" w:lineRule="auto"/>
        <w:ind w:firstLine="426" w:firstLineChars="200"/>
        <w:rPr>
          <w:rFonts w:hint="eastAsia" w:ascii="宋体" w:hAnsi="宋体" w:eastAsia="宋体" w:cs="宋体"/>
          <w:sz w:val="21"/>
          <w:szCs w:val="21"/>
        </w:rPr>
      </w:pPr>
      <w:r>
        <w:rPr>
          <w:rFonts w:hint="eastAsia" w:ascii="宋体" w:hAnsi="宋体" w:eastAsia="宋体" w:cs="宋体"/>
          <w:sz w:val="21"/>
          <w:szCs w:val="21"/>
        </w:rPr>
        <w:t>组织合理措施:1)由项目管理小组统一调度管理</w:t>
      </w:r>
      <w:r>
        <w:rPr>
          <w:rFonts w:hint="eastAsia" w:ascii="宋体" w:hAnsi="宋体" w:eastAsia="宋体" w:cs="宋体"/>
          <w:sz w:val="21"/>
          <w:szCs w:val="21"/>
          <w:lang w:eastAsia="zh-CN"/>
        </w:rPr>
        <w:t>。</w:t>
      </w:r>
      <w:r>
        <w:rPr>
          <w:rFonts w:hint="eastAsia" w:ascii="宋体" w:hAnsi="宋体" w:eastAsia="宋体" w:cs="宋体"/>
          <w:sz w:val="21"/>
          <w:szCs w:val="21"/>
        </w:rPr>
        <w:t>2)及时落实各开发小组具体任务，提前做好各方面的准备工作。2、实施进度管理:1)每周安排计划，下达开发进度指标，明确责任与任务。2)每周召开协调会，与合作单位协调工作及开发进度，及时解决延误项目开发工期的因素。以上条款如有违反，本单位愿承担切后果，触犯法律的，追究法律责任。</w:t>
      </w:r>
    </w:p>
    <w:p>
      <w:pPr>
        <w:pStyle w:val="2"/>
        <w:numPr>
          <w:ilvl w:val="0"/>
          <w:numId w:val="0"/>
        </w:numPr>
        <w:spacing w:line="360" w:lineRule="auto"/>
        <w:rPr>
          <w:rFonts w:hint="eastAsia" w:ascii="宋体" w:hAnsi="宋体" w:eastAsia="宋体" w:cs="宋体"/>
          <w:sz w:val="21"/>
          <w:szCs w:val="21"/>
        </w:rPr>
      </w:pPr>
    </w:p>
    <w:p>
      <w:pPr>
        <w:spacing w:line="360" w:lineRule="auto"/>
        <w:jc w:val="center"/>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 xml:space="preserve">      承诺方：（盖章）</w:t>
      </w:r>
    </w:p>
    <w:p>
      <w:pPr>
        <w:pStyle w:val="2"/>
        <w:spacing w:line="360" w:lineRule="auto"/>
        <w:ind w:firstLine="3621" w:firstLineChars="1700"/>
        <w:jc w:val="both"/>
        <w:rPr>
          <w:rFonts w:hint="eastAsia"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法人签字：</w:t>
      </w:r>
    </w:p>
    <w:p>
      <w:pPr>
        <w:spacing w:line="360" w:lineRule="auto"/>
        <w:rPr>
          <w:rFonts w:hint="eastAsia" w:ascii="宋体" w:hAnsi="宋体" w:eastAsia="宋体" w:cs="宋体"/>
          <w:b/>
          <w:bCs w:val="0"/>
          <w:sz w:val="21"/>
          <w:szCs w:val="21"/>
          <w:lang w:val="en-US" w:eastAsia="zh-CN"/>
        </w:rPr>
      </w:pPr>
    </w:p>
    <w:p>
      <w:pPr>
        <w:spacing w:line="360" w:lineRule="auto"/>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br w:type="page"/>
      </w:r>
    </w:p>
    <w:p>
      <w:pPr>
        <w:pStyle w:val="3"/>
        <w:numPr>
          <w:ilvl w:val="0"/>
          <w:numId w:val="16"/>
        </w:numPr>
        <w:bidi w:val="0"/>
        <w:spacing w:line="360" w:lineRule="auto"/>
        <w:ind w:left="0" w:leftChars="0" w:firstLine="420" w:firstLineChars="0"/>
        <w:rPr>
          <w:rFonts w:hint="eastAsia" w:ascii="宋体" w:hAnsi="宋体" w:eastAsia="宋体" w:cs="宋体"/>
          <w:b/>
          <w:bCs w:val="0"/>
          <w:sz w:val="21"/>
          <w:szCs w:val="21"/>
          <w:lang w:val="en-US" w:eastAsia="zh-CN"/>
        </w:rPr>
      </w:pPr>
      <w:bookmarkStart w:id="264" w:name="_Toc29724"/>
      <w:bookmarkStart w:id="265" w:name="_Toc17199"/>
      <w:bookmarkStart w:id="266" w:name="_Toc14802"/>
      <w:bookmarkStart w:id="267" w:name="_Toc31682"/>
      <w:r>
        <w:rPr>
          <w:rFonts w:hint="eastAsia" w:ascii="宋体" w:hAnsi="宋体" w:eastAsia="宋体" w:cs="宋体"/>
          <w:b/>
          <w:bCs w:val="0"/>
          <w:sz w:val="21"/>
          <w:szCs w:val="21"/>
          <w:lang w:val="en-US" w:eastAsia="zh-CN"/>
        </w:rPr>
        <w:t>本项目的有关人员资料表</w:t>
      </w:r>
      <w:bookmarkEnd w:id="264"/>
      <w:bookmarkEnd w:id="265"/>
      <w:bookmarkEnd w:id="266"/>
      <w:bookmarkEnd w:id="267"/>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投标人名称：</w:t>
      </w:r>
      <w:r>
        <w:rPr>
          <w:rFonts w:hint="eastAsia" w:ascii="宋体" w:hAnsi="宋体" w:eastAsia="宋体" w:cs="宋体"/>
          <w:color w:val="auto"/>
          <w:szCs w:val="21"/>
          <w:u w:val="single"/>
        </w:rPr>
        <w:t>　　　　　　　　　　</w:t>
      </w:r>
      <w:r>
        <w:rPr>
          <w:rFonts w:hint="eastAsia" w:ascii="宋体" w:hAnsi="宋体" w:eastAsia="宋体" w:cs="宋体"/>
          <w:color w:val="auto"/>
          <w:szCs w:val="21"/>
        </w:rPr>
        <w:t>　　招标编号：</w:t>
      </w:r>
      <w:r>
        <w:rPr>
          <w:rFonts w:hint="eastAsia" w:ascii="宋体" w:hAnsi="宋体" w:eastAsia="宋体" w:cs="宋体"/>
          <w:color w:val="auto"/>
          <w:szCs w:val="21"/>
          <w:u w:val="single"/>
        </w:rPr>
        <w:t>　　　　　　　　　　　</w:t>
      </w:r>
    </w:p>
    <w:tbl>
      <w:tblPr>
        <w:tblStyle w:val="16"/>
        <w:tblW w:w="87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834"/>
        <w:gridCol w:w="835"/>
        <w:gridCol w:w="818"/>
        <w:gridCol w:w="835"/>
        <w:gridCol w:w="1970"/>
        <w:gridCol w:w="27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80" w:type="dxa"/>
            <w:vMerge w:val="restart"/>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序号</w:t>
            </w:r>
          </w:p>
        </w:tc>
        <w:tc>
          <w:tcPr>
            <w:tcW w:w="834" w:type="dxa"/>
            <w:vMerge w:val="restart"/>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姓名</w:t>
            </w:r>
          </w:p>
        </w:tc>
        <w:tc>
          <w:tcPr>
            <w:tcW w:w="835" w:type="dxa"/>
            <w:vMerge w:val="restart"/>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职务</w:t>
            </w:r>
          </w:p>
        </w:tc>
        <w:tc>
          <w:tcPr>
            <w:tcW w:w="818" w:type="dxa"/>
            <w:vMerge w:val="restart"/>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学历</w:t>
            </w:r>
          </w:p>
        </w:tc>
        <w:tc>
          <w:tcPr>
            <w:tcW w:w="835" w:type="dxa"/>
            <w:vMerge w:val="restart"/>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职称</w:t>
            </w:r>
          </w:p>
        </w:tc>
        <w:tc>
          <w:tcPr>
            <w:tcW w:w="4708" w:type="dxa"/>
            <w:gridSpan w:val="2"/>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过往案例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5" w:hRule="atLeast"/>
          <w:jc w:val="center"/>
        </w:trPr>
        <w:tc>
          <w:tcPr>
            <w:tcW w:w="680" w:type="dxa"/>
            <w:vMerge w:val="continue"/>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834" w:type="dxa"/>
            <w:vMerge w:val="continue"/>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835" w:type="dxa"/>
            <w:vMerge w:val="continue"/>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818" w:type="dxa"/>
            <w:vMerge w:val="continue"/>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835" w:type="dxa"/>
            <w:vMerge w:val="continue"/>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1970"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案例名称</w:t>
            </w:r>
          </w:p>
        </w:tc>
        <w:tc>
          <w:tcPr>
            <w:tcW w:w="2738"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担任工作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80"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834"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835"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818"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835"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1970"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2738"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80"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834"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835"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818"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835"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1970"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2738"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680"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834"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835"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818"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835"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1970"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2738"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r>
    </w:tbl>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投标人代表签字：</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投标人盖章：</w:t>
      </w:r>
    </w:p>
    <w:p>
      <w:pPr>
        <w:spacing w:line="360" w:lineRule="auto"/>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br w:type="page"/>
      </w:r>
    </w:p>
    <w:p>
      <w:pPr>
        <w:pStyle w:val="3"/>
        <w:numPr>
          <w:ilvl w:val="0"/>
          <w:numId w:val="16"/>
        </w:numPr>
        <w:bidi w:val="0"/>
        <w:spacing w:line="360" w:lineRule="auto"/>
        <w:ind w:left="0" w:leftChars="0" w:firstLine="420" w:firstLineChars="0"/>
        <w:rPr>
          <w:rFonts w:hint="eastAsia" w:ascii="宋体" w:hAnsi="宋体" w:eastAsia="宋体" w:cs="宋体"/>
          <w:b/>
          <w:bCs w:val="0"/>
          <w:sz w:val="21"/>
          <w:szCs w:val="21"/>
          <w:lang w:val="en-US" w:eastAsia="zh-CN"/>
        </w:rPr>
      </w:pPr>
      <w:bookmarkStart w:id="268" w:name="_Toc21287"/>
      <w:bookmarkStart w:id="269" w:name="_Toc5291"/>
      <w:bookmarkStart w:id="270" w:name="_Toc9500"/>
      <w:bookmarkStart w:id="271" w:name="_Toc6307"/>
      <w:r>
        <w:rPr>
          <w:rFonts w:hint="eastAsia" w:ascii="宋体" w:hAnsi="宋体" w:eastAsia="宋体" w:cs="宋体"/>
          <w:b/>
          <w:bCs w:val="0"/>
          <w:sz w:val="21"/>
          <w:szCs w:val="21"/>
          <w:lang w:val="en-US" w:eastAsia="zh-CN"/>
        </w:rPr>
        <w:t>条款响应表</w:t>
      </w:r>
      <w:bookmarkEnd w:id="268"/>
      <w:bookmarkEnd w:id="269"/>
      <w:bookmarkEnd w:id="270"/>
      <w:bookmarkEnd w:id="271"/>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u w:val="single"/>
        </w:rPr>
      </w:pPr>
      <w:r>
        <w:rPr>
          <w:rFonts w:hint="eastAsia" w:ascii="宋体" w:hAnsi="宋体" w:eastAsia="宋体" w:cs="宋体"/>
          <w:color w:val="auto"/>
          <w:szCs w:val="21"/>
        </w:rPr>
        <w:t>投标人名称</w:t>
      </w:r>
      <w:r>
        <w:rPr>
          <w:rFonts w:hint="eastAsia" w:ascii="宋体" w:hAnsi="宋体" w:eastAsia="宋体" w:cs="宋体"/>
          <w:color w:val="auto"/>
          <w:szCs w:val="21"/>
          <w:lang w:val="en-US" w:eastAsia="zh-CN"/>
        </w:rPr>
        <w:t>:</w:t>
      </w:r>
    </w:p>
    <w:tbl>
      <w:tblPr>
        <w:tblStyle w:val="16"/>
        <w:tblW w:w="8476" w:type="dxa"/>
        <w:jc w:val="center"/>
        <w:tblLayout w:type="fixed"/>
        <w:tblCellMar>
          <w:top w:w="0" w:type="dxa"/>
          <w:left w:w="108" w:type="dxa"/>
          <w:bottom w:w="0" w:type="dxa"/>
          <w:right w:w="108" w:type="dxa"/>
        </w:tblCellMar>
      </w:tblPr>
      <w:tblGrid>
        <w:gridCol w:w="1642"/>
        <w:gridCol w:w="1500"/>
        <w:gridCol w:w="1087"/>
        <w:gridCol w:w="1376"/>
        <w:gridCol w:w="1633"/>
        <w:gridCol w:w="1238"/>
      </w:tblGrid>
      <w:tr>
        <w:trPr>
          <w:trHeight w:val="270" w:hRule="atLeast"/>
          <w:jc w:val="center"/>
        </w:trPr>
        <w:tc>
          <w:tcPr>
            <w:tcW w:w="4229" w:type="dxa"/>
            <w:gridSpan w:val="3"/>
            <w:tcBorders>
              <w:top w:val="single" w:color="auto" w:sz="4" w:space="0"/>
              <w:left w:val="single" w:color="auto" w:sz="4" w:space="0"/>
              <w:bottom w:val="single" w:color="auto" w:sz="4" w:space="0"/>
              <w:right w:val="single" w:color="000000" w:sz="4" w:space="0"/>
            </w:tcBorders>
            <w:shd w:val="clear" w:color="000000" w:fill="FFFFFF"/>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Cs w:val="21"/>
              </w:rPr>
            </w:pPr>
            <w:r>
              <w:rPr>
                <w:rFonts w:hint="eastAsia" w:ascii="宋体" w:hAnsi="宋体" w:eastAsia="宋体" w:cs="宋体"/>
                <w:color w:val="auto"/>
                <w:kern w:val="0"/>
                <w:szCs w:val="21"/>
              </w:rPr>
              <w:t>招标文件要求</w:t>
            </w:r>
          </w:p>
        </w:tc>
        <w:tc>
          <w:tcPr>
            <w:tcW w:w="4247" w:type="dxa"/>
            <w:gridSpan w:val="3"/>
            <w:tcBorders>
              <w:top w:val="single" w:color="auto" w:sz="4" w:space="0"/>
              <w:left w:val="nil"/>
              <w:bottom w:val="single" w:color="auto" w:sz="4" w:space="0"/>
              <w:right w:val="single" w:color="000000" w:sz="4" w:space="0"/>
            </w:tcBorders>
            <w:shd w:val="clear" w:color="000000" w:fill="FFFFFF"/>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Cs w:val="21"/>
              </w:rPr>
            </w:pPr>
            <w:r>
              <w:rPr>
                <w:rFonts w:hint="eastAsia" w:ascii="宋体" w:hAnsi="宋体" w:eastAsia="宋体" w:cs="宋体"/>
                <w:color w:val="auto"/>
                <w:kern w:val="0"/>
                <w:szCs w:val="21"/>
              </w:rPr>
              <w:t>投标人响应</w:t>
            </w:r>
          </w:p>
        </w:tc>
      </w:tr>
      <w:tr>
        <w:tblPrEx>
          <w:tblCellMar>
            <w:top w:w="0" w:type="dxa"/>
            <w:left w:w="108" w:type="dxa"/>
            <w:bottom w:w="0" w:type="dxa"/>
            <w:right w:w="108" w:type="dxa"/>
          </w:tblCellMar>
        </w:tblPrEx>
        <w:trPr>
          <w:trHeight w:val="510" w:hRule="atLeast"/>
          <w:jc w:val="center"/>
        </w:trPr>
        <w:tc>
          <w:tcPr>
            <w:tcW w:w="1642" w:type="dxa"/>
            <w:vMerge w:val="restart"/>
            <w:tcBorders>
              <w:top w:val="nil"/>
              <w:left w:val="single" w:color="auto" w:sz="4" w:space="0"/>
              <w:bottom w:val="single" w:color="000000" w:sz="4" w:space="0"/>
              <w:right w:val="single" w:color="auto" w:sz="4" w:space="0"/>
            </w:tcBorders>
            <w:shd w:val="clear" w:color="000000" w:fill="FFFFFF"/>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Cs w:val="21"/>
              </w:rPr>
            </w:pPr>
            <w:r>
              <w:rPr>
                <w:rFonts w:hint="eastAsia" w:ascii="宋体" w:hAnsi="宋体" w:eastAsia="宋体" w:cs="宋体"/>
                <w:color w:val="auto"/>
                <w:kern w:val="0"/>
                <w:szCs w:val="21"/>
              </w:rPr>
              <w:t>需求名称</w:t>
            </w:r>
          </w:p>
        </w:tc>
        <w:tc>
          <w:tcPr>
            <w:tcW w:w="1500" w:type="dxa"/>
            <w:vMerge w:val="restart"/>
            <w:tcBorders>
              <w:top w:val="nil"/>
              <w:left w:val="single" w:color="auto" w:sz="4" w:space="0"/>
              <w:bottom w:val="single" w:color="000000" w:sz="4" w:space="0"/>
              <w:right w:val="single" w:color="auto" w:sz="4" w:space="0"/>
            </w:tcBorders>
            <w:shd w:val="clear" w:color="000000" w:fill="FFFFFF"/>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Cs w:val="21"/>
              </w:rPr>
            </w:pPr>
            <w:r>
              <w:rPr>
                <w:rFonts w:hint="eastAsia" w:ascii="宋体" w:hAnsi="宋体" w:eastAsia="宋体" w:cs="宋体"/>
                <w:color w:val="auto"/>
                <w:kern w:val="0"/>
                <w:szCs w:val="21"/>
              </w:rPr>
              <w:t>需求说明</w:t>
            </w:r>
          </w:p>
        </w:tc>
        <w:tc>
          <w:tcPr>
            <w:tcW w:w="1087" w:type="dxa"/>
            <w:vMerge w:val="restart"/>
            <w:tcBorders>
              <w:top w:val="nil"/>
              <w:left w:val="single" w:color="auto" w:sz="4" w:space="0"/>
              <w:bottom w:val="single" w:color="000000" w:sz="4" w:space="0"/>
              <w:right w:val="single" w:color="auto" w:sz="4" w:space="0"/>
            </w:tcBorders>
            <w:shd w:val="clear" w:color="000000" w:fill="FFFFFF"/>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Cs w:val="21"/>
              </w:rPr>
            </w:pPr>
            <w:r>
              <w:rPr>
                <w:rFonts w:hint="eastAsia" w:ascii="宋体" w:hAnsi="宋体" w:eastAsia="宋体" w:cs="宋体"/>
                <w:color w:val="auto"/>
                <w:kern w:val="0"/>
                <w:szCs w:val="21"/>
              </w:rPr>
              <w:t>偏离选项</w:t>
            </w:r>
          </w:p>
        </w:tc>
        <w:tc>
          <w:tcPr>
            <w:tcW w:w="1376" w:type="dxa"/>
            <w:tcBorders>
              <w:top w:val="nil"/>
              <w:left w:val="nil"/>
              <w:bottom w:val="single" w:color="auto" w:sz="4" w:space="0"/>
              <w:right w:val="single" w:color="auto" w:sz="4" w:space="0"/>
            </w:tcBorders>
            <w:shd w:val="clear" w:color="000000" w:fill="FFFFFF"/>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Cs w:val="21"/>
              </w:rPr>
            </w:pPr>
            <w:r>
              <w:rPr>
                <w:rFonts w:hint="eastAsia" w:ascii="宋体" w:hAnsi="宋体" w:eastAsia="宋体" w:cs="宋体"/>
                <w:color w:val="auto"/>
                <w:kern w:val="0"/>
                <w:szCs w:val="21"/>
              </w:rPr>
              <w:t>投标人</w:t>
            </w:r>
          </w:p>
        </w:tc>
        <w:tc>
          <w:tcPr>
            <w:tcW w:w="1633" w:type="dxa"/>
            <w:tcBorders>
              <w:top w:val="nil"/>
              <w:left w:val="nil"/>
              <w:bottom w:val="single" w:color="auto" w:sz="4" w:space="0"/>
              <w:right w:val="single" w:color="auto" w:sz="4" w:space="0"/>
            </w:tcBorders>
            <w:shd w:val="clear" w:color="000000" w:fill="FFFFFF"/>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Cs w:val="21"/>
              </w:rPr>
            </w:pPr>
            <w:r>
              <w:rPr>
                <w:rFonts w:hint="eastAsia" w:ascii="宋体" w:hAnsi="宋体" w:eastAsia="宋体" w:cs="宋体"/>
                <w:color w:val="auto"/>
                <w:kern w:val="0"/>
                <w:szCs w:val="21"/>
              </w:rPr>
              <w:t>是否有偏离</w:t>
            </w:r>
          </w:p>
        </w:tc>
        <w:tc>
          <w:tcPr>
            <w:tcW w:w="1238" w:type="dxa"/>
            <w:vMerge w:val="restart"/>
            <w:tcBorders>
              <w:top w:val="nil"/>
              <w:left w:val="single" w:color="auto" w:sz="4" w:space="0"/>
              <w:bottom w:val="single" w:color="000000" w:sz="4" w:space="0"/>
              <w:right w:val="single" w:color="auto" w:sz="4" w:space="0"/>
            </w:tcBorders>
            <w:shd w:val="clear" w:color="000000" w:fill="FFFFFF"/>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Cs w:val="21"/>
              </w:rPr>
            </w:pPr>
            <w:r>
              <w:rPr>
                <w:rFonts w:hint="eastAsia" w:ascii="宋体" w:hAnsi="宋体" w:eastAsia="宋体" w:cs="宋体"/>
                <w:color w:val="auto"/>
                <w:kern w:val="0"/>
                <w:szCs w:val="21"/>
              </w:rPr>
              <w:t>偏离说明</w:t>
            </w:r>
          </w:p>
        </w:tc>
      </w:tr>
      <w:tr>
        <w:tblPrEx>
          <w:tblCellMar>
            <w:top w:w="0" w:type="dxa"/>
            <w:left w:w="108" w:type="dxa"/>
            <w:bottom w:w="0" w:type="dxa"/>
            <w:right w:w="108" w:type="dxa"/>
          </w:tblCellMar>
        </w:tblPrEx>
        <w:trPr>
          <w:trHeight w:val="525" w:hRule="atLeast"/>
          <w:jc w:val="center"/>
        </w:trPr>
        <w:tc>
          <w:tcPr>
            <w:tcW w:w="1642" w:type="dxa"/>
            <w:vMerge w:val="continue"/>
            <w:tcBorders>
              <w:top w:val="nil"/>
              <w:left w:val="single" w:color="auto" w:sz="4" w:space="0"/>
              <w:bottom w:val="single" w:color="000000" w:sz="4" w:space="0"/>
              <w:right w:val="single" w:color="auto" w:sz="4" w:space="0"/>
            </w:tcBorders>
            <w:vAlign w:val="center"/>
          </w:tcPr>
          <w:p>
            <w:pPr>
              <w:pageBreakBefore w:val="0"/>
              <w:widowControl/>
              <w:kinsoku/>
              <w:wordWrap/>
              <w:overflowPunct/>
              <w:topLinePunct w:val="0"/>
              <w:bidi w:val="0"/>
              <w:spacing w:line="360" w:lineRule="auto"/>
              <w:ind w:left="0" w:leftChars="0" w:right="0" w:firstLine="0" w:firstLineChars="0"/>
              <w:jc w:val="left"/>
              <w:rPr>
                <w:rFonts w:hint="eastAsia" w:ascii="宋体" w:hAnsi="宋体" w:eastAsia="宋体" w:cs="宋体"/>
                <w:color w:val="auto"/>
                <w:kern w:val="0"/>
                <w:szCs w:val="21"/>
              </w:rPr>
            </w:pPr>
          </w:p>
        </w:tc>
        <w:tc>
          <w:tcPr>
            <w:tcW w:w="1500" w:type="dxa"/>
            <w:vMerge w:val="continue"/>
            <w:tcBorders>
              <w:top w:val="nil"/>
              <w:left w:val="single" w:color="auto" w:sz="4" w:space="0"/>
              <w:bottom w:val="single" w:color="000000" w:sz="4" w:space="0"/>
              <w:right w:val="single" w:color="auto" w:sz="4" w:space="0"/>
            </w:tcBorders>
            <w:vAlign w:val="center"/>
          </w:tcPr>
          <w:p>
            <w:pPr>
              <w:pageBreakBefore w:val="0"/>
              <w:widowControl/>
              <w:kinsoku/>
              <w:wordWrap/>
              <w:overflowPunct/>
              <w:topLinePunct w:val="0"/>
              <w:bidi w:val="0"/>
              <w:spacing w:line="360" w:lineRule="auto"/>
              <w:ind w:left="0" w:leftChars="0" w:right="0" w:firstLine="0" w:firstLineChars="0"/>
              <w:jc w:val="left"/>
              <w:rPr>
                <w:rFonts w:hint="eastAsia" w:ascii="宋体" w:hAnsi="宋体" w:eastAsia="宋体" w:cs="宋体"/>
                <w:color w:val="auto"/>
                <w:kern w:val="0"/>
                <w:szCs w:val="21"/>
              </w:rPr>
            </w:pPr>
          </w:p>
        </w:tc>
        <w:tc>
          <w:tcPr>
            <w:tcW w:w="1087" w:type="dxa"/>
            <w:vMerge w:val="continue"/>
            <w:tcBorders>
              <w:top w:val="nil"/>
              <w:left w:val="single" w:color="auto" w:sz="4" w:space="0"/>
              <w:bottom w:val="single" w:color="000000" w:sz="4" w:space="0"/>
              <w:right w:val="single" w:color="auto" w:sz="4" w:space="0"/>
            </w:tcBorders>
            <w:vAlign w:val="center"/>
          </w:tcPr>
          <w:p>
            <w:pPr>
              <w:pageBreakBefore w:val="0"/>
              <w:widowControl/>
              <w:kinsoku/>
              <w:wordWrap/>
              <w:overflowPunct/>
              <w:topLinePunct w:val="0"/>
              <w:bidi w:val="0"/>
              <w:spacing w:line="360" w:lineRule="auto"/>
              <w:ind w:left="0" w:leftChars="0" w:right="0" w:firstLine="0" w:firstLineChars="0"/>
              <w:jc w:val="left"/>
              <w:rPr>
                <w:rFonts w:hint="eastAsia" w:ascii="宋体" w:hAnsi="宋体" w:eastAsia="宋体" w:cs="宋体"/>
                <w:color w:val="auto"/>
                <w:kern w:val="0"/>
                <w:szCs w:val="21"/>
              </w:rPr>
            </w:pPr>
          </w:p>
        </w:tc>
        <w:tc>
          <w:tcPr>
            <w:tcW w:w="1376" w:type="dxa"/>
            <w:tcBorders>
              <w:top w:val="nil"/>
              <w:left w:val="nil"/>
              <w:bottom w:val="single" w:color="auto" w:sz="4" w:space="0"/>
              <w:right w:val="single" w:color="auto" w:sz="4" w:space="0"/>
            </w:tcBorders>
            <w:shd w:val="clear" w:color="000000" w:fill="FFFFFF"/>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Cs w:val="21"/>
              </w:rPr>
            </w:pPr>
            <w:r>
              <w:rPr>
                <w:rFonts w:hint="eastAsia" w:ascii="宋体" w:hAnsi="宋体" w:eastAsia="宋体" w:cs="宋体"/>
                <w:color w:val="auto"/>
                <w:kern w:val="0"/>
                <w:szCs w:val="21"/>
              </w:rPr>
              <w:t>响应情况</w:t>
            </w:r>
          </w:p>
        </w:tc>
        <w:tc>
          <w:tcPr>
            <w:tcW w:w="1633" w:type="dxa"/>
            <w:tcBorders>
              <w:top w:val="nil"/>
              <w:left w:val="nil"/>
              <w:bottom w:val="single" w:color="auto" w:sz="4" w:space="0"/>
              <w:right w:val="single" w:color="auto" w:sz="4" w:space="0"/>
            </w:tcBorders>
            <w:shd w:val="clear" w:color="000000" w:fill="FFFFFF"/>
            <w:vAlign w:val="center"/>
          </w:tcPr>
          <w:p>
            <w:pPr>
              <w:pageBreakBefore w:val="0"/>
              <w:widowControl/>
              <w:kinsoku/>
              <w:wordWrap/>
              <w:overflowPunct/>
              <w:topLinePunct w:val="0"/>
              <w:bidi w:val="0"/>
              <w:spacing w:line="360" w:lineRule="auto"/>
              <w:ind w:left="0" w:leftChars="0" w:right="0" w:firstLine="0" w:firstLineChars="0"/>
              <w:jc w:val="center"/>
              <w:rPr>
                <w:rFonts w:hint="eastAsia" w:ascii="宋体" w:hAnsi="宋体" w:eastAsia="宋体" w:cs="宋体"/>
                <w:color w:val="auto"/>
                <w:kern w:val="0"/>
                <w:szCs w:val="21"/>
              </w:rPr>
            </w:pPr>
            <w:r>
              <w:rPr>
                <w:rFonts w:hint="eastAsia" w:ascii="宋体" w:hAnsi="宋体" w:eastAsia="宋体" w:cs="宋体"/>
                <w:color w:val="auto"/>
                <w:kern w:val="0"/>
                <w:szCs w:val="21"/>
              </w:rPr>
              <w:t>（填写有/无）</w:t>
            </w:r>
          </w:p>
        </w:tc>
        <w:tc>
          <w:tcPr>
            <w:tcW w:w="1238" w:type="dxa"/>
            <w:vMerge w:val="continue"/>
            <w:tcBorders>
              <w:top w:val="nil"/>
              <w:left w:val="single" w:color="auto" w:sz="4" w:space="0"/>
              <w:bottom w:val="single" w:color="000000" w:sz="4" w:space="0"/>
              <w:right w:val="single" w:color="auto" w:sz="4" w:space="0"/>
            </w:tcBorders>
            <w:vAlign w:val="center"/>
          </w:tcPr>
          <w:p>
            <w:pPr>
              <w:pageBreakBefore w:val="0"/>
              <w:widowControl/>
              <w:kinsoku/>
              <w:wordWrap/>
              <w:overflowPunct/>
              <w:topLinePunct w:val="0"/>
              <w:bidi w:val="0"/>
              <w:spacing w:line="360" w:lineRule="auto"/>
              <w:ind w:left="0" w:leftChars="0" w:right="0" w:firstLine="0" w:firstLineChars="0"/>
              <w:jc w:val="left"/>
              <w:rPr>
                <w:rFonts w:hint="eastAsia" w:ascii="宋体" w:hAnsi="宋体" w:eastAsia="宋体" w:cs="宋体"/>
                <w:color w:val="auto"/>
                <w:kern w:val="0"/>
                <w:szCs w:val="21"/>
              </w:rPr>
            </w:pPr>
          </w:p>
        </w:tc>
      </w:tr>
      <w:tr>
        <w:tblPrEx>
          <w:tblCellMar>
            <w:top w:w="0" w:type="dxa"/>
            <w:left w:w="108" w:type="dxa"/>
            <w:bottom w:w="0" w:type="dxa"/>
            <w:right w:w="108" w:type="dxa"/>
          </w:tblCellMar>
        </w:tblPrEx>
        <w:trPr>
          <w:trHeight w:val="270" w:hRule="atLeast"/>
          <w:jc w:val="center"/>
        </w:trPr>
        <w:tc>
          <w:tcPr>
            <w:tcW w:w="1642" w:type="dxa"/>
            <w:tcBorders>
              <w:top w:val="nil"/>
              <w:left w:val="single" w:color="auto" w:sz="4" w:space="0"/>
              <w:bottom w:val="single" w:color="auto" w:sz="4" w:space="0"/>
              <w:right w:val="single" w:color="auto" w:sz="4" w:space="0"/>
            </w:tcBorders>
            <w:shd w:val="clear" w:color="000000" w:fill="FFFFFF"/>
            <w:vAlign w:val="center"/>
          </w:tcPr>
          <w:p>
            <w:pPr>
              <w:pageBreakBefore w:val="0"/>
              <w:widowControl/>
              <w:kinsoku/>
              <w:wordWrap/>
              <w:overflowPunct/>
              <w:topLinePunct w:val="0"/>
              <w:bidi w:val="0"/>
              <w:spacing w:line="360" w:lineRule="auto"/>
              <w:ind w:left="0" w:leftChars="0" w:right="0" w:firstLine="0" w:firstLineChars="0"/>
              <w:rPr>
                <w:rFonts w:hint="eastAsia" w:ascii="宋体" w:hAnsi="宋体" w:eastAsia="宋体" w:cs="宋体"/>
                <w:color w:val="auto"/>
                <w:kern w:val="0"/>
                <w:szCs w:val="21"/>
              </w:rPr>
            </w:pPr>
            <w:r>
              <w:rPr>
                <w:rFonts w:hint="eastAsia" w:ascii="宋体" w:hAnsi="宋体" w:eastAsia="宋体" w:cs="宋体"/>
                <w:color w:val="auto"/>
                <w:kern w:val="0"/>
                <w:szCs w:val="21"/>
              </w:rPr>
              <w:t>　</w:t>
            </w:r>
          </w:p>
        </w:tc>
        <w:tc>
          <w:tcPr>
            <w:tcW w:w="1500" w:type="dxa"/>
            <w:tcBorders>
              <w:top w:val="nil"/>
              <w:left w:val="nil"/>
              <w:bottom w:val="single" w:color="auto" w:sz="4" w:space="0"/>
              <w:right w:val="single" w:color="auto" w:sz="4" w:space="0"/>
            </w:tcBorders>
            <w:shd w:val="clear" w:color="000000" w:fill="FFFFFF"/>
            <w:vAlign w:val="center"/>
          </w:tcPr>
          <w:p>
            <w:pPr>
              <w:pageBreakBefore w:val="0"/>
              <w:widowControl/>
              <w:kinsoku/>
              <w:wordWrap/>
              <w:overflowPunct/>
              <w:topLinePunct w:val="0"/>
              <w:bidi w:val="0"/>
              <w:spacing w:line="360" w:lineRule="auto"/>
              <w:ind w:left="0" w:leftChars="0" w:right="0" w:firstLine="0" w:firstLineChars="0"/>
              <w:rPr>
                <w:rFonts w:hint="eastAsia" w:ascii="宋体" w:hAnsi="宋体" w:eastAsia="宋体" w:cs="宋体"/>
                <w:color w:val="auto"/>
                <w:kern w:val="0"/>
                <w:szCs w:val="21"/>
              </w:rPr>
            </w:pPr>
            <w:r>
              <w:rPr>
                <w:rFonts w:hint="eastAsia" w:ascii="宋体" w:hAnsi="宋体" w:eastAsia="宋体" w:cs="宋体"/>
                <w:color w:val="auto"/>
                <w:kern w:val="0"/>
                <w:szCs w:val="21"/>
              </w:rPr>
              <w:t>　</w:t>
            </w:r>
          </w:p>
        </w:tc>
        <w:tc>
          <w:tcPr>
            <w:tcW w:w="1087" w:type="dxa"/>
            <w:tcBorders>
              <w:top w:val="nil"/>
              <w:left w:val="nil"/>
              <w:bottom w:val="single" w:color="auto" w:sz="4" w:space="0"/>
              <w:right w:val="single" w:color="auto" w:sz="4" w:space="0"/>
            </w:tcBorders>
            <w:shd w:val="clear" w:color="000000" w:fill="FFFFFF"/>
            <w:vAlign w:val="center"/>
          </w:tcPr>
          <w:p>
            <w:pPr>
              <w:pageBreakBefore w:val="0"/>
              <w:widowControl/>
              <w:kinsoku/>
              <w:wordWrap/>
              <w:overflowPunct/>
              <w:topLinePunct w:val="0"/>
              <w:bidi w:val="0"/>
              <w:spacing w:line="360" w:lineRule="auto"/>
              <w:ind w:left="0" w:leftChars="0" w:right="0" w:firstLine="0" w:firstLineChars="0"/>
              <w:rPr>
                <w:rFonts w:hint="eastAsia" w:ascii="宋体" w:hAnsi="宋体" w:eastAsia="宋体" w:cs="宋体"/>
                <w:color w:val="auto"/>
                <w:kern w:val="0"/>
                <w:szCs w:val="21"/>
              </w:rPr>
            </w:pPr>
            <w:r>
              <w:rPr>
                <w:rFonts w:hint="eastAsia" w:ascii="宋体" w:hAnsi="宋体" w:eastAsia="宋体" w:cs="宋体"/>
                <w:color w:val="auto"/>
                <w:kern w:val="0"/>
                <w:szCs w:val="21"/>
              </w:rPr>
              <w:t>　</w:t>
            </w:r>
          </w:p>
        </w:tc>
        <w:tc>
          <w:tcPr>
            <w:tcW w:w="1376" w:type="dxa"/>
            <w:tcBorders>
              <w:top w:val="nil"/>
              <w:left w:val="nil"/>
              <w:bottom w:val="single" w:color="auto" w:sz="4" w:space="0"/>
              <w:right w:val="single" w:color="auto" w:sz="4" w:space="0"/>
            </w:tcBorders>
            <w:shd w:val="clear" w:color="000000" w:fill="FFFFFF"/>
            <w:vAlign w:val="center"/>
          </w:tcPr>
          <w:p>
            <w:pPr>
              <w:pageBreakBefore w:val="0"/>
              <w:widowControl/>
              <w:kinsoku/>
              <w:wordWrap/>
              <w:overflowPunct/>
              <w:topLinePunct w:val="0"/>
              <w:bidi w:val="0"/>
              <w:spacing w:line="360" w:lineRule="auto"/>
              <w:ind w:left="0" w:leftChars="0" w:right="0" w:firstLine="0" w:firstLineChars="0"/>
              <w:rPr>
                <w:rFonts w:hint="eastAsia" w:ascii="宋体" w:hAnsi="宋体" w:eastAsia="宋体" w:cs="宋体"/>
                <w:color w:val="auto"/>
                <w:kern w:val="0"/>
                <w:szCs w:val="21"/>
              </w:rPr>
            </w:pPr>
            <w:r>
              <w:rPr>
                <w:rFonts w:hint="eastAsia" w:ascii="宋体" w:hAnsi="宋体" w:eastAsia="宋体" w:cs="宋体"/>
                <w:color w:val="auto"/>
                <w:kern w:val="0"/>
                <w:szCs w:val="21"/>
              </w:rPr>
              <w:t>　</w:t>
            </w:r>
          </w:p>
        </w:tc>
        <w:tc>
          <w:tcPr>
            <w:tcW w:w="1633" w:type="dxa"/>
            <w:tcBorders>
              <w:top w:val="nil"/>
              <w:left w:val="nil"/>
              <w:bottom w:val="single" w:color="auto" w:sz="4" w:space="0"/>
              <w:right w:val="single" w:color="auto" w:sz="4" w:space="0"/>
            </w:tcBorders>
            <w:shd w:val="clear" w:color="000000" w:fill="FFFFFF"/>
            <w:vAlign w:val="center"/>
          </w:tcPr>
          <w:p>
            <w:pPr>
              <w:pageBreakBefore w:val="0"/>
              <w:widowControl/>
              <w:kinsoku/>
              <w:wordWrap/>
              <w:overflowPunct/>
              <w:topLinePunct w:val="0"/>
              <w:bidi w:val="0"/>
              <w:spacing w:line="360" w:lineRule="auto"/>
              <w:ind w:left="0" w:leftChars="0" w:right="0" w:firstLine="0" w:firstLineChars="0"/>
              <w:rPr>
                <w:rFonts w:hint="eastAsia" w:ascii="宋体" w:hAnsi="宋体" w:eastAsia="宋体" w:cs="宋体"/>
                <w:color w:val="auto"/>
                <w:kern w:val="0"/>
                <w:szCs w:val="21"/>
              </w:rPr>
            </w:pPr>
            <w:r>
              <w:rPr>
                <w:rFonts w:hint="eastAsia" w:ascii="宋体" w:hAnsi="宋体" w:eastAsia="宋体" w:cs="宋体"/>
                <w:color w:val="auto"/>
                <w:kern w:val="0"/>
                <w:szCs w:val="21"/>
              </w:rPr>
              <w:t>　</w:t>
            </w:r>
          </w:p>
        </w:tc>
        <w:tc>
          <w:tcPr>
            <w:tcW w:w="1238" w:type="dxa"/>
            <w:tcBorders>
              <w:top w:val="nil"/>
              <w:left w:val="nil"/>
              <w:bottom w:val="single" w:color="auto" w:sz="4" w:space="0"/>
              <w:right w:val="single" w:color="auto" w:sz="4" w:space="0"/>
            </w:tcBorders>
            <w:shd w:val="clear" w:color="000000" w:fill="FFFFFF"/>
            <w:vAlign w:val="center"/>
          </w:tcPr>
          <w:p>
            <w:pPr>
              <w:pageBreakBefore w:val="0"/>
              <w:widowControl/>
              <w:kinsoku/>
              <w:wordWrap/>
              <w:overflowPunct/>
              <w:topLinePunct w:val="0"/>
              <w:bidi w:val="0"/>
              <w:spacing w:line="360" w:lineRule="auto"/>
              <w:ind w:left="0" w:leftChars="0" w:right="0" w:firstLine="0" w:firstLineChars="0"/>
              <w:rPr>
                <w:rFonts w:hint="eastAsia" w:ascii="宋体" w:hAnsi="宋体" w:eastAsia="宋体" w:cs="宋体"/>
                <w:color w:val="auto"/>
                <w:kern w:val="0"/>
                <w:szCs w:val="21"/>
              </w:rPr>
            </w:pPr>
            <w:r>
              <w:rPr>
                <w:rFonts w:hint="eastAsia" w:ascii="宋体" w:hAnsi="宋体" w:eastAsia="宋体" w:cs="宋体"/>
                <w:color w:val="auto"/>
                <w:kern w:val="0"/>
                <w:szCs w:val="21"/>
              </w:rPr>
              <w:t>　</w:t>
            </w:r>
          </w:p>
        </w:tc>
      </w:tr>
      <w:tr>
        <w:tblPrEx>
          <w:tblCellMar>
            <w:top w:w="0" w:type="dxa"/>
            <w:left w:w="108" w:type="dxa"/>
            <w:bottom w:w="0" w:type="dxa"/>
            <w:right w:w="108" w:type="dxa"/>
          </w:tblCellMar>
        </w:tblPrEx>
        <w:trPr>
          <w:trHeight w:val="270" w:hRule="atLeast"/>
          <w:jc w:val="center"/>
        </w:trPr>
        <w:tc>
          <w:tcPr>
            <w:tcW w:w="1642" w:type="dxa"/>
            <w:tcBorders>
              <w:top w:val="nil"/>
              <w:left w:val="single" w:color="auto" w:sz="4" w:space="0"/>
              <w:bottom w:val="single" w:color="auto" w:sz="4" w:space="0"/>
              <w:right w:val="single" w:color="auto" w:sz="4" w:space="0"/>
            </w:tcBorders>
            <w:shd w:val="clear" w:color="000000" w:fill="FFFFFF"/>
            <w:vAlign w:val="center"/>
          </w:tcPr>
          <w:p>
            <w:pPr>
              <w:pageBreakBefore w:val="0"/>
              <w:widowControl/>
              <w:kinsoku/>
              <w:wordWrap/>
              <w:overflowPunct/>
              <w:topLinePunct w:val="0"/>
              <w:bidi w:val="0"/>
              <w:spacing w:line="360" w:lineRule="auto"/>
              <w:ind w:left="0" w:leftChars="0" w:right="0" w:firstLine="0" w:firstLineChars="0"/>
              <w:rPr>
                <w:rFonts w:hint="eastAsia" w:ascii="宋体" w:hAnsi="宋体" w:eastAsia="宋体" w:cs="宋体"/>
                <w:color w:val="auto"/>
                <w:kern w:val="0"/>
                <w:szCs w:val="21"/>
              </w:rPr>
            </w:pPr>
            <w:r>
              <w:rPr>
                <w:rFonts w:hint="eastAsia" w:ascii="宋体" w:hAnsi="宋体" w:eastAsia="宋体" w:cs="宋体"/>
                <w:color w:val="auto"/>
                <w:kern w:val="0"/>
                <w:szCs w:val="21"/>
              </w:rPr>
              <w:t>　</w:t>
            </w:r>
          </w:p>
        </w:tc>
        <w:tc>
          <w:tcPr>
            <w:tcW w:w="1500" w:type="dxa"/>
            <w:tcBorders>
              <w:top w:val="nil"/>
              <w:left w:val="nil"/>
              <w:bottom w:val="single" w:color="auto" w:sz="4" w:space="0"/>
              <w:right w:val="single" w:color="auto" w:sz="4" w:space="0"/>
            </w:tcBorders>
            <w:shd w:val="clear" w:color="000000" w:fill="FFFFFF"/>
            <w:vAlign w:val="center"/>
          </w:tcPr>
          <w:p>
            <w:pPr>
              <w:pageBreakBefore w:val="0"/>
              <w:widowControl/>
              <w:kinsoku/>
              <w:wordWrap/>
              <w:overflowPunct/>
              <w:topLinePunct w:val="0"/>
              <w:bidi w:val="0"/>
              <w:spacing w:line="360" w:lineRule="auto"/>
              <w:ind w:left="0" w:leftChars="0" w:right="0" w:firstLine="0" w:firstLineChars="0"/>
              <w:rPr>
                <w:rFonts w:hint="eastAsia" w:ascii="宋体" w:hAnsi="宋体" w:eastAsia="宋体" w:cs="宋体"/>
                <w:color w:val="auto"/>
                <w:kern w:val="0"/>
                <w:szCs w:val="21"/>
              </w:rPr>
            </w:pPr>
            <w:r>
              <w:rPr>
                <w:rFonts w:hint="eastAsia" w:ascii="宋体" w:hAnsi="宋体" w:eastAsia="宋体" w:cs="宋体"/>
                <w:color w:val="auto"/>
                <w:kern w:val="0"/>
                <w:szCs w:val="21"/>
              </w:rPr>
              <w:t>　</w:t>
            </w:r>
          </w:p>
        </w:tc>
        <w:tc>
          <w:tcPr>
            <w:tcW w:w="1087" w:type="dxa"/>
            <w:tcBorders>
              <w:top w:val="nil"/>
              <w:left w:val="nil"/>
              <w:bottom w:val="single" w:color="auto" w:sz="4" w:space="0"/>
              <w:right w:val="single" w:color="auto" w:sz="4" w:space="0"/>
            </w:tcBorders>
            <w:shd w:val="clear" w:color="000000" w:fill="FFFFFF"/>
            <w:vAlign w:val="center"/>
          </w:tcPr>
          <w:p>
            <w:pPr>
              <w:pageBreakBefore w:val="0"/>
              <w:widowControl/>
              <w:kinsoku/>
              <w:wordWrap/>
              <w:overflowPunct/>
              <w:topLinePunct w:val="0"/>
              <w:bidi w:val="0"/>
              <w:spacing w:line="360" w:lineRule="auto"/>
              <w:ind w:left="0" w:leftChars="0" w:right="0" w:firstLine="0" w:firstLineChars="0"/>
              <w:rPr>
                <w:rFonts w:hint="eastAsia" w:ascii="宋体" w:hAnsi="宋体" w:eastAsia="宋体" w:cs="宋体"/>
                <w:color w:val="auto"/>
                <w:kern w:val="0"/>
                <w:szCs w:val="21"/>
              </w:rPr>
            </w:pPr>
            <w:r>
              <w:rPr>
                <w:rFonts w:hint="eastAsia" w:ascii="宋体" w:hAnsi="宋体" w:eastAsia="宋体" w:cs="宋体"/>
                <w:color w:val="auto"/>
                <w:kern w:val="0"/>
                <w:szCs w:val="21"/>
              </w:rPr>
              <w:t>　</w:t>
            </w:r>
          </w:p>
        </w:tc>
        <w:tc>
          <w:tcPr>
            <w:tcW w:w="1376" w:type="dxa"/>
            <w:tcBorders>
              <w:top w:val="nil"/>
              <w:left w:val="nil"/>
              <w:bottom w:val="single" w:color="auto" w:sz="4" w:space="0"/>
              <w:right w:val="single" w:color="auto" w:sz="4" w:space="0"/>
            </w:tcBorders>
            <w:shd w:val="clear" w:color="000000" w:fill="FFFFFF"/>
            <w:vAlign w:val="center"/>
          </w:tcPr>
          <w:p>
            <w:pPr>
              <w:pageBreakBefore w:val="0"/>
              <w:widowControl/>
              <w:kinsoku/>
              <w:wordWrap/>
              <w:overflowPunct/>
              <w:topLinePunct w:val="0"/>
              <w:bidi w:val="0"/>
              <w:spacing w:line="360" w:lineRule="auto"/>
              <w:ind w:left="0" w:leftChars="0" w:right="0" w:firstLine="0" w:firstLineChars="0"/>
              <w:rPr>
                <w:rFonts w:hint="eastAsia" w:ascii="宋体" w:hAnsi="宋体" w:eastAsia="宋体" w:cs="宋体"/>
                <w:color w:val="auto"/>
                <w:kern w:val="0"/>
                <w:szCs w:val="21"/>
              </w:rPr>
            </w:pPr>
            <w:r>
              <w:rPr>
                <w:rFonts w:hint="eastAsia" w:ascii="宋体" w:hAnsi="宋体" w:eastAsia="宋体" w:cs="宋体"/>
                <w:color w:val="auto"/>
                <w:kern w:val="0"/>
                <w:szCs w:val="21"/>
              </w:rPr>
              <w:t>　</w:t>
            </w:r>
          </w:p>
        </w:tc>
        <w:tc>
          <w:tcPr>
            <w:tcW w:w="1633" w:type="dxa"/>
            <w:tcBorders>
              <w:top w:val="nil"/>
              <w:left w:val="nil"/>
              <w:bottom w:val="single" w:color="auto" w:sz="4" w:space="0"/>
              <w:right w:val="single" w:color="auto" w:sz="4" w:space="0"/>
            </w:tcBorders>
            <w:shd w:val="clear" w:color="000000" w:fill="FFFFFF"/>
            <w:vAlign w:val="center"/>
          </w:tcPr>
          <w:p>
            <w:pPr>
              <w:pageBreakBefore w:val="0"/>
              <w:widowControl/>
              <w:kinsoku/>
              <w:wordWrap/>
              <w:overflowPunct/>
              <w:topLinePunct w:val="0"/>
              <w:bidi w:val="0"/>
              <w:spacing w:line="360" w:lineRule="auto"/>
              <w:ind w:left="0" w:leftChars="0" w:right="0" w:firstLine="0" w:firstLineChars="0"/>
              <w:rPr>
                <w:rFonts w:hint="eastAsia" w:ascii="宋体" w:hAnsi="宋体" w:eastAsia="宋体" w:cs="宋体"/>
                <w:color w:val="auto"/>
                <w:kern w:val="0"/>
                <w:szCs w:val="21"/>
              </w:rPr>
            </w:pPr>
            <w:r>
              <w:rPr>
                <w:rFonts w:hint="eastAsia" w:ascii="宋体" w:hAnsi="宋体" w:eastAsia="宋体" w:cs="宋体"/>
                <w:color w:val="auto"/>
                <w:kern w:val="0"/>
                <w:szCs w:val="21"/>
              </w:rPr>
              <w:t>　</w:t>
            </w:r>
          </w:p>
        </w:tc>
        <w:tc>
          <w:tcPr>
            <w:tcW w:w="1238" w:type="dxa"/>
            <w:tcBorders>
              <w:top w:val="nil"/>
              <w:left w:val="nil"/>
              <w:bottom w:val="single" w:color="auto" w:sz="4" w:space="0"/>
              <w:right w:val="single" w:color="auto" w:sz="4" w:space="0"/>
            </w:tcBorders>
            <w:shd w:val="clear" w:color="000000" w:fill="FFFFFF"/>
            <w:vAlign w:val="center"/>
          </w:tcPr>
          <w:p>
            <w:pPr>
              <w:pageBreakBefore w:val="0"/>
              <w:widowControl/>
              <w:kinsoku/>
              <w:wordWrap/>
              <w:overflowPunct/>
              <w:topLinePunct w:val="0"/>
              <w:bidi w:val="0"/>
              <w:spacing w:line="360" w:lineRule="auto"/>
              <w:ind w:left="0" w:leftChars="0" w:right="0" w:firstLine="0" w:firstLineChars="0"/>
              <w:rPr>
                <w:rFonts w:hint="eastAsia" w:ascii="宋体" w:hAnsi="宋体" w:eastAsia="宋体" w:cs="宋体"/>
                <w:color w:val="auto"/>
                <w:kern w:val="0"/>
                <w:szCs w:val="21"/>
              </w:rPr>
            </w:pPr>
            <w:r>
              <w:rPr>
                <w:rFonts w:hint="eastAsia" w:ascii="宋体" w:hAnsi="宋体" w:eastAsia="宋体" w:cs="宋体"/>
                <w:color w:val="auto"/>
                <w:kern w:val="0"/>
                <w:szCs w:val="21"/>
              </w:rPr>
              <w:t>　</w:t>
            </w:r>
          </w:p>
        </w:tc>
      </w:tr>
    </w:tbl>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投标人代表签字:</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u w:val="single"/>
        </w:rPr>
      </w:pPr>
      <w:r>
        <w:rPr>
          <w:rFonts w:hint="eastAsia" w:ascii="宋体" w:hAnsi="宋体" w:eastAsia="宋体" w:cs="宋体"/>
          <w:color w:val="auto"/>
          <w:szCs w:val="21"/>
        </w:rPr>
        <w:t>单位盖章：</w:t>
      </w:r>
    </w:p>
    <w:p>
      <w:pPr>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br w:type="page"/>
      </w:r>
    </w:p>
    <w:p>
      <w:pPr>
        <w:pStyle w:val="2"/>
        <w:rPr>
          <w:rFonts w:hint="eastAsia"/>
          <w:lang w:val="en-US" w:eastAsia="zh-CN"/>
        </w:rPr>
      </w:pPr>
    </w:p>
    <w:p>
      <w:pPr>
        <w:pStyle w:val="3"/>
        <w:numPr>
          <w:ilvl w:val="0"/>
          <w:numId w:val="16"/>
        </w:numPr>
        <w:bidi w:val="0"/>
        <w:spacing w:line="360" w:lineRule="auto"/>
        <w:ind w:left="0" w:leftChars="0" w:firstLine="420" w:firstLineChars="0"/>
        <w:rPr>
          <w:rFonts w:hint="eastAsia" w:ascii="宋体" w:hAnsi="宋体" w:eastAsia="宋体" w:cs="宋体"/>
          <w:b/>
          <w:bCs w:val="0"/>
          <w:sz w:val="21"/>
          <w:szCs w:val="21"/>
          <w:lang w:val="en-US" w:eastAsia="zh-CN"/>
        </w:rPr>
      </w:pPr>
      <w:bookmarkStart w:id="272" w:name="_Toc6552"/>
      <w:bookmarkStart w:id="273" w:name="_Toc26358"/>
      <w:bookmarkStart w:id="274" w:name="_Toc10949"/>
      <w:bookmarkStart w:id="275" w:name="_Toc26800"/>
      <w:r>
        <w:rPr>
          <w:rFonts w:hint="eastAsia" w:ascii="宋体" w:hAnsi="宋体" w:eastAsia="宋体" w:cs="宋体"/>
          <w:b/>
          <w:bCs w:val="0"/>
          <w:sz w:val="21"/>
          <w:szCs w:val="21"/>
          <w:lang w:val="en-US" w:eastAsia="zh-CN"/>
        </w:rPr>
        <w:t>关于资格的声明函</w:t>
      </w:r>
      <w:bookmarkEnd w:id="272"/>
      <w:bookmarkEnd w:id="273"/>
      <w:bookmarkEnd w:id="274"/>
      <w:bookmarkEnd w:id="275"/>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致：</w:t>
      </w:r>
      <w:r>
        <w:rPr>
          <w:rFonts w:hint="eastAsia" w:ascii="宋体" w:hAnsi="宋体" w:eastAsia="宋体" w:cs="宋体"/>
          <w:color w:val="auto"/>
          <w:szCs w:val="21"/>
          <w:u w:val="single"/>
          <w:lang w:val="en-US" w:eastAsia="zh-CN"/>
        </w:rPr>
        <w:t>XXX</w:t>
      </w:r>
      <w:r>
        <w:rPr>
          <w:rFonts w:hint="eastAsia" w:ascii="宋体" w:hAnsi="宋体" w:eastAsia="宋体" w:cs="宋体"/>
          <w:color w:val="auto"/>
          <w:szCs w:val="21"/>
          <w:u w:val="single"/>
        </w:rPr>
        <w:t>公司</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为响应你方</w:t>
      </w:r>
      <w:r>
        <w:rPr>
          <w:rFonts w:hint="eastAsia" w:ascii="宋体" w:hAnsi="宋体" w:eastAsia="宋体" w:cs="宋体"/>
          <w:i/>
          <w:color w:val="auto"/>
          <w:szCs w:val="21"/>
          <w:u w:val="single"/>
        </w:rPr>
        <w:t>（项目名称）（招标编号）</w:t>
      </w:r>
      <w:r>
        <w:rPr>
          <w:rFonts w:hint="eastAsia" w:ascii="宋体" w:hAnsi="宋体" w:eastAsia="宋体" w:cs="宋体"/>
          <w:color w:val="auto"/>
          <w:szCs w:val="21"/>
        </w:rPr>
        <w:t>投标邀请，下述签字人愿参与投标，提供招标文件规定的货物及服务，提交下述文件并声明全部说明是真实的和正确的。</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1、我方投标代表的授权文件一份。</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2、我方营业执照副本及资质证书复印件（加盖公章)份，共页。</w:t>
      </w:r>
    </w:p>
    <w:tbl>
      <w:tblPr>
        <w:tblStyle w:val="16"/>
        <w:tblW w:w="88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6"/>
        <w:gridCol w:w="1800"/>
        <w:gridCol w:w="1440"/>
        <w:gridCol w:w="1260"/>
        <w:gridCol w:w="1401"/>
        <w:gridCol w:w="207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866"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序号</w:t>
            </w:r>
          </w:p>
        </w:tc>
        <w:tc>
          <w:tcPr>
            <w:tcW w:w="1800"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证书名称</w:t>
            </w:r>
          </w:p>
        </w:tc>
        <w:tc>
          <w:tcPr>
            <w:tcW w:w="1440"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发证机构</w:t>
            </w:r>
          </w:p>
        </w:tc>
        <w:tc>
          <w:tcPr>
            <w:tcW w:w="1260"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证书等级</w:t>
            </w:r>
          </w:p>
        </w:tc>
        <w:tc>
          <w:tcPr>
            <w:tcW w:w="1401"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证书有限期</w:t>
            </w:r>
          </w:p>
        </w:tc>
        <w:tc>
          <w:tcPr>
            <w:tcW w:w="2073"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866"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1800"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1440"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1260"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1401"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2073"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866"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1800"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1440"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1260"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1401"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2073"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866"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1800"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1440"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1260"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1401"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2073"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r>
    </w:tbl>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3、我方的资格声明一份。</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4、招标文件要求的其他资格证明文件。</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本签字人确认资格文件中的内容是真实的、准确的，您有权进行您认为必要的所有调查。</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投标人的名称：</w:t>
      </w:r>
      <w:r>
        <w:rPr>
          <w:rFonts w:hint="eastAsia" w:ascii="宋体" w:hAnsi="宋体" w:eastAsia="宋体" w:cs="宋体"/>
          <w:color w:val="auto"/>
          <w:szCs w:val="21"/>
        </w:rPr>
        <w:tab/>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授权签署本资格文件的签字人姓名、职务（印刷字体)：</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投标人盖章：</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投标人代表签字：</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地址：</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传真：</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签字：</w:t>
      </w: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邮编：</w:t>
      </w:r>
    </w:p>
    <w:p>
      <w:pPr>
        <w:spacing w:line="360" w:lineRule="auto"/>
        <w:rPr>
          <w:rFonts w:hint="eastAsia" w:ascii="宋体" w:hAnsi="宋体" w:eastAsia="宋体" w:cs="宋体"/>
          <w:color w:val="auto"/>
          <w:szCs w:val="21"/>
        </w:rPr>
      </w:pPr>
      <w:r>
        <w:rPr>
          <w:rFonts w:hint="eastAsia" w:ascii="宋体" w:hAnsi="宋体" w:eastAsia="宋体" w:cs="宋体"/>
          <w:color w:val="auto"/>
          <w:szCs w:val="21"/>
        </w:rPr>
        <w:t>电话：</w:t>
      </w:r>
    </w:p>
    <w:p>
      <w:pPr>
        <w:spacing w:line="360" w:lineRule="auto"/>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br w:type="page"/>
      </w:r>
    </w:p>
    <w:p>
      <w:pPr>
        <w:pStyle w:val="3"/>
        <w:numPr>
          <w:ilvl w:val="0"/>
          <w:numId w:val="16"/>
        </w:numPr>
        <w:bidi w:val="0"/>
        <w:spacing w:line="360" w:lineRule="auto"/>
        <w:ind w:left="0" w:leftChars="0" w:firstLine="420" w:firstLineChars="0"/>
        <w:rPr>
          <w:rFonts w:hint="eastAsia" w:ascii="宋体" w:hAnsi="宋体" w:eastAsia="宋体" w:cs="宋体"/>
          <w:b/>
          <w:bCs w:val="0"/>
          <w:sz w:val="21"/>
          <w:szCs w:val="21"/>
          <w:lang w:val="en-US" w:eastAsia="zh-CN"/>
        </w:rPr>
      </w:pPr>
      <w:bookmarkStart w:id="276" w:name="_Toc9690"/>
      <w:bookmarkStart w:id="277" w:name="_Toc8807"/>
      <w:bookmarkStart w:id="278" w:name="_Toc4627"/>
      <w:bookmarkStart w:id="279" w:name="_Toc20846"/>
      <w:r>
        <w:rPr>
          <w:rFonts w:hint="eastAsia" w:ascii="宋体" w:hAnsi="宋体" w:eastAsia="宋体" w:cs="宋体"/>
          <w:b/>
          <w:bCs w:val="0"/>
          <w:sz w:val="21"/>
          <w:szCs w:val="21"/>
          <w:lang w:val="en-US" w:eastAsia="zh-CN"/>
        </w:rPr>
        <w:t>投标人情况表</w:t>
      </w:r>
      <w:bookmarkEnd w:id="276"/>
      <w:bookmarkEnd w:id="277"/>
      <w:bookmarkEnd w:id="278"/>
      <w:bookmarkEnd w:id="279"/>
    </w:p>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 w:val="21"/>
          <w:szCs w:val="21"/>
        </w:rPr>
      </w:pPr>
    </w:p>
    <w:tbl>
      <w:tblPr>
        <w:tblStyle w:val="16"/>
        <w:tblW w:w="912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1529"/>
        <w:gridCol w:w="900"/>
        <w:gridCol w:w="900"/>
        <w:gridCol w:w="1373"/>
        <w:gridCol w:w="97"/>
        <w:gridCol w:w="690"/>
        <w:gridCol w:w="574"/>
        <w:gridCol w:w="757"/>
        <w:gridCol w:w="127"/>
        <w:gridCol w:w="2179"/>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20" w:hRule="atLeast"/>
          <w:jc w:val="center"/>
        </w:trPr>
        <w:tc>
          <w:tcPr>
            <w:tcW w:w="1529" w:type="dxa"/>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单位名称</w:t>
            </w:r>
          </w:p>
        </w:tc>
        <w:tc>
          <w:tcPr>
            <w:tcW w:w="7597" w:type="dxa"/>
            <w:gridSpan w:val="9"/>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20" w:hRule="atLeast"/>
          <w:jc w:val="center"/>
        </w:trPr>
        <w:tc>
          <w:tcPr>
            <w:tcW w:w="1529" w:type="dxa"/>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详细地址</w:t>
            </w:r>
          </w:p>
        </w:tc>
        <w:tc>
          <w:tcPr>
            <w:tcW w:w="7597" w:type="dxa"/>
            <w:gridSpan w:val="9"/>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20" w:hRule="atLeast"/>
          <w:jc w:val="center"/>
        </w:trPr>
        <w:tc>
          <w:tcPr>
            <w:tcW w:w="1529" w:type="dxa"/>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主管部门</w:t>
            </w:r>
          </w:p>
        </w:tc>
        <w:tc>
          <w:tcPr>
            <w:tcW w:w="1800" w:type="dxa"/>
            <w:gridSpan w:val="2"/>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1373" w:type="dxa"/>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法定代表人</w:t>
            </w:r>
          </w:p>
        </w:tc>
        <w:tc>
          <w:tcPr>
            <w:tcW w:w="1361" w:type="dxa"/>
            <w:gridSpan w:val="3"/>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884" w:type="dxa"/>
            <w:gridSpan w:val="2"/>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职 务</w:t>
            </w:r>
          </w:p>
        </w:tc>
        <w:tc>
          <w:tcPr>
            <w:tcW w:w="2179" w:type="dxa"/>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20" w:hRule="atLeast"/>
          <w:jc w:val="center"/>
        </w:trPr>
        <w:tc>
          <w:tcPr>
            <w:tcW w:w="1529" w:type="dxa"/>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经济类型</w:t>
            </w:r>
          </w:p>
        </w:tc>
        <w:tc>
          <w:tcPr>
            <w:tcW w:w="1800" w:type="dxa"/>
            <w:gridSpan w:val="2"/>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1373" w:type="dxa"/>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授权代理人</w:t>
            </w:r>
          </w:p>
        </w:tc>
        <w:tc>
          <w:tcPr>
            <w:tcW w:w="1361" w:type="dxa"/>
            <w:gridSpan w:val="3"/>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884" w:type="dxa"/>
            <w:gridSpan w:val="2"/>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职 务</w:t>
            </w:r>
          </w:p>
        </w:tc>
        <w:tc>
          <w:tcPr>
            <w:tcW w:w="2179" w:type="dxa"/>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20" w:hRule="atLeast"/>
          <w:jc w:val="center"/>
        </w:trPr>
        <w:tc>
          <w:tcPr>
            <w:tcW w:w="1529" w:type="dxa"/>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邮政编码</w:t>
            </w:r>
          </w:p>
        </w:tc>
        <w:tc>
          <w:tcPr>
            <w:tcW w:w="1800" w:type="dxa"/>
            <w:gridSpan w:val="2"/>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1373" w:type="dxa"/>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电 话</w:t>
            </w:r>
          </w:p>
        </w:tc>
        <w:tc>
          <w:tcPr>
            <w:tcW w:w="1361" w:type="dxa"/>
            <w:gridSpan w:val="3"/>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884" w:type="dxa"/>
            <w:gridSpan w:val="2"/>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传 真</w:t>
            </w:r>
          </w:p>
        </w:tc>
        <w:tc>
          <w:tcPr>
            <w:tcW w:w="2179" w:type="dxa"/>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1383" w:hRule="atLeast"/>
          <w:jc w:val="center"/>
        </w:trPr>
        <w:tc>
          <w:tcPr>
            <w:tcW w:w="1529" w:type="dxa"/>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单位简历</w:t>
            </w:r>
          </w:p>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及机构</w:t>
            </w:r>
          </w:p>
        </w:tc>
        <w:tc>
          <w:tcPr>
            <w:tcW w:w="7597" w:type="dxa"/>
            <w:gridSpan w:val="9"/>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1418" w:hRule="atLeast"/>
          <w:jc w:val="center"/>
        </w:trPr>
        <w:tc>
          <w:tcPr>
            <w:tcW w:w="1529" w:type="dxa"/>
            <w:tcBorders>
              <w:bottom w:val="single" w:color="auto" w:sz="4" w:space="0"/>
            </w:tcBorders>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单位优</w:t>
            </w:r>
          </w:p>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势及特长</w:t>
            </w:r>
          </w:p>
        </w:tc>
        <w:tc>
          <w:tcPr>
            <w:tcW w:w="7597" w:type="dxa"/>
            <w:gridSpan w:val="9"/>
            <w:tcBorders>
              <w:bottom w:val="single" w:color="000000"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20" w:hRule="atLeast"/>
          <w:jc w:val="center"/>
        </w:trPr>
        <w:tc>
          <w:tcPr>
            <w:tcW w:w="1529" w:type="dxa"/>
            <w:vMerge w:val="restart"/>
            <w:tcBorders>
              <w:top w:val="single" w:color="auto" w:sz="4"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财</w:t>
            </w:r>
          </w:p>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务</w:t>
            </w:r>
          </w:p>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概</w:t>
            </w:r>
          </w:p>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况</w:t>
            </w:r>
          </w:p>
        </w:tc>
        <w:tc>
          <w:tcPr>
            <w:tcW w:w="900" w:type="dxa"/>
            <w:vMerge w:val="restart"/>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流动</w:t>
            </w:r>
          </w:p>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资金</w:t>
            </w:r>
          </w:p>
        </w:tc>
        <w:tc>
          <w:tcPr>
            <w:tcW w:w="2370" w:type="dxa"/>
            <w:gridSpan w:val="3"/>
            <w:vMerge w:val="restart"/>
            <w:vAlign w:val="center"/>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 xml:space="preserve">             万元</w:t>
            </w:r>
          </w:p>
        </w:tc>
        <w:tc>
          <w:tcPr>
            <w:tcW w:w="690" w:type="dxa"/>
            <w:vMerge w:val="restart"/>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资金</w:t>
            </w:r>
          </w:p>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来源</w:t>
            </w:r>
          </w:p>
        </w:tc>
        <w:tc>
          <w:tcPr>
            <w:tcW w:w="1331" w:type="dxa"/>
            <w:gridSpan w:val="2"/>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自有资金</w:t>
            </w:r>
          </w:p>
        </w:tc>
        <w:tc>
          <w:tcPr>
            <w:tcW w:w="2306" w:type="dxa"/>
            <w:gridSpan w:val="2"/>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 xml:space="preserve">           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20" w:hRule="atLeast"/>
          <w:jc w:val="center"/>
        </w:trPr>
        <w:tc>
          <w:tcPr>
            <w:tcW w:w="1529" w:type="dxa"/>
            <w:vMerge w:val="continue"/>
            <w:tcBorders>
              <w:bottom w:val="single" w:color="000000"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900" w:type="dxa"/>
            <w:vMerge w:val="continue"/>
            <w:tcBorders>
              <w:bottom w:val="single" w:color="000000"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2370" w:type="dxa"/>
            <w:gridSpan w:val="3"/>
            <w:vMerge w:val="continue"/>
            <w:tcBorders>
              <w:bottom w:val="single" w:color="000000"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690" w:type="dxa"/>
            <w:vMerge w:val="continue"/>
            <w:tcBorders>
              <w:bottom w:val="single" w:color="000000"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1331" w:type="dxa"/>
            <w:gridSpan w:val="2"/>
            <w:tcBorders>
              <w:bottom w:val="single" w:color="000000"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银行贷款</w:t>
            </w:r>
          </w:p>
        </w:tc>
        <w:tc>
          <w:tcPr>
            <w:tcW w:w="2306" w:type="dxa"/>
            <w:gridSpan w:val="2"/>
            <w:tcBorders>
              <w:bottom w:val="single" w:color="000000"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 xml:space="preserve">           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20" w:hRule="atLeast"/>
          <w:jc w:val="center"/>
        </w:trPr>
        <w:tc>
          <w:tcPr>
            <w:tcW w:w="1529" w:type="dxa"/>
            <w:vMerge w:val="continue"/>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900" w:type="dxa"/>
            <w:vMerge w:val="restart"/>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固定</w:t>
            </w:r>
          </w:p>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资产</w:t>
            </w:r>
          </w:p>
        </w:tc>
        <w:tc>
          <w:tcPr>
            <w:tcW w:w="2370" w:type="dxa"/>
            <w:gridSpan w:val="3"/>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原值         万元</w:t>
            </w:r>
          </w:p>
        </w:tc>
        <w:tc>
          <w:tcPr>
            <w:tcW w:w="690" w:type="dxa"/>
            <w:vMerge w:val="restart"/>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资金</w:t>
            </w:r>
          </w:p>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性质</w:t>
            </w:r>
          </w:p>
        </w:tc>
        <w:tc>
          <w:tcPr>
            <w:tcW w:w="1331" w:type="dxa"/>
            <w:gridSpan w:val="2"/>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生产性</w:t>
            </w:r>
          </w:p>
        </w:tc>
        <w:tc>
          <w:tcPr>
            <w:tcW w:w="2306" w:type="dxa"/>
            <w:gridSpan w:val="2"/>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 xml:space="preserve">           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20" w:hRule="atLeast"/>
          <w:jc w:val="center"/>
        </w:trPr>
        <w:tc>
          <w:tcPr>
            <w:tcW w:w="1529" w:type="dxa"/>
            <w:vMerge w:val="continue"/>
            <w:tcBorders>
              <w:bottom w:val="single" w:color="000000"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900" w:type="dxa"/>
            <w:vMerge w:val="continue"/>
            <w:tcBorders>
              <w:bottom w:val="single" w:color="000000"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2370" w:type="dxa"/>
            <w:gridSpan w:val="3"/>
            <w:tcBorders>
              <w:bottom w:val="single" w:color="000000"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净值         万元</w:t>
            </w:r>
          </w:p>
        </w:tc>
        <w:tc>
          <w:tcPr>
            <w:tcW w:w="690" w:type="dxa"/>
            <w:vMerge w:val="continue"/>
            <w:tcBorders>
              <w:bottom w:val="single" w:color="000000"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p>
        </w:tc>
        <w:tc>
          <w:tcPr>
            <w:tcW w:w="1331" w:type="dxa"/>
            <w:gridSpan w:val="2"/>
            <w:tcBorders>
              <w:bottom w:val="single" w:color="000000"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非生产性</w:t>
            </w:r>
          </w:p>
        </w:tc>
        <w:tc>
          <w:tcPr>
            <w:tcW w:w="2306" w:type="dxa"/>
            <w:gridSpan w:val="2"/>
            <w:tcBorders>
              <w:bottom w:val="single" w:color="000000" w:sz="6" w:space="0"/>
            </w:tcBorders>
          </w:tcPr>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Cs w:val="21"/>
              </w:rPr>
            </w:pPr>
            <w:r>
              <w:rPr>
                <w:rFonts w:hint="eastAsia" w:ascii="宋体" w:hAnsi="宋体" w:eastAsia="宋体" w:cs="宋体"/>
                <w:color w:val="auto"/>
                <w:szCs w:val="21"/>
              </w:rPr>
              <w:t xml:space="preserve">           万元</w:t>
            </w:r>
          </w:p>
        </w:tc>
      </w:tr>
    </w:tbl>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Cs w:val="21"/>
        </w:rPr>
      </w:pPr>
    </w:p>
    <w:p>
      <w:pPr>
        <w:pageBreakBefore w:val="0"/>
        <w:kinsoku/>
        <w:wordWrap/>
        <w:overflowPunct/>
        <w:topLinePunct w:val="0"/>
        <w:bidi w:val="0"/>
        <w:spacing w:line="360" w:lineRule="auto"/>
        <w:ind w:left="0" w:leftChars="0" w:right="0" w:firstLine="0" w:firstLineChars="0"/>
        <w:jc w:val="right"/>
        <w:rPr>
          <w:rFonts w:hint="eastAsia" w:ascii="宋体" w:hAnsi="宋体" w:eastAsia="宋体" w:cs="宋体"/>
          <w:color w:val="auto"/>
          <w:szCs w:val="21"/>
        </w:rPr>
      </w:pPr>
      <w:r>
        <w:rPr>
          <w:rFonts w:hint="eastAsia" w:ascii="宋体" w:hAnsi="宋体" w:eastAsia="宋体" w:cs="宋体"/>
          <w:color w:val="auto"/>
          <w:szCs w:val="21"/>
        </w:rPr>
        <w:t xml:space="preserve">   投标申请人：         (盖单位章)</w:t>
      </w:r>
    </w:p>
    <w:p>
      <w:pPr>
        <w:pageBreakBefore w:val="0"/>
        <w:kinsoku/>
        <w:wordWrap/>
        <w:overflowPunct/>
        <w:topLinePunct w:val="0"/>
        <w:bidi w:val="0"/>
        <w:spacing w:line="360" w:lineRule="auto"/>
        <w:ind w:left="0" w:leftChars="0" w:right="0" w:firstLine="0" w:firstLineChars="0"/>
        <w:jc w:val="right"/>
        <w:rPr>
          <w:rFonts w:hint="eastAsia" w:ascii="宋体" w:hAnsi="宋体" w:eastAsia="宋体" w:cs="宋体"/>
          <w:color w:val="auto"/>
          <w:szCs w:val="21"/>
        </w:rPr>
      </w:pPr>
      <w:r>
        <w:rPr>
          <w:rFonts w:hint="eastAsia" w:ascii="宋体" w:hAnsi="宋体" w:eastAsia="宋体" w:cs="宋体"/>
          <w:color w:val="auto"/>
          <w:szCs w:val="21"/>
        </w:rPr>
        <w:t>法定代表人(或委托代理人)：      (签名)</w:t>
      </w:r>
    </w:p>
    <w:p>
      <w:pPr>
        <w:pageBreakBefore w:val="0"/>
        <w:kinsoku/>
        <w:wordWrap/>
        <w:overflowPunct/>
        <w:topLinePunct w:val="0"/>
        <w:bidi w:val="0"/>
        <w:spacing w:line="360" w:lineRule="auto"/>
        <w:ind w:left="0" w:leftChars="0" w:right="0" w:firstLine="0" w:firstLineChars="0"/>
        <w:rPr>
          <w:rFonts w:hint="eastAsia" w:ascii="宋体" w:hAnsi="宋体" w:eastAsia="宋体" w:cs="宋体"/>
          <w:szCs w:val="21"/>
        </w:rPr>
        <w:sectPr>
          <w:pgSz w:w="11906" w:h="16838"/>
          <w:pgMar w:top="1440" w:right="1797" w:bottom="1440" w:left="1797" w:header="851" w:footer="992" w:gutter="0"/>
          <w:cols w:space="425" w:num="1"/>
          <w:docGrid w:type="linesAndChars" w:linePitch="317" w:charSpace="640"/>
        </w:sectPr>
      </w:pPr>
      <w:r>
        <w:rPr>
          <w:rFonts w:hint="eastAsia" w:ascii="宋体" w:hAnsi="宋体" w:eastAsia="宋体" w:cs="宋体"/>
          <w:color w:val="auto"/>
          <w:szCs w:val="21"/>
        </w:rPr>
        <w:t xml:space="preserve">               </w:t>
      </w:r>
      <w:r>
        <w:rPr>
          <w:rFonts w:hint="eastAsia" w:ascii="宋体" w:hAnsi="宋体" w:eastAsia="宋体" w:cs="宋体"/>
          <w:color w:val="auto"/>
          <w:szCs w:val="21"/>
          <w:lang w:val="en-US" w:eastAsia="zh-CN"/>
        </w:rPr>
        <w:t xml:space="preserve">                                                    </w:t>
      </w:r>
      <w:r>
        <w:rPr>
          <w:rFonts w:hint="eastAsia" w:ascii="宋体" w:hAnsi="宋体" w:eastAsia="宋体" w:cs="宋体"/>
          <w:color w:val="auto"/>
          <w:szCs w:val="21"/>
        </w:rPr>
        <w:t>年  月  日</w:t>
      </w:r>
    </w:p>
    <w:p>
      <w:pPr>
        <w:spacing w:line="360" w:lineRule="auto"/>
        <w:rPr>
          <w:rFonts w:hint="eastAsia" w:ascii="宋体" w:hAnsi="宋体" w:eastAsia="宋体" w:cs="宋体"/>
          <w:color w:val="auto"/>
          <w:szCs w:val="21"/>
        </w:rPr>
      </w:pPr>
    </w:p>
    <w:p>
      <w:pPr>
        <w:pStyle w:val="3"/>
        <w:numPr>
          <w:ilvl w:val="0"/>
          <w:numId w:val="16"/>
        </w:numPr>
        <w:bidi w:val="0"/>
        <w:spacing w:line="360" w:lineRule="auto"/>
        <w:ind w:left="0" w:leftChars="0" w:firstLine="420" w:firstLineChars="0"/>
        <w:rPr>
          <w:rFonts w:hint="eastAsia" w:ascii="宋体" w:hAnsi="宋体" w:eastAsia="宋体" w:cs="宋体"/>
          <w:b/>
          <w:bCs w:val="0"/>
          <w:sz w:val="21"/>
          <w:szCs w:val="21"/>
          <w:lang w:val="en-US" w:eastAsia="zh-CN"/>
        </w:rPr>
      </w:pPr>
      <w:bookmarkStart w:id="280" w:name="_Toc2453"/>
      <w:bookmarkStart w:id="281" w:name="_Toc7543"/>
      <w:bookmarkStart w:id="282" w:name="_Toc6002"/>
      <w:bookmarkStart w:id="283" w:name="_Toc26039"/>
      <w:r>
        <w:rPr>
          <w:rFonts w:hint="eastAsia" w:ascii="宋体" w:hAnsi="宋体" w:eastAsia="宋体" w:cs="宋体"/>
          <w:b/>
          <w:bCs w:val="0"/>
          <w:sz w:val="21"/>
          <w:szCs w:val="21"/>
          <w:lang w:val="en-US" w:eastAsia="zh-CN"/>
        </w:rPr>
        <w:t>近三年经营业绩一览表</w:t>
      </w:r>
      <w:bookmarkEnd w:id="280"/>
      <w:bookmarkEnd w:id="281"/>
      <w:bookmarkEnd w:id="282"/>
      <w:bookmarkEnd w:id="283"/>
    </w:p>
    <w:p>
      <w:pPr>
        <w:pageBreakBefore w:val="0"/>
        <w:kinsoku/>
        <w:wordWrap/>
        <w:overflowPunct/>
        <w:topLinePunct w:val="0"/>
        <w:bidi w:val="0"/>
        <w:spacing w:line="360" w:lineRule="auto"/>
        <w:ind w:left="0" w:leftChars="0" w:right="0" w:firstLine="0" w:firstLineChars="0"/>
        <w:jc w:val="center"/>
        <w:rPr>
          <w:rFonts w:hint="eastAsia" w:ascii="宋体" w:hAnsi="宋体" w:eastAsia="宋体" w:cs="宋体"/>
          <w:color w:val="auto"/>
          <w:sz w:val="21"/>
          <w:szCs w:val="21"/>
        </w:rPr>
      </w:pPr>
    </w:p>
    <w:tbl>
      <w:tblPr>
        <w:tblStyle w:val="16"/>
        <w:tblW w:w="8525"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2"/>
        <w:gridCol w:w="1957"/>
        <w:gridCol w:w="1187"/>
        <w:gridCol w:w="1080"/>
        <w:gridCol w:w="1328"/>
        <w:gridCol w:w="223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42"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序号</w:t>
            </w:r>
          </w:p>
        </w:tc>
        <w:tc>
          <w:tcPr>
            <w:tcW w:w="1957"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项目名称</w:t>
            </w:r>
          </w:p>
        </w:tc>
        <w:tc>
          <w:tcPr>
            <w:tcW w:w="1187"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采购单位</w:t>
            </w:r>
          </w:p>
        </w:tc>
        <w:tc>
          <w:tcPr>
            <w:tcW w:w="1080"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合同金额</w:t>
            </w:r>
          </w:p>
        </w:tc>
        <w:tc>
          <w:tcPr>
            <w:tcW w:w="1328"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完成时间</w:t>
            </w:r>
          </w:p>
        </w:tc>
        <w:tc>
          <w:tcPr>
            <w:tcW w:w="2231" w:type="dxa"/>
            <w:tcBorders>
              <w:top w:val="single" w:color="auto" w:sz="6" w:space="0"/>
              <w:left w:val="single" w:color="auto" w:sz="6" w:space="0"/>
              <w:bottom w:val="single" w:color="auto" w:sz="6" w:space="0"/>
              <w:right w:val="single" w:color="auto" w:sz="6" w:space="0"/>
            </w:tcBorders>
          </w:tcPr>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项目单位联系人及电话</w:t>
            </w:r>
          </w:p>
        </w:tc>
      </w:tr>
    </w:tbl>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注：主要经营业绩须提交中标通知书或合同复印件并加盖公章，供应商资格要求中对合格供应商经营业绩有特殊要求的应按其要求提交资料。</w:t>
      </w:r>
    </w:p>
    <w:p>
      <w:pPr>
        <w:pStyle w:val="2"/>
        <w:rPr>
          <w:rFonts w:hint="eastAsia" w:ascii="宋体" w:hAnsi="宋体" w:eastAsia="宋体" w:cs="宋体"/>
          <w:sz w:val="21"/>
          <w:szCs w:val="21"/>
        </w:rPr>
      </w:pPr>
    </w:p>
    <w:p>
      <w:pPr>
        <w:pageBreakBefore w:val="0"/>
        <w:kinsoku/>
        <w:wordWrap/>
        <w:overflowPunct/>
        <w:topLinePunct w:val="0"/>
        <w:bidi w:val="0"/>
        <w:spacing w:line="360" w:lineRule="auto"/>
        <w:ind w:left="0" w:leftChars="0" w:right="0" w:firstLine="0" w:firstLineChars="0"/>
        <w:rPr>
          <w:rFonts w:hint="eastAsia" w:ascii="宋体" w:hAnsi="宋体" w:eastAsia="宋体" w:cs="宋体"/>
          <w:color w:val="auto"/>
          <w:sz w:val="21"/>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spacing w:line="360" w:lineRule="auto"/>
        <w:rPr>
          <w:rFonts w:hint="eastAsia" w:ascii="宋体" w:hAnsi="宋体" w:eastAsia="宋体" w:cs="宋体"/>
          <w:szCs w:val="21"/>
          <w:lang w:eastAsia="zh-CN"/>
        </w:rPr>
      </w:pPr>
    </w:p>
    <w:p>
      <w:pPr>
        <w:rPr>
          <w:rFonts w:hint="eastAsia" w:ascii="宋体" w:hAnsi="宋体" w:eastAsia="宋体" w:cs="宋体"/>
          <w:szCs w:val="21"/>
          <w:lang w:eastAsia="zh-CN"/>
        </w:rPr>
      </w:pPr>
    </w:p>
    <w:p>
      <w:pPr>
        <w:spacing w:line="360" w:lineRule="auto"/>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br w:type="page"/>
      </w:r>
    </w:p>
    <w:p>
      <w:pPr>
        <w:pStyle w:val="3"/>
        <w:numPr>
          <w:ilvl w:val="0"/>
          <w:numId w:val="16"/>
        </w:numPr>
        <w:bidi w:val="0"/>
        <w:spacing w:line="360" w:lineRule="auto"/>
        <w:ind w:left="0" w:leftChars="0" w:firstLine="420" w:firstLineChars="0"/>
        <w:rPr>
          <w:rFonts w:hint="eastAsia" w:ascii="宋体" w:hAnsi="宋体" w:eastAsia="宋体" w:cs="宋体"/>
          <w:b/>
          <w:bCs w:val="0"/>
          <w:sz w:val="21"/>
          <w:szCs w:val="21"/>
          <w:lang w:val="en-US" w:eastAsia="zh-CN"/>
        </w:rPr>
      </w:pPr>
      <w:bookmarkStart w:id="284" w:name="_Toc24336"/>
      <w:bookmarkStart w:id="285" w:name="_Toc24659"/>
      <w:bookmarkStart w:id="286" w:name="_Toc26735"/>
      <w:bookmarkStart w:id="287" w:name="_Toc29124"/>
      <w:r>
        <w:rPr>
          <w:rFonts w:hint="eastAsia" w:ascii="宋体" w:hAnsi="宋体" w:eastAsia="宋体" w:cs="宋体"/>
          <w:b/>
          <w:bCs w:val="0"/>
          <w:sz w:val="21"/>
          <w:szCs w:val="21"/>
          <w:lang w:val="en-US" w:eastAsia="zh-CN"/>
        </w:rPr>
        <w:t>项目执行/技术方案</w:t>
      </w:r>
      <w:bookmarkEnd w:id="284"/>
      <w:bookmarkEnd w:id="285"/>
      <w:bookmarkEnd w:id="286"/>
      <w:bookmarkEnd w:id="287"/>
    </w:p>
    <w:p>
      <w:pPr>
        <w:pStyle w:val="3"/>
        <w:numPr>
          <w:ilvl w:val="0"/>
          <w:numId w:val="0"/>
        </w:numPr>
        <w:bidi w:val="0"/>
        <w:spacing w:line="360" w:lineRule="auto"/>
        <w:ind w:left="420" w:leftChars="0"/>
        <w:jc w:val="center"/>
        <w:rPr>
          <w:rFonts w:hint="eastAsia" w:ascii="宋体" w:hAnsi="宋体" w:eastAsia="宋体" w:cs="宋体"/>
          <w:b/>
          <w:bCs w:val="0"/>
          <w:sz w:val="21"/>
          <w:szCs w:val="21"/>
          <w:lang w:val="en-US" w:eastAsia="zh-CN"/>
        </w:rPr>
      </w:pPr>
      <w:bookmarkStart w:id="288" w:name="_Toc19976"/>
      <w:bookmarkStart w:id="289" w:name="_Toc1802"/>
      <w:bookmarkStart w:id="290" w:name="_Toc22880"/>
      <w:bookmarkStart w:id="291" w:name="_Toc5523"/>
      <w:r>
        <w:rPr>
          <w:rFonts w:hint="eastAsia" w:ascii="宋体" w:hAnsi="宋体" w:eastAsia="宋体" w:cs="宋体"/>
          <w:b/>
          <w:bCs w:val="0"/>
          <w:sz w:val="21"/>
          <w:szCs w:val="21"/>
          <w:lang w:val="en-US" w:eastAsia="zh-CN"/>
        </w:rPr>
        <w:t>（请供应商根据标书需求部分制度）</w:t>
      </w:r>
      <w:bookmarkEnd w:id="288"/>
      <w:bookmarkEnd w:id="289"/>
      <w:bookmarkEnd w:id="290"/>
      <w:bookmarkEnd w:id="291"/>
    </w:p>
    <w:p>
      <w:pPr>
        <w:spacing w:line="360" w:lineRule="auto"/>
        <w:rPr>
          <w:rFonts w:hint="eastAsia" w:ascii="宋体" w:hAnsi="宋体" w:eastAsia="宋体" w:cs="宋体"/>
          <w:szCs w:val="21"/>
          <w:lang w:val="en-US" w:eastAsia="zh-CN"/>
        </w:rPr>
      </w:pPr>
    </w:p>
    <w:p>
      <w:pPr>
        <w:spacing w:line="360" w:lineRule="auto"/>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br w:type="page"/>
      </w:r>
    </w:p>
    <w:p>
      <w:pPr>
        <w:pStyle w:val="3"/>
        <w:numPr>
          <w:ilvl w:val="0"/>
          <w:numId w:val="16"/>
        </w:numPr>
        <w:bidi w:val="0"/>
        <w:spacing w:line="360" w:lineRule="auto"/>
        <w:ind w:left="0" w:leftChars="0" w:firstLine="420" w:firstLineChars="0"/>
        <w:rPr>
          <w:rFonts w:hint="eastAsia" w:ascii="宋体" w:hAnsi="宋体" w:eastAsia="宋体" w:cs="宋体"/>
          <w:b/>
          <w:bCs w:val="0"/>
          <w:sz w:val="21"/>
          <w:szCs w:val="21"/>
          <w:lang w:val="en-US" w:eastAsia="zh-CN"/>
        </w:rPr>
      </w:pPr>
      <w:bookmarkStart w:id="292" w:name="_Toc25265"/>
      <w:bookmarkStart w:id="293" w:name="_Toc7835"/>
      <w:bookmarkStart w:id="294" w:name="_Toc1348"/>
      <w:bookmarkStart w:id="295" w:name="_Toc10805"/>
      <w:r>
        <w:rPr>
          <w:rFonts w:hint="eastAsia" w:ascii="宋体" w:hAnsi="宋体" w:eastAsia="宋体" w:cs="宋体"/>
          <w:b/>
          <w:bCs w:val="0"/>
          <w:sz w:val="21"/>
          <w:szCs w:val="21"/>
          <w:lang w:val="en-US" w:eastAsia="zh-CN"/>
        </w:rPr>
        <w:t>应急保障及安全措施</w:t>
      </w:r>
      <w:bookmarkEnd w:id="292"/>
      <w:bookmarkEnd w:id="293"/>
      <w:bookmarkEnd w:id="294"/>
      <w:bookmarkEnd w:id="295"/>
    </w:p>
    <w:p>
      <w:pPr>
        <w:pStyle w:val="3"/>
        <w:numPr>
          <w:ilvl w:val="0"/>
          <w:numId w:val="0"/>
        </w:numPr>
        <w:bidi w:val="0"/>
        <w:spacing w:line="360" w:lineRule="auto"/>
        <w:ind w:left="420" w:leftChars="0"/>
        <w:jc w:val="center"/>
        <w:rPr>
          <w:rFonts w:hint="eastAsia" w:ascii="宋体" w:hAnsi="宋体" w:eastAsia="宋体" w:cs="宋体"/>
          <w:b/>
          <w:bCs w:val="0"/>
          <w:sz w:val="21"/>
          <w:szCs w:val="21"/>
          <w:lang w:val="en-US" w:eastAsia="zh-CN"/>
        </w:rPr>
      </w:pPr>
      <w:bookmarkStart w:id="296" w:name="_Toc18244"/>
      <w:bookmarkStart w:id="297" w:name="_Toc20834"/>
      <w:bookmarkStart w:id="298" w:name="_Toc17952"/>
      <w:bookmarkStart w:id="299" w:name="_Toc9293"/>
      <w:r>
        <w:rPr>
          <w:rFonts w:hint="eastAsia" w:ascii="宋体" w:hAnsi="宋体" w:eastAsia="宋体" w:cs="宋体"/>
          <w:b/>
          <w:bCs w:val="0"/>
          <w:sz w:val="21"/>
          <w:szCs w:val="21"/>
          <w:lang w:val="en-US" w:eastAsia="zh-CN"/>
        </w:rPr>
        <w:t>（请供应商根据标书需求部分制度）</w:t>
      </w:r>
      <w:bookmarkEnd w:id="296"/>
      <w:bookmarkEnd w:id="297"/>
      <w:bookmarkEnd w:id="298"/>
      <w:bookmarkEnd w:id="299"/>
    </w:p>
    <w:p>
      <w:pPr>
        <w:pStyle w:val="3"/>
        <w:numPr>
          <w:ilvl w:val="0"/>
          <w:numId w:val="0"/>
        </w:numPr>
        <w:bidi w:val="0"/>
        <w:spacing w:line="360" w:lineRule="auto"/>
        <w:ind w:left="420" w:leftChars="0"/>
        <w:jc w:val="center"/>
        <w:rPr>
          <w:rFonts w:hint="eastAsia" w:ascii="宋体" w:hAnsi="宋体" w:eastAsia="宋体" w:cs="宋体"/>
          <w:b/>
          <w:bCs w:val="0"/>
          <w:sz w:val="21"/>
          <w:szCs w:val="21"/>
          <w:lang w:val="en-US" w:eastAsia="zh-CN"/>
        </w:rPr>
      </w:pPr>
    </w:p>
    <w:p>
      <w:pPr>
        <w:pStyle w:val="3"/>
        <w:numPr>
          <w:ilvl w:val="0"/>
          <w:numId w:val="16"/>
        </w:numPr>
        <w:bidi w:val="0"/>
        <w:spacing w:line="360" w:lineRule="auto"/>
        <w:ind w:left="0" w:leftChars="0" w:firstLine="420" w:firstLineChars="0"/>
        <w:rPr>
          <w:rFonts w:hint="eastAsia" w:ascii="宋体" w:hAnsi="宋体" w:eastAsia="宋体" w:cs="宋体"/>
          <w:b/>
          <w:bCs w:val="0"/>
          <w:sz w:val="21"/>
          <w:szCs w:val="21"/>
        </w:rPr>
      </w:pPr>
      <w:r>
        <w:rPr>
          <w:rFonts w:hint="eastAsia" w:ascii="宋体" w:hAnsi="宋体" w:eastAsia="宋体" w:cs="宋体"/>
          <w:b/>
          <w:bCs w:val="0"/>
          <w:sz w:val="21"/>
          <w:szCs w:val="21"/>
          <w:lang w:val="en-US" w:eastAsia="zh-CN"/>
        </w:rPr>
        <w:br w:type="page"/>
      </w:r>
      <w:bookmarkStart w:id="300" w:name="_Toc5307"/>
      <w:bookmarkStart w:id="301" w:name="_Toc13288"/>
      <w:bookmarkStart w:id="302" w:name="_Toc9592"/>
      <w:r>
        <w:rPr>
          <w:rFonts w:hint="eastAsia" w:ascii="宋体" w:hAnsi="宋体" w:eastAsia="宋体" w:cs="宋体"/>
          <w:b/>
          <w:bCs w:val="0"/>
          <w:sz w:val="21"/>
          <w:szCs w:val="21"/>
          <w:lang w:val="en-US" w:eastAsia="zh-CN"/>
        </w:rPr>
        <w:t>参保证明</w:t>
      </w:r>
      <w:bookmarkEnd w:id="300"/>
      <w:bookmarkEnd w:id="301"/>
      <w:bookmarkEnd w:id="302"/>
    </w:p>
    <w:p>
      <w:pPr>
        <w:rPr>
          <w:rFonts w:hint="eastAsia" w:ascii="宋体" w:hAnsi="宋体" w:eastAsia="宋体" w:cs="宋体"/>
          <w:szCs w:val="21"/>
        </w:rPr>
      </w:pPr>
    </w:p>
    <w:p>
      <w:pPr>
        <w:rPr>
          <w:rFonts w:hint="eastAsia" w:ascii="宋体" w:hAnsi="宋体" w:eastAsia="宋体" w:cs="宋体"/>
          <w:b/>
          <w:bCs w:val="0"/>
          <w:sz w:val="21"/>
          <w:szCs w:val="21"/>
          <w:lang w:val="en-US" w:eastAsia="zh-CN"/>
        </w:rPr>
      </w:pPr>
      <w:r>
        <w:rPr>
          <w:rFonts w:hint="eastAsia" w:ascii="宋体" w:hAnsi="宋体" w:eastAsia="宋体" w:cs="宋体"/>
          <w:b/>
          <w:bCs w:val="0"/>
          <w:sz w:val="21"/>
          <w:szCs w:val="21"/>
          <w:lang w:val="en-US" w:eastAsia="zh-CN"/>
        </w:rPr>
        <w:br w:type="page"/>
      </w:r>
    </w:p>
    <w:p>
      <w:pPr>
        <w:pStyle w:val="2"/>
        <w:rPr>
          <w:rFonts w:hint="eastAsia"/>
          <w:lang w:val="en-US" w:eastAsia="zh-CN"/>
        </w:rPr>
      </w:pPr>
    </w:p>
    <w:p>
      <w:pPr>
        <w:pStyle w:val="3"/>
        <w:numPr>
          <w:ilvl w:val="0"/>
          <w:numId w:val="16"/>
        </w:numPr>
        <w:bidi w:val="0"/>
        <w:spacing w:line="360" w:lineRule="auto"/>
        <w:ind w:left="0" w:leftChars="0" w:firstLine="420" w:firstLineChars="0"/>
        <w:rPr>
          <w:rFonts w:hint="eastAsia" w:ascii="宋体" w:hAnsi="宋体" w:eastAsia="宋体" w:cs="宋体"/>
          <w:sz w:val="21"/>
          <w:szCs w:val="21"/>
        </w:rPr>
      </w:pPr>
      <w:bookmarkStart w:id="303" w:name="_Toc15904"/>
      <w:bookmarkStart w:id="304" w:name="_Toc7188"/>
      <w:bookmarkStart w:id="305" w:name="_Toc8108"/>
      <w:bookmarkStart w:id="306" w:name="_Toc19792"/>
      <w:r>
        <w:rPr>
          <w:rFonts w:hint="eastAsia" w:ascii="宋体" w:hAnsi="宋体" w:eastAsia="宋体" w:cs="宋体"/>
          <w:b/>
          <w:bCs w:val="0"/>
          <w:sz w:val="21"/>
          <w:szCs w:val="21"/>
          <w:lang w:val="en-US" w:eastAsia="zh-CN"/>
        </w:rPr>
        <w:t>近三年财务报表/审计报告/所得税汇算清缴报表</w:t>
      </w:r>
      <w:bookmarkEnd w:id="303"/>
      <w:bookmarkEnd w:id="304"/>
      <w:bookmarkEnd w:id="305"/>
      <w:bookmarkEnd w:id="306"/>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r>
        <w:rPr>
          <w:rFonts w:hint="eastAsia" w:ascii="宋体" w:hAnsi="宋体" w:eastAsia="宋体" w:cs="宋体"/>
          <w:szCs w:val="21"/>
          <w:lang w:eastAsia="zh-CN"/>
        </w:rPr>
        <w:br w:type="page"/>
      </w:r>
    </w:p>
    <w:p>
      <w:pPr>
        <w:pStyle w:val="2"/>
        <w:rPr>
          <w:rFonts w:hint="eastAsia"/>
          <w:lang w:eastAsia="zh-CN"/>
        </w:rPr>
      </w:pPr>
    </w:p>
    <w:p>
      <w:pPr>
        <w:pStyle w:val="3"/>
        <w:numPr>
          <w:ilvl w:val="0"/>
          <w:numId w:val="16"/>
        </w:numPr>
        <w:bidi w:val="0"/>
        <w:spacing w:line="360" w:lineRule="auto"/>
        <w:ind w:left="0" w:leftChars="0" w:firstLine="420" w:firstLineChars="0"/>
        <w:rPr>
          <w:rFonts w:hint="eastAsia" w:ascii="宋体" w:hAnsi="宋体" w:eastAsia="宋体" w:cs="宋体"/>
          <w:b/>
          <w:bCs w:val="0"/>
          <w:sz w:val="21"/>
          <w:szCs w:val="21"/>
        </w:rPr>
      </w:pPr>
      <w:bookmarkStart w:id="307" w:name="_Toc9355"/>
      <w:bookmarkStart w:id="308" w:name="_Toc10873"/>
      <w:bookmarkStart w:id="309" w:name="_Toc9904"/>
      <w:r>
        <w:rPr>
          <w:rFonts w:hint="eastAsia" w:ascii="宋体" w:hAnsi="宋体" w:eastAsia="宋体" w:cs="宋体"/>
          <w:b/>
          <w:bCs w:val="0"/>
          <w:sz w:val="21"/>
          <w:szCs w:val="21"/>
          <w:lang w:val="en-US" w:eastAsia="zh-CN"/>
        </w:rPr>
        <w:t>其他资质证明</w:t>
      </w:r>
      <w:bookmarkEnd w:id="307"/>
      <w:bookmarkEnd w:id="308"/>
      <w:bookmarkEnd w:id="309"/>
    </w:p>
    <w:p>
      <w:pPr>
        <w:pStyle w:val="2"/>
        <w:rPr>
          <w:rFonts w:hint="eastAsia" w:ascii="宋体" w:hAnsi="宋体" w:eastAsia="宋体" w:cs="宋体"/>
          <w:sz w:val="21"/>
          <w:szCs w:val="21"/>
          <w:lang w:eastAsia="zh-CN"/>
        </w:rPr>
      </w:pPr>
      <w:r>
        <w:rPr>
          <w:rFonts w:hint="eastAsia" w:ascii="宋体" w:hAnsi="宋体" w:eastAsia="宋体" w:cs="宋体"/>
          <w:sz w:val="21"/>
          <w:szCs w:val="21"/>
          <w:lang w:eastAsia="zh-CN"/>
        </w:rPr>
        <w:t>（如有）</w:t>
      </w: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rPr>
          <w:rFonts w:hint="eastAsia" w:ascii="宋体" w:hAnsi="宋体" w:eastAsia="宋体" w:cs="宋体"/>
          <w:szCs w:val="21"/>
          <w:lang w:eastAsia="zh-CN"/>
        </w:rPr>
      </w:pPr>
    </w:p>
    <w:p>
      <w:pPr>
        <w:pStyle w:val="2"/>
        <w:rPr>
          <w:rFonts w:hint="eastAsia" w:ascii="宋体" w:hAnsi="宋体" w:eastAsia="宋体" w:cs="宋体"/>
          <w:sz w:val="21"/>
          <w:szCs w:val="21"/>
          <w:lang w:eastAsia="zh-CN"/>
        </w:rPr>
      </w:pPr>
    </w:p>
    <w:p>
      <w:pPr>
        <w:spacing w:line="360" w:lineRule="auto"/>
        <w:rPr>
          <w:rFonts w:hint="eastAsia" w:ascii="宋体" w:hAnsi="宋体" w:eastAsia="宋体" w:cs="宋体"/>
          <w:color w:val="000000"/>
          <w:szCs w:val="21"/>
        </w:rPr>
      </w:pPr>
    </w:p>
    <w:sectPr>
      <w:headerReference r:id="rId5" w:type="default"/>
      <w:footerReference r:id="rId6" w:type="default"/>
      <w:pgSz w:w="11906" w:h="16838"/>
      <w:pgMar w:top="1440" w:right="1800" w:bottom="1440" w:left="1800" w:header="426"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幼圆">
    <w:panose1 w:val="0201050906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pPr>
    <w:r>
      <w:rPr>
        <w:rStyle w:val="19"/>
      </w:rPr>
      <w:fldChar w:fldCharType="begin"/>
    </w:r>
    <w:r>
      <w:rPr>
        <w:rStyle w:val="19"/>
      </w:rPr>
      <w:instrText xml:space="preserve"> PAGE </w:instrText>
    </w:r>
    <w:r>
      <w:rPr>
        <w:rStyle w:val="19"/>
      </w:rPr>
      <w:fldChar w:fldCharType="separate"/>
    </w:r>
    <w:r>
      <w:rPr>
        <w:rStyle w:val="19"/>
      </w:rPr>
      <w:t>21</w:t>
    </w:r>
    <w:r>
      <w:rPr>
        <w:rStyle w:val="19"/>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0395282"/>
      <w:docPartObj>
        <w:docPartGallery w:val="autotext"/>
      </w:docPartObj>
    </w:sdtPr>
    <w:sdtContent>
      <w:sdt>
        <w:sdtPr>
          <w:id w:val="171357217"/>
          <w:docPartObj>
            <w:docPartGallery w:val="autotext"/>
          </w:docPartObj>
        </w:sdtPr>
        <w:sdtContent>
          <w:p>
            <w:pPr>
              <w:pStyle w:val="12"/>
              <w:jc w:val="center"/>
            </w:pPr>
            <w:r>
              <w:rPr>
                <w:lang w:val="zh-CN"/>
              </w:rPr>
              <w:t xml:space="preserve"> </w:t>
            </w:r>
            <w:r>
              <w:rPr>
                <w:b/>
                <w:sz w:val="24"/>
                <w:szCs w:val="24"/>
              </w:rPr>
              <w:fldChar w:fldCharType="begin"/>
            </w:r>
            <w:r>
              <w:rPr>
                <w:b/>
              </w:rPr>
              <w:instrText xml:space="preserve">PAGE</w:instrText>
            </w:r>
            <w:r>
              <w:rPr>
                <w:b/>
                <w:sz w:val="24"/>
                <w:szCs w:val="24"/>
              </w:rPr>
              <w:fldChar w:fldCharType="separate"/>
            </w:r>
            <w:r>
              <w:rPr>
                <w:b/>
              </w:rPr>
              <w:t>11</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34</w:t>
            </w:r>
            <w:r>
              <w:rPr>
                <w:b/>
                <w:sz w:val="24"/>
                <w:szCs w:val="24"/>
              </w:rPr>
              <w:fldChar w:fldCharType="end"/>
            </w:r>
          </w:p>
        </w:sdtContent>
      </w:sdt>
    </w:sdtContent>
  </w:sdt>
  <w:p>
    <w:pPr>
      <w:pStyle w:val="1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firstLine="720" w:firstLineChars="400"/>
      <w:jc w:val="left"/>
    </w:pPr>
    <w:r>
      <w:rPr>
        <w:rFonts w:hint="eastAsia" w:ascii="幼圆" w:eastAsia="幼圆"/>
      </w:rPr>
      <w:drawing>
        <wp:anchor distT="0" distB="0" distL="114300" distR="114300" simplePos="0" relativeHeight="251659264" behindDoc="0" locked="0" layoutInCell="1" allowOverlap="1">
          <wp:simplePos x="0" y="0"/>
          <wp:positionH relativeFrom="column">
            <wp:posOffset>15875</wp:posOffset>
          </wp:positionH>
          <wp:positionV relativeFrom="paragraph">
            <wp:posOffset>-87630</wp:posOffset>
          </wp:positionV>
          <wp:extent cx="400050" cy="276225"/>
          <wp:effectExtent l="0" t="0" r="0" b="9525"/>
          <wp:wrapNone/>
          <wp:docPr id="1" name="图片 1" descr="集团 logo 中英全称 横"/>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集团 logo 中英全称 横"/>
                  <pic:cNvPicPr>
                    <a:picLocks noChangeAspect="1" noChangeArrowheads="1"/>
                  </pic:cNvPicPr>
                </pic:nvPicPr>
                <pic:blipFill>
                  <a:blip r:embed="rId1">
                    <a:extLst>
                      <a:ext uri="{28A0092B-C50C-407E-A947-70E740481C1C}">
                        <a14:useLocalDpi xmlns:a14="http://schemas.microsoft.com/office/drawing/2010/main" val="0"/>
                      </a:ext>
                    </a:extLst>
                  </a:blip>
                  <a:srcRect r="60332"/>
                  <a:stretch>
                    <a:fillRect/>
                  </a:stretch>
                </pic:blipFill>
                <pic:spPr>
                  <a:xfrm>
                    <a:off x="0" y="0"/>
                    <a:ext cx="400050" cy="276225"/>
                  </a:xfrm>
                  <a:prstGeom prst="rect">
                    <a:avLst/>
                  </a:prstGeom>
                  <a:noFill/>
                  <a:ln>
                    <a:noFill/>
                  </a:ln>
                </pic:spPr>
              </pic:pic>
            </a:graphicData>
          </a:graphic>
        </wp:anchor>
      </w:drawing>
    </w:r>
    <w:r>
      <w:rPr>
        <w:rFonts w:hint="eastAsia" w:ascii="幼圆" w:eastAsia="幼圆"/>
        <w:lang w:eastAsia="zh-CN"/>
      </w:rPr>
      <w:t>深圳市设计之都运营发展有限公司</w:t>
    </w:r>
    <w:r>
      <w:rPr>
        <w:rFonts w:hint="eastAsia" w:ascii="幼圆" w:eastAsia="幼圆"/>
      </w:rPr>
      <w:t xml:space="preserve">   </w:t>
    </w:r>
    <w:r>
      <w:rPr>
        <w:rFonts w:hint="eastAsia"/>
      </w:rPr>
      <w:t xml:space="preserve">                    </w:t>
    </w:r>
    <w:r>
      <w:rPr>
        <w:rFonts w:hint="eastAsia" w:ascii="黑体" w:eastAsia="黑体" w:hAnsiTheme="minorEastAsia"/>
        <w:color w:val="000000"/>
      </w:rPr>
      <w:t>招标编号：</w:t>
    </w:r>
    <w:r>
      <w:rPr>
        <w:rFonts w:ascii="黑体" w:eastAsia="黑体" w:hAnsiTheme="minorEastAsia"/>
        <w:color w:val="000000"/>
      </w:rPr>
      <w:t>S</w:t>
    </w:r>
    <w:r>
      <w:rPr>
        <w:rFonts w:hint="eastAsia" w:ascii="黑体" w:eastAsia="黑体" w:hAnsiTheme="minorEastAsia"/>
        <w:color w:val="000000"/>
        <w:lang w:val="en-US" w:eastAsia="zh-CN"/>
      </w:rPr>
      <w:t>JZD-2025</w:t>
    </w:r>
    <w:r>
      <w:rPr>
        <w:rFonts w:hint="eastAsia" w:ascii="黑体" w:eastAsia="黑体" w:hAnsiTheme="minorEastAsia"/>
        <w:color w:val="000000"/>
        <w:highlight w:val="none"/>
        <w:lang w:val="en-US" w:eastAsia="zh-CN"/>
      </w:rPr>
      <w:t>001</w:t>
    </w:r>
    <w:r>
      <w:rPr>
        <w:rFonts w:hint="eastAsia"/>
        <w:highlight w:val="none"/>
      </w:rPr>
      <w:t xml:space="preserve">   </w:t>
    </w:r>
    <w:r>
      <w:rPr>
        <w:rFonts w:hint="eastAsia"/>
      </w:rPr>
      <w:t xml:space="preserve">  </w:t>
    </w:r>
    <w:r>
      <w:ptab w:relativeTo="margin" w:alignment="right" w:leader="none"/>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88CB35"/>
    <w:multiLevelType w:val="singleLevel"/>
    <w:tmpl w:val="8088CB35"/>
    <w:lvl w:ilvl="0" w:tentative="0">
      <w:start w:val="1"/>
      <w:numFmt w:val="decimal"/>
      <w:lvlText w:val="%1."/>
      <w:lvlJc w:val="left"/>
      <w:pPr>
        <w:tabs>
          <w:tab w:val="left" w:pos="312"/>
        </w:tabs>
      </w:pPr>
    </w:lvl>
  </w:abstractNum>
  <w:abstractNum w:abstractNumId="1">
    <w:nsid w:val="8535FDCE"/>
    <w:multiLevelType w:val="singleLevel"/>
    <w:tmpl w:val="8535FDCE"/>
    <w:lvl w:ilvl="0" w:tentative="0">
      <w:start w:val="1"/>
      <w:numFmt w:val="decimal"/>
      <w:lvlText w:val="%1."/>
      <w:lvlJc w:val="left"/>
      <w:pPr>
        <w:ind w:left="425" w:hanging="425"/>
      </w:pPr>
      <w:rPr>
        <w:rFonts w:hint="default"/>
      </w:rPr>
    </w:lvl>
  </w:abstractNum>
  <w:abstractNum w:abstractNumId="2">
    <w:nsid w:val="9E6699F0"/>
    <w:multiLevelType w:val="singleLevel"/>
    <w:tmpl w:val="9E6699F0"/>
    <w:lvl w:ilvl="0" w:tentative="0">
      <w:start w:val="1"/>
      <w:numFmt w:val="decimal"/>
      <w:lvlText w:val="%1."/>
      <w:lvlJc w:val="left"/>
      <w:pPr>
        <w:ind w:left="425" w:hanging="425"/>
      </w:pPr>
      <w:rPr>
        <w:rFonts w:hint="default"/>
      </w:rPr>
    </w:lvl>
  </w:abstractNum>
  <w:abstractNum w:abstractNumId="3">
    <w:nsid w:val="AA98FB27"/>
    <w:multiLevelType w:val="singleLevel"/>
    <w:tmpl w:val="AA98FB27"/>
    <w:lvl w:ilvl="0" w:tentative="0">
      <w:start w:val="1"/>
      <w:numFmt w:val="chineseCounting"/>
      <w:suff w:val="nothing"/>
      <w:lvlText w:val="%1、"/>
      <w:lvlJc w:val="left"/>
      <w:pPr>
        <w:ind w:left="0" w:firstLine="420"/>
      </w:pPr>
      <w:rPr>
        <w:rFonts w:hint="eastAsia" w:ascii="宋体" w:hAnsi="宋体" w:eastAsia="宋体" w:cs="宋体"/>
        <w:b/>
        <w:bCs/>
        <w:sz w:val="21"/>
        <w:szCs w:val="21"/>
      </w:rPr>
    </w:lvl>
  </w:abstractNum>
  <w:abstractNum w:abstractNumId="4">
    <w:nsid w:val="B3D7E7F0"/>
    <w:multiLevelType w:val="singleLevel"/>
    <w:tmpl w:val="B3D7E7F0"/>
    <w:lvl w:ilvl="0" w:tentative="0">
      <w:start w:val="1"/>
      <w:numFmt w:val="chineseCounting"/>
      <w:suff w:val="space"/>
      <w:lvlText w:val="第%1条"/>
      <w:lvlJc w:val="left"/>
      <w:rPr>
        <w:rFonts w:hint="eastAsia"/>
        <w:sz w:val="21"/>
        <w:szCs w:val="21"/>
      </w:rPr>
    </w:lvl>
  </w:abstractNum>
  <w:abstractNum w:abstractNumId="5">
    <w:nsid w:val="B6CF9086"/>
    <w:multiLevelType w:val="multilevel"/>
    <w:tmpl w:val="B6CF9086"/>
    <w:lvl w:ilvl="0" w:tentative="0">
      <w:start w:val="1"/>
      <w:numFmt w:val="chineseCounting"/>
      <w:suff w:val="nothing"/>
      <w:lvlText w:val="第%1章 "/>
      <w:lvlJc w:val="left"/>
      <w:pPr>
        <w:ind w:left="0" w:firstLine="402"/>
      </w:pPr>
      <w:rPr>
        <w:rFonts w:hint="eastAsia"/>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6">
    <w:nsid w:val="B94B7646"/>
    <w:multiLevelType w:val="singleLevel"/>
    <w:tmpl w:val="B94B7646"/>
    <w:lvl w:ilvl="0" w:tentative="0">
      <w:start w:val="1"/>
      <w:numFmt w:val="chineseCounting"/>
      <w:suff w:val="nothing"/>
      <w:lvlText w:val="%1、"/>
      <w:lvlJc w:val="left"/>
      <w:pPr>
        <w:ind w:left="0" w:firstLine="420"/>
      </w:pPr>
      <w:rPr>
        <w:rFonts w:hint="eastAsia"/>
      </w:rPr>
    </w:lvl>
  </w:abstractNum>
  <w:abstractNum w:abstractNumId="7">
    <w:nsid w:val="C3E702CA"/>
    <w:multiLevelType w:val="multilevel"/>
    <w:tmpl w:val="C3E702CA"/>
    <w:lvl w:ilvl="0" w:tentative="0">
      <w:start w:val="1"/>
      <w:numFmt w:val="chineseCounting"/>
      <w:suff w:val="nothing"/>
      <w:lvlText w:val="第%1章　"/>
      <w:lvlJc w:val="left"/>
      <w:pPr>
        <w:ind w:left="0" w:firstLine="402"/>
      </w:pPr>
      <w:rPr>
        <w:rFonts w:hint="eastAsia"/>
      </w:rPr>
    </w:lvl>
    <w:lvl w:ilvl="1" w:tentative="0">
      <w:start w:val="1"/>
      <w:numFmt w:val="chineseCounting"/>
      <w:suff w:val="nothing"/>
      <w:lvlText w:val="第%2节　"/>
      <w:lvlJc w:val="left"/>
      <w:pPr>
        <w:ind w:left="0" w:firstLine="402"/>
      </w:pPr>
      <w:rPr>
        <w:rFonts w:hint="eastAsia"/>
        <w:b/>
        <w:bCs/>
      </w:rPr>
    </w:lvl>
    <w:lvl w:ilvl="2" w:tentative="0">
      <w:start w:val="1"/>
      <w:numFmt w:val="chineseCounting"/>
      <w:suff w:val="nothing"/>
      <w:lvlText w:val="第%3条　"/>
      <w:lvlJc w:val="left"/>
      <w:pPr>
        <w:ind w:left="0" w:firstLine="402"/>
      </w:pPr>
      <w:rPr>
        <w:rFonts w:hint="eastAsia"/>
      </w:rPr>
    </w:lvl>
    <w:lvl w:ilvl="3" w:tentative="0">
      <w:start w:val="1"/>
      <w:numFmt w:val="chineseCounting"/>
      <w:suff w:val="nothing"/>
      <w:lvlText w:val="（%4）"/>
      <w:lvlJc w:val="left"/>
      <w:pPr>
        <w:ind w:left="0" w:firstLine="402"/>
      </w:pPr>
      <w:rPr>
        <w:rFonts w:hint="eastAsia"/>
      </w:rPr>
    </w:lvl>
    <w:lvl w:ilvl="4" w:tentative="0">
      <w:start w:val="1"/>
      <w:numFmt w:val="decimal"/>
      <w:suff w:val="nothing"/>
      <w:lvlText w:val="%5．"/>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decimalEnclosedCircleChinese"/>
      <w:suff w:val="nothing"/>
      <w:lvlText w:val="%7 "/>
      <w:lvlJc w:val="left"/>
      <w:pPr>
        <w:ind w:left="0" w:firstLine="402"/>
      </w:pPr>
      <w:rPr>
        <w:rFonts w:hint="eastAsia"/>
      </w:rPr>
    </w:lvl>
    <w:lvl w:ilvl="7" w:tentative="0">
      <w:start w:val="1"/>
      <w:numFmt w:val="decimal"/>
      <w:suff w:val="nothing"/>
      <w:lvlText w:val="%8）"/>
      <w:lvlJc w:val="left"/>
      <w:pPr>
        <w:ind w:left="0" w:firstLine="402"/>
      </w:pPr>
      <w:rPr>
        <w:rFonts w:hint="eastAsia"/>
      </w:rPr>
    </w:lvl>
    <w:lvl w:ilvl="8" w:tentative="0">
      <w:start w:val="1"/>
      <w:numFmt w:val="lowerLetter"/>
      <w:suff w:val="nothing"/>
      <w:lvlText w:val="%9．"/>
      <w:lvlJc w:val="left"/>
      <w:pPr>
        <w:ind w:left="0" w:firstLine="402"/>
      </w:pPr>
      <w:rPr>
        <w:rFonts w:hint="eastAsia"/>
      </w:rPr>
    </w:lvl>
  </w:abstractNum>
  <w:abstractNum w:abstractNumId="8">
    <w:nsid w:val="CAE2B055"/>
    <w:multiLevelType w:val="singleLevel"/>
    <w:tmpl w:val="CAE2B055"/>
    <w:lvl w:ilvl="0" w:tentative="0">
      <w:start w:val="1"/>
      <w:numFmt w:val="chineseCounting"/>
      <w:suff w:val="nothing"/>
      <w:lvlText w:val="（%1）"/>
      <w:lvlJc w:val="left"/>
      <w:pPr>
        <w:ind w:left="0" w:firstLine="420"/>
      </w:pPr>
      <w:rPr>
        <w:rFonts w:hint="eastAsia"/>
        <w:sz w:val="21"/>
        <w:szCs w:val="21"/>
      </w:rPr>
    </w:lvl>
  </w:abstractNum>
  <w:abstractNum w:abstractNumId="9">
    <w:nsid w:val="D8CFA675"/>
    <w:multiLevelType w:val="singleLevel"/>
    <w:tmpl w:val="D8CFA675"/>
    <w:lvl w:ilvl="0" w:tentative="0">
      <w:start w:val="1"/>
      <w:numFmt w:val="chineseCounting"/>
      <w:suff w:val="nothing"/>
      <w:lvlText w:val="（%1）"/>
      <w:lvlJc w:val="left"/>
      <w:pPr>
        <w:ind w:left="0" w:firstLine="420"/>
      </w:pPr>
      <w:rPr>
        <w:rFonts w:hint="eastAsia"/>
      </w:rPr>
    </w:lvl>
  </w:abstractNum>
  <w:abstractNum w:abstractNumId="10">
    <w:nsid w:val="DF1AEA30"/>
    <w:multiLevelType w:val="singleLevel"/>
    <w:tmpl w:val="DF1AEA30"/>
    <w:lvl w:ilvl="0" w:tentative="0">
      <w:start w:val="1"/>
      <w:numFmt w:val="decimal"/>
      <w:lvlText w:val="%1."/>
      <w:lvlJc w:val="left"/>
      <w:pPr>
        <w:ind w:left="425" w:hanging="425"/>
      </w:pPr>
      <w:rPr>
        <w:rFonts w:hint="default"/>
      </w:rPr>
    </w:lvl>
  </w:abstractNum>
  <w:abstractNum w:abstractNumId="11">
    <w:nsid w:val="05901FB6"/>
    <w:multiLevelType w:val="multilevel"/>
    <w:tmpl w:val="05901FB6"/>
    <w:lvl w:ilvl="0" w:tentative="0">
      <w:start w:val="1"/>
      <w:numFmt w:val="bullet"/>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12">
    <w:nsid w:val="0FA901D1"/>
    <w:multiLevelType w:val="multilevel"/>
    <w:tmpl w:val="0FA901D1"/>
    <w:lvl w:ilvl="0" w:tentative="0">
      <w:start w:val="1"/>
      <w:numFmt w:val="decimal"/>
      <w:lvlText w:val="%1."/>
      <w:lvlJc w:val="left"/>
      <w:pPr>
        <w:ind w:left="360" w:hanging="360"/>
      </w:pPr>
      <w:rPr>
        <w:rFonts w:hint="default" w:ascii="宋体" w:hAnsi="宋体" w:eastAsia="宋体" w:cs="宋体"/>
        <w:sz w:val="21"/>
        <w:szCs w:val="21"/>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155D8224"/>
    <w:multiLevelType w:val="singleLevel"/>
    <w:tmpl w:val="155D8224"/>
    <w:lvl w:ilvl="0" w:tentative="0">
      <w:start w:val="1"/>
      <w:numFmt w:val="decimal"/>
      <w:suff w:val="nothing"/>
      <w:lvlText w:val="%1、"/>
      <w:lvlJc w:val="left"/>
    </w:lvl>
  </w:abstractNum>
  <w:abstractNum w:abstractNumId="14">
    <w:nsid w:val="1AAE26CD"/>
    <w:multiLevelType w:val="singleLevel"/>
    <w:tmpl w:val="1AAE26CD"/>
    <w:lvl w:ilvl="0" w:tentative="0">
      <w:start w:val="1"/>
      <w:numFmt w:val="chineseCounting"/>
      <w:suff w:val="nothing"/>
      <w:lvlText w:val="%1、"/>
      <w:lvlJc w:val="left"/>
      <w:pPr>
        <w:ind w:left="0" w:firstLine="420"/>
      </w:pPr>
      <w:rPr>
        <w:rFonts w:hint="eastAsia"/>
      </w:rPr>
    </w:lvl>
  </w:abstractNum>
  <w:abstractNum w:abstractNumId="15">
    <w:nsid w:val="232C0419"/>
    <w:multiLevelType w:val="multilevel"/>
    <w:tmpl w:val="232C0419"/>
    <w:lvl w:ilvl="0" w:tentative="0">
      <w:start w:val="1"/>
      <w:numFmt w:val="decimal"/>
      <w:lvlText w:val="%1)"/>
      <w:lvlJc w:val="left"/>
      <w:pPr>
        <w:tabs>
          <w:tab w:val="left" w:pos="0"/>
        </w:tabs>
        <w:ind w:left="0" w:firstLine="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6">
    <w:nsid w:val="24D85D00"/>
    <w:multiLevelType w:val="singleLevel"/>
    <w:tmpl w:val="24D85D00"/>
    <w:lvl w:ilvl="0" w:tentative="0">
      <w:start w:val="1"/>
      <w:numFmt w:val="chineseCounting"/>
      <w:suff w:val="nothing"/>
      <w:lvlText w:val="%1、"/>
      <w:lvlJc w:val="left"/>
      <w:rPr>
        <w:rFonts w:hint="eastAsia"/>
      </w:rPr>
    </w:lvl>
  </w:abstractNum>
  <w:abstractNum w:abstractNumId="17">
    <w:nsid w:val="3CD23A90"/>
    <w:multiLevelType w:val="singleLevel"/>
    <w:tmpl w:val="3CD23A90"/>
    <w:lvl w:ilvl="0" w:tentative="0">
      <w:start w:val="1"/>
      <w:numFmt w:val="decimal"/>
      <w:suff w:val="nothing"/>
      <w:lvlText w:val="%1、"/>
      <w:lvlJc w:val="left"/>
    </w:lvl>
  </w:abstractNum>
  <w:abstractNum w:abstractNumId="18">
    <w:nsid w:val="3F528C86"/>
    <w:multiLevelType w:val="singleLevel"/>
    <w:tmpl w:val="3F528C86"/>
    <w:lvl w:ilvl="0" w:tentative="0">
      <w:start w:val="1"/>
      <w:numFmt w:val="chineseCounting"/>
      <w:suff w:val="nothing"/>
      <w:lvlText w:val="%1、"/>
      <w:lvlJc w:val="left"/>
      <w:rPr>
        <w:rFonts w:hint="eastAsia" w:ascii="宋体" w:hAnsi="宋体" w:eastAsia="宋体" w:cs="宋体"/>
        <w:sz w:val="21"/>
        <w:szCs w:val="21"/>
      </w:rPr>
    </w:lvl>
  </w:abstractNum>
  <w:abstractNum w:abstractNumId="19">
    <w:nsid w:val="446261D7"/>
    <w:multiLevelType w:val="singleLevel"/>
    <w:tmpl w:val="446261D7"/>
    <w:lvl w:ilvl="0" w:tentative="0">
      <w:start w:val="1"/>
      <w:numFmt w:val="decimal"/>
      <w:suff w:val="nothing"/>
      <w:lvlText w:val="（%1）"/>
      <w:lvlJc w:val="left"/>
    </w:lvl>
  </w:abstractNum>
  <w:abstractNum w:abstractNumId="20">
    <w:nsid w:val="4B56A6B0"/>
    <w:multiLevelType w:val="singleLevel"/>
    <w:tmpl w:val="4B56A6B0"/>
    <w:lvl w:ilvl="0" w:tentative="0">
      <w:start w:val="1"/>
      <w:numFmt w:val="decimal"/>
      <w:lvlText w:val="%1."/>
      <w:lvlJc w:val="left"/>
      <w:pPr>
        <w:ind w:left="425" w:hanging="425"/>
      </w:pPr>
      <w:rPr>
        <w:rFonts w:hint="default"/>
      </w:rPr>
    </w:lvl>
  </w:abstractNum>
  <w:abstractNum w:abstractNumId="21">
    <w:nsid w:val="706C88EB"/>
    <w:multiLevelType w:val="singleLevel"/>
    <w:tmpl w:val="706C88EB"/>
    <w:lvl w:ilvl="0" w:tentative="0">
      <w:start w:val="1"/>
      <w:numFmt w:val="decimal"/>
      <w:suff w:val="nothing"/>
      <w:lvlText w:val="（%1）"/>
      <w:lvlJc w:val="left"/>
    </w:lvl>
  </w:abstractNum>
  <w:num w:numId="1">
    <w:abstractNumId w:val="5"/>
  </w:num>
  <w:num w:numId="2">
    <w:abstractNumId w:val="14"/>
  </w:num>
  <w:num w:numId="3">
    <w:abstractNumId w:val="12"/>
  </w:num>
  <w:num w:numId="4">
    <w:abstractNumId w:val="11"/>
  </w:num>
  <w:num w:numId="5">
    <w:abstractNumId w:val="3"/>
  </w:num>
  <w:num w:numId="6">
    <w:abstractNumId w:val="9"/>
  </w:num>
  <w:num w:numId="7">
    <w:abstractNumId w:val="21"/>
  </w:num>
  <w:num w:numId="8">
    <w:abstractNumId w:val="19"/>
  </w:num>
  <w:num w:numId="9">
    <w:abstractNumId w:val="8"/>
  </w:num>
  <w:num w:numId="10">
    <w:abstractNumId w:val="4"/>
  </w:num>
  <w:num w:numId="11">
    <w:abstractNumId w:val="0"/>
  </w:num>
  <w:num w:numId="12">
    <w:abstractNumId w:val="10"/>
  </w:num>
  <w:num w:numId="13">
    <w:abstractNumId w:val="20"/>
  </w:num>
  <w:num w:numId="14">
    <w:abstractNumId w:val="7"/>
  </w:num>
  <w:num w:numId="15">
    <w:abstractNumId w:val="2"/>
  </w:num>
  <w:num w:numId="16">
    <w:abstractNumId w:val="6"/>
  </w:num>
  <w:num w:numId="17">
    <w:abstractNumId w:val="1"/>
  </w:num>
  <w:num w:numId="18">
    <w:abstractNumId w:val="15"/>
  </w:num>
  <w:num w:numId="19">
    <w:abstractNumId w:val="18"/>
  </w:num>
  <w:num w:numId="20">
    <w:abstractNumId w:val="16"/>
  </w:num>
  <w:num w:numId="21">
    <w:abstractNumId w:val="17"/>
  </w:num>
  <w:num w:numId="2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bordersDoNotSurroundHeader w:val="0"/>
  <w:bordersDoNotSurroundFooter w:val="0"/>
  <w:documentProtection w:edit="trackedChanges"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FlOWQ4NWUxYTM1MjU1OWM2MGU5NThlM2FlZjk0ODkifQ=="/>
    <w:docVar w:name="KSO_WPS_MARK_KEY" w:val="c88023f6-0a56-447d-977d-48ca762dbe86"/>
  </w:docVars>
  <w:rsids>
    <w:rsidRoot w:val="00075BC4"/>
    <w:rsid w:val="00000F07"/>
    <w:rsid w:val="00035849"/>
    <w:rsid w:val="00040640"/>
    <w:rsid w:val="0005064A"/>
    <w:rsid w:val="000572B2"/>
    <w:rsid w:val="00075BC4"/>
    <w:rsid w:val="00087EB5"/>
    <w:rsid w:val="000A2874"/>
    <w:rsid w:val="000C0AED"/>
    <w:rsid w:val="000D2B38"/>
    <w:rsid w:val="000E41A0"/>
    <w:rsid w:val="001051A7"/>
    <w:rsid w:val="0010749D"/>
    <w:rsid w:val="0014469F"/>
    <w:rsid w:val="00191DC3"/>
    <w:rsid w:val="001B5667"/>
    <w:rsid w:val="001C5FAC"/>
    <w:rsid w:val="001D4972"/>
    <w:rsid w:val="001E0430"/>
    <w:rsid w:val="001E0E78"/>
    <w:rsid w:val="001F2703"/>
    <w:rsid w:val="002149B1"/>
    <w:rsid w:val="00251253"/>
    <w:rsid w:val="00254FCE"/>
    <w:rsid w:val="002562AD"/>
    <w:rsid w:val="002649E0"/>
    <w:rsid w:val="00270AB1"/>
    <w:rsid w:val="00291869"/>
    <w:rsid w:val="00313253"/>
    <w:rsid w:val="00320E80"/>
    <w:rsid w:val="00325523"/>
    <w:rsid w:val="0034217C"/>
    <w:rsid w:val="00365738"/>
    <w:rsid w:val="00395F84"/>
    <w:rsid w:val="003B11E0"/>
    <w:rsid w:val="003D4E56"/>
    <w:rsid w:val="0043769C"/>
    <w:rsid w:val="004423C5"/>
    <w:rsid w:val="00471D3A"/>
    <w:rsid w:val="00472F4C"/>
    <w:rsid w:val="00474D0D"/>
    <w:rsid w:val="00483084"/>
    <w:rsid w:val="00494236"/>
    <w:rsid w:val="00495D3A"/>
    <w:rsid w:val="00514F41"/>
    <w:rsid w:val="00521509"/>
    <w:rsid w:val="0054725A"/>
    <w:rsid w:val="00560DB4"/>
    <w:rsid w:val="005D6E6E"/>
    <w:rsid w:val="005F25BC"/>
    <w:rsid w:val="0060142B"/>
    <w:rsid w:val="006135AB"/>
    <w:rsid w:val="006150A4"/>
    <w:rsid w:val="00630494"/>
    <w:rsid w:val="00640E40"/>
    <w:rsid w:val="006A7D24"/>
    <w:rsid w:val="006B0B1B"/>
    <w:rsid w:val="006C6BF1"/>
    <w:rsid w:val="006F1F09"/>
    <w:rsid w:val="006F3A3C"/>
    <w:rsid w:val="006F6A5F"/>
    <w:rsid w:val="007007C0"/>
    <w:rsid w:val="00747DB6"/>
    <w:rsid w:val="00790AD2"/>
    <w:rsid w:val="007A1C76"/>
    <w:rsid w:val="007D3E0B"/>
    <w:rsid w:val="007F38CC"/>
    <w:rsid w:val="0086085D"/>
    <w:rsid w:val="008642FE"/>
    <w:rsid w:val="0088180B"/>
    <w:rsid w:val="008A2235"/>
    <w:rsid w:val="008B410A"/>
    <w:rsid w:val="008B7D85"/>
    <w:rsid w:val="008E0748"/>
    <w:rsid w:val="009164D4"/>
    <w:rsid w:val="00935A72"/>
    <w:rsid w:val="009565BE"/>
    <w:rsid w:val="00977470"/>
    <w:rsid w:val="009B5FFC"/>
    <w:rsid w:val="009E30E4"/>
    <w:rsid w:val="00A000AD"/>
    <w:rsid w:val="00A00DCF"/>
    <w:rsid w:val="00A0142B"/>
    <w:rsid w:val="00A065C0"/>
    <w:rsid w:val="00A11B41"/>
    <w:rsid w:val="00A2514D"/>
    <w:rsid w:val="00A32CC1"/>
    <w:rsid w:val="00A4290C"/>
    <w:rsid w:val="00A51E1D"/>
    <w:rsid w:val="00A72602"/>
    <w:rsid w:val="00AB0FD1"/>
    <w:rsid w:val="00AB273A"/>
    <w:rsid w:val="00B25D55"/>
    <w:rsid w:val="00B66C29"/>
    <w:rsid w:val="00B97670"/>
    <w:rsid w:val="00BA7F7D"/>
    <w:rsid w:val="00BD1CEE"/>
    <w:rsid w:val="00BD661B"/>
    <w:rsid w:val="00C029A6"/>
    <w:rsid w:val="00C11E19"/>
    <w:rsid w:val="00C64CDB"/>
    <w:rsid w:val="00C823C4"/>
    <w:rsid w:val="00C827C2"/>
    <w:rsid w:val="00C953C1"/>
    <w:rsid w:val="00CA0A3A"/>
    <w:rsid w:val="00CE7AE6"/>
    <w:rsid w:val="00CF2C87"/>
    <w:rsid w:val="00D124A3"/>
    <w:rsid w:val="00D41E9E"/>
    <w:rsid w:val="00D509CD"/>
    <w:rsid w:val="00D6371F"/>
    <w:rsid w:val="00D9369D"/>
    <w:rsid w:val="00D96D2A"/>
    <w:rsid w:val="00DA4184"/>
    <w:rsid w:val="00DB7897"/>
    <w:rsid w:val="00DE320E"/>
    <w:rsid w:val="00DE6082"/>
    <w:rsid w:val="00DE70C3"/>
    <w:rsid w:val="00DF08A3"/>
    <w:rsid w:val="00E01B57"/>
    <w:rsid w:val="00E15A60"/>
    <w:rsid w:val="00E453F2"/>
    <w:rsid w:val="00E53D36"/>
    <w:rsid w:val="00E57A00"/>
    <w:rsid w:val="00E75511"/>
    <w:rsid w:val="00E850F1"/>
    <w:rsid w:val="00EB01BF"/>
    <w:rsid w:val="00EB4CF2"/>
    <w:rsid w:val="00EE6008"/>
    <w:rsid w:val="00EE79AB"/>
    <w:rsid w:val="00F1399B"/>
    <w:rsid w:val="00F2493E"/>
    <w:rsid w:val="00F43901"/>
    <w:rsid w:val="00F45294"/>
    <w:rsid w:val="00F51181"/>
    <w:rsid w:val="00F60BD0"/>
    <w:rsid w:val="00F66243"/>
    <w:rsid w:val="00F82BAC"/>
    <w:rsid w:val="00F8398B"/>
    <w:rsid w:val="00FA7DBC"/>
    <w:rsid w:val="00FC1E30"/>
    <w:rsid w:val="00FD0A9E"/>
    <w:rsid w:val="00FD44CF"/>
    <w:rsid w:val="00FE16A0"/>
    <w:rsid w:val="00FF61C1"/>
    <w:rsid w:val="013D1841"/>
    <w:rsid w:val="017442FA"/>
    <w:rsid w:val="01D1660C"/>
    <w:rsid w:val="02783976"/>
    <w:rsid w:val="035F4058"/>
    <w:rsid w:val="03661CA4"/>
    <w:rsid w:val="03936690"/>
    <w:rsid w:val="040C0819"/>
    <w:rsid w:val="0410290D"/>
    <w:rsid w:val="042E35BE"/>
    <w:rsid w:val="044B76B8"/>
    <w:rsid w:val="049F168E"/>
    <w:rsid w:val="04D34972"/>
    <w:rsid w:val="051E21FC"/>
    <w:rsid w:val="05341DD6"/>
    <w:rsid w:val="05483AD3"/>
    <w:rsid w:val="05754F47"/>
    <w:rsid w:val="05A056BD"/>
    <w:rsid w:val="05EA2DDC"/>
    <w:rsid w:val="062B2B49"/>
    <w:rsid w:val="0644429B"/>
    <w:rsid w:val="072A013E"/>
    <w:rsid w:val="07554285"/>
    <w:rsid w:val="078D7E04"/>
    <w:rsid w:val="082F4AD6"/>
    <w:rsid w:val="08675989"/>
    <w:rsid w:val="08EC3C9C"/>
    <w:rsid w:val="095347F5"/>
    <w:rsid w:val="09637C4D"/>
    <w:rsid w:val="0A494730"/>
    <w:rsid w:val="0A535A33"/>
    <w:rsid w:val="0AC43BFC"/>
    <w:rsid w:val="0BAC6132"/>
    <w:rsid w:val="0C0614F4"/>
    <w:rsid w:val="0C486A13"/>
    <w:rsid w:val="0C57284E"/>
    <w:rsid w:val="0D156991"/>
    <w:rsid w:val="0D240982"/>
    <w:rsid w:val="0D2766C4"/>
    <w:rsid w:val="0D3D5EE8"/>
    <w:rsid w:val="0D8E6766"/>
    <w:rsid w:val="0DA63A8D"/>
    <w:rsid w:val="0DF76096"/>
    <w:rsid w:val="0E010CC3"/>
    <w:rsid w:val="0E1028CD"/>
    <w:rsid w:val="0E247709"/>
    <w:rsid w:val="0E341099"/>
    <w:rsid w:val="0E611762"/>
    <w:rsid w:val="0E7A765E"/>
    <w:rsid w:val="0EAE0E4B"/>
    <w:rsid w:val="0ED65CAC"/>
    <w:rsid w:val="0EEA1757"/>
    <w:rsid w:val="0F1A64E0"/>
    <w:rsid w:val="0F334EAC"/>
    <w:rsid w:val="0F6C5013"/>
    <w:rsid w:val="0F7A0D2D"/>
    <w:rsid w:val="101C6EA5"/>
    <w:rsid w:val="10883BA1"/>
    <w:rsid w:val="10A67900"/>
    <w:rsid w:val="10E8616A"/>
    <w:rsid w:val="110E2943"/>
    <w:rsid w:val="11446C05"/>
    <w:rsid w:val="11837A7C"/>
    <w:rsid w:val="12176D07"/>
    <w:rsid w:val="124675EC"/>
    <w:rsid w:val="127174C9"/>
    <w:rsid w:val="12771554"/>
    <w:rsid w:val="127952CC"/>
    <w:rsid w:val="12C624DB"/>
    <w:rsid w:val="132C0590"/>
    <w:rsid w:val="13382C11"/>
    <w:rsid w:val="13892D03"/>
    <w:rsid w:val="138F28CD"/>
    <w:rsid w:val="1410604D"/>
    <w:rsid w:val="14164D9C"/>
    <w:rsid w:val="14172FEE"/>
    <w:rsid w:val="14BC3B96"/>
    <w:rsid w:val="14CD31AF"/>
    <w:rsid w:val="150F589E"/>
    <w:rsid w:val="153F59F6"/>
    <w:rsid w:val="155838BF"/>
    <w:rsid w:val="157B75AD"/>
    <w:rsid w:val="159B6C13"/>
    <w:rsid w:val="15D8055B"/>
    <w:rsid w:val="16EB0762"/>
    <w:rsid w:val="16F5338F"/>
    <w:rsid w:val="17282396"/>
    <w:rsid w:val="17361823"/>
    <w:rsid w:val="17712A16"/>
    <w:rsid w:val="177559EB"/>
    <w:rsid w:val="184C6FDF"/>
    <w:rsid w:val="185D11EC"/>
    <w:rsid w:val="185F1ECC"/>
    <w:rsid w:val="18694035"/>
    <w:rsid w:val="18DC2AE8"/>
    <w:rsid w:val="193F689E"/>
    <w:rsid w:val="19A00E89"/>
    <w:rsid w:val="19C534ED"/>
    <w:rsid w:val="19ED659F"/>
    <w:rsid w:val="1A0F29BA"/>
    <w:rsid w:val="1AD10F75"/>
    <w:rsid w:val="1AD87250"/>
    <w:rsid w:val="1B7C7BDB"/>
    <w:rsid w:val="1C2344FA"/>
    <w:rsid w:val="1C2C344C"/>
    <w:rsid w:val="1C4967C1"/>
    <w:rsid w:val="1C8F6548"/>
    <w:rsid w:val="1C982DC5"/>
    <w:rsid w:val="1D7F5576"/>
    <w:rsid w:val="1DF60118"/>
    <w:rsid w:val="1E334EC9"/>
    <w:rsid w:val="1F2504CB"/>
    <w:rsid w:val="1F9A7964"/>
    <w:rsid w:val="1FE761AE"/>
    <w:rsid w:val="20CE041B"/>
    <w:rsid w:val="21366A7E"/>
    <w:rsid w:val="21A67760"/>
    <w:rsid w:val="21B24356"/>
    <w:rsid w:val="21B7196D"/>
    <w:rsid w:val="22043B6F"/>
    <w:rsid w:val="22347461"/>
    <w:rsid w:val="22E76168"/>
    <w:rsid w:val="230C30B9"/>
    <w:rsid w:val="231D4366"/>
    <w:rsid w:val="2322375E"/>
    <w:rsid w:val="236B2A0F"/>
    <w:rsid w:val="237F37C8"/>
    <w:rsid w:val="23A423C5"/>
    <w:rsid w:val="23AA01A0"/>
    <w:rsid w:val="23DC390D"/>
    <w:rsid w:val="23E06A66"/>
    <w:rsid w:val="24150BCD"/>
    <w:rsid w:val="245B49D0"/>
    <w:rsid w:val="24D75873"/>
    <w:rsid w:val="24FE77F3"/>
    <w:rsid w:val="259E18C6"/>
    <w:rsid w:val="25BA0C9E"/>
    <w:rsid w:val="261E645E"/>
    <w:rsid w:val="266A16A4"/>
    <w:rsid w:val="272D0F38"/>
    <w:rsid w:val="27580F7E"/>
    <w:rsid w:val="277773EC"/>
    <w:rsid w:val="27D901DB"/>
    <w:rsid w:val="28285372"/>
    <w:rsid w:val="28333D17"/>
    <w:rsid w:val="283B38A8"/>
    <w:rsid w:val="28F90ABD"/>
    <w:rsid w:val="29070B9D"/>
    <w:rsid w:val="2953641F"/>
    <w:rsid w:val="295D104C"/>
    <w:rsid w:val="296879F1"/>
    <w:rsid w:val="2A746B25"/>
    <w:rsid w:val="2B593A95"/>
    <w:rsid w:val="2B597F39"/>
    <w:rsid w:val="2BBA5D65"/>
    <w:rsid w:val="2C3B319A"/>
    <w:rsid w:val="2C892158"/>
    <w:rsid w:val="2CAF3A12"/>
    <w:rsid w:val="2CC35400"/>
    <w:rsid w:val="2D572346"/>
    <w:rsid w:val="2D9011F0"/>
    <w:rsid w:val="2D9A0AA6"/>
    <w:rsid w:val="2DA60AE7"/>
    <w:rsid w:val="2DD1025A"/>
    <w:rsid w:val="2E2E745B"/>
    <w:rsid w:val="2EC92CDF"/>
    <w:rsid w:val="2F05640D"/>
    <w:rsid w:val="2F416D1A"/>
    <w:rsid w:val="306929CC"/>
    <w:rsid w:val="30915A7F"/>
    <w:rsid w:val="30B33C47"/>
    <w:rsid w:val="30F3371F"/>
    <w:rsid w:val="30F77FD8"/>
    <w:rsid w:val="314A45AB"/>
    <w:rsid w:val="318F1FBE"/>
    <w:rsid w:val="31AB7C04"/>
    <w:rsid w:val="31F167D5"/>
    <w:rsid w:val="32132BEF"/>
    <w:rsid w:val="32862630"/>
    <w:rsid w:val="32C83002"/>
    <w:rsid w:val="32D566D2"/>
    <w:rsid w:val="330E5059"/>
    <w:rsid w:val="331035D3"/>
    <w:rsid w:val="33154745"/>
    <w:rsid w:val="33220BAB"/>
    <w:rsid w:val="33AB3556"/>
    <w:rsid w:val="33AC1DDC"/>
    <w:rsid w:val="33E02FA5"/>
    <w:rsid w:val="33EF66C0"/>
    <w:rsid w:val="34484172"/>
    <w:rsid w:val="346904C3"/>
    <w:rsid w:val="34A23C1A"/>
    <w:rsid w:val="351F18AB"/>
    <w:rsid w:val="352B4654"/>
    <w:rsid w:val="354B0068"/>
    <w:rsid w:val="354F39CB"/>
    <w:rsid w:val="35967540"/>
    <w:rsid w:val="359A53D6"/>
    <w:rsid w:val="35DA163E"/>
    <w:rsid w:val="35E1263E"/>
    <w:rsid w:val="35FE3BB6"/>
    <w:rsid w:val="361E6007"/>
    <w:rsid w:val="36293C2D"/>
    <w:rsid w:val="362C24D2"/>
    <w:rsid w:val="3662413F"/>
    <w:rsid w:val="36A91D74"/>
    <w:rsid w:val="36F86858"/>
    <w:rsid w:val="3797278D"/>
    <w:rsid w:val="37CB5D1A"/>
    <w:rsid w:val="38206066"/>
    <w:rsid w:val="38C70CB8"/>
    <w:rsid w:val="38FB43DD"/>
    <w:rsid w:val="391935A5"/>
    <w:rsid w:val="3AAE5A75"/>
    <w:rsid w:val="3ACB4F85"/>
    <w:rsid w:val="3AE07D2F"/>
    <w:rsid w:val="3B1A56C2"/>
    <w:rsid w:val="3B647709"/>
    <w:rsid w:val="3C124329"/>
    <w:rsid w:val="3C2459F9"/>
    <w:rsid w:val="3C485F05"/>
    <w:rsid w:val="3CA628B2"/>
    <w:rsid w:val="3D081560"/>
    <w:rsid w:val="3D0F48FB"/>
    <w:rsid w:val="3D5E790C"/>
    <w:rsid w:val="3D6A1B31"/>
    <w:rsid w:val="3D8B55F5"/>
    <w:rsid w:val="3D9F7A2D"/>
    <w:rsid w:val="3DA74514"/>
    <w:rsid w:val="3DB23467"/>
    <w:rsid w:val="3DDA6CB7"/>
    <w:rsid w:val="3E725142"/>
    <w:rsid w:val="3EF67B21"/>
    <w:rsid w:val="3F6727CC"/>
    <w:rsid w:val="3F8A1170"/>
    <w:rsid w:val="3FA1477E"/>
    <w:rsid w:val="3FC45529"/>
    <w:rsid w:val="40AF442B"/>
    <w:rsid w:val="40C902B3"/>
    <w:rsid w:val="40FA4F7A"/>
    <w:rsid w:val="410A51B7"/>
    <w:rsid w:val="41641E74"/>
    <w:rsid w:val="416F6B0D"/>
    <w:rsid w:val="41B25855"/>
    <w:rsid w:val="41DC5B35"/>
    <w:rsid w:val="421610D5"/>
    <w:rsid w:val="42164036"/>
    <w:rsid w:val="42894808"/>
    <w:rsid w:val="428B4190"/>
    <w:rsid w:val="435B3335"/>
    <w:rsid w:val="436C6603"/>
    <w:rsid w:val="43A5385B"/>
    <w:rsid w:val="43DD4C31"/>
    <w:rsid w:val="441A605F"/>
    <w:rsid w:val="449812F5"/>
    <w:rsid w:val="44A55215"/>
    <w:rsid w:val="44EE3048"/>
    <w:rsid w:val="45486BFC"/>
    <w:rsid w:val="45790B64"/>
    <w:rsid w:val="4582210E"/>
    <w:rsid w:val="46050649"/>
    <w:rsid w:val="46492C2C"/>
    <w:rsid w:val="464F5D68"/>
    <w:rsid w:val="468B348B"/>
    <w:rsid w:val="46CB53EF"/>
    <w:rsid w:val="46E3440D"/>
    <w:rsid w:val="46FB7A29"/>
    <w:rsid w:val="475915D3"/>
    <w:rsid w:val="47A1451B"/>
    <w:rsid w:val="482C45B3"/>
    <w:rsid w:val="486039E3"/>
    <w:rsid w:val="48747943"/>
    <w:rsid w:val="48EC0FE7"/>
    <w:rsid w:val="49357497"/>
    <w:rsid w:val="494771CA"/>
    <w:rsid w:val="49935F6C"/>
    <w:rsid w:val="4A1B5B8C"/>
    <w:rsid w:val="4AA20B5D"/>
    <w:rsid w:val="4AB56AE2"/>
    <w:rsid w:val="4AB64608"/>
    <w:rsid w:val="4ABF56F5"/>
    <w:rsid w:val="4AE01CB2"/>
    <w:rsid w:val="4B575FCA"/>
    <w:rsid w:val="4B5B1FDD"/>
    <w:rsid w:val="4C1F7ED0"/>
    <w:rsid w:val="4CB132D9"/>
    <w:rsid w:val="4CC34DBA"/>
    <w:rsid w:val="4CD069FA"/>
    <w:rsid w:val="4D1D271C"/>
    <w:rsid w:val="4D2414C2"/>
    <w:rsid w:val="4D266337"/>
    <w:rsid w:val="4D30280F"/>
    <w:rsid w:val="4D353705"/>
    <w:rsid w:val="4DA44BEC"/>
    <w:rsid w:val="4DD86643"/>
    <w:rsid w:val="4E2676B1"/>
    <w:rsid w:val="4E7D377A"/>
    <w:rsid w:val="4ED35788"/>
    <w:rsid w:val="4FAB400F"/>
    <w:rsid w:val="4FAE1D52"/>
    <w:rsid w:val="50AA25DD"/>
    <w:rsid w:val="50DD28EE"/>
    <w:rsid w:val="511703CE"/>
    <w:rsid w:val="51256043"/>
    <w:rsid w:val="5180327A"/>
    <w:rsid w:val="52391DA6"/>
    <w:rsid w:val="527A5F1B"/>
    <w:rsid w:val="528B1ED6"/>
    <w:rsid w:val="52D043E1"/>
    <w:rsid w:val="52E33975"/>
    <w:rsid w:val="531E1711"/>
    <w:rsid w:val="5322085B"/>
    <w:rsid w:val="534D53DE"/>
    <w:rsid w:val="53511372"/>
    <w:rsid w:val="535E583D"/>
    <w:rsid w:val="543427CF"/>
    <w:rsid w:val="54721BF2"/>
    <w:rsid w:val="548A4B3B"/>
    <w:rsid w:val="54A61249"/>
    <w:rsid w:val="552C2EC0"/>
    <w:rsid w:val="55481E7E"/>
    <w:rsid w:val="55482C14"/>
    <w:rsid w:val="55805F3E"/>
    <w:rsid w:val="55FA7A9F"/>
    <w:rsid w:val="562966B1"/>
    <w:rsid w:val="56E147BB"/>
    <w:rsid w:val="570B7A8A"/>
    <w:rsid w:val="578A4D0C"/>
    <w:rsid w:val="58120797"/>
    <w:rsid w:val="587D0513"/>
    <w:rsid w:val="587D49B7"/>
    <w:rsid w:val="58901EBA"/>
    <w:rsid w:val="58A13F49"/>
    <w:rsid w:val="58BE59E5"/>
    <w:rsid w:val="58FF717A"/>
    <w:rsid w:val="59FB2037"/>
    <w:rsid w:val="5A236E98"/>
    <w:rsid w:val="5A3D7F5A"/>
    <w:rsid w:val="5A6503AB"/>
    <w:rsid w:val="5ABA3CA0"/>
    <w:rsid w:val="5AD76600"/>
    <w:rsid w:val="5ADC48C6"/>
    <w:rsid w:val="5C053504"/>
    <w:rsid w:val="5C1949F7"/>
    <w:rsid w:val="5C384E7D"/>
    <w:rsid w:val="5C930305"/>
    <w:rsid w:val="5D401EF9"/>
    <w:rsid w:val="5D414205"/>
    <w:rsid w:val="5D5F28DD"/>
    <w:rsid w:val="5D9B12D1"/>
    <w:rsid w:val="5DD7488D"/>
    <w:rsid w:val="5DE352BC"/>
    <w:rsid w:val="5E0D2339"/>
    <w:rsid w:val="5E4C2A70"/>
    <w:rsid w:val="5E512226"/>
    <w:rsid w:val="5E631F59"/>
    <w:rsid w:val="5E710B1A"/>
    <w:rsid w:val="5E794A8A"/>
    <w:rsid w:val="5EF642E2"/>
    <w:rsid w:val="5F0674B4"/>
    <w:rsid w:val="5F381638"/>
    <w:rsid w:val="5F560AF4"/>
    <w:rsid w:val="5FB62BC7"/>
    <w:rsid w:val="5FB7255D"/>
    <w:rsid w:val="602A7A08"/>
    <w:rsid w:val="605C7DC8"/>
    <w:rsid w:val="609819EF"/>
    <w:rsid w:val="60CA4511"/>
    <w:rsid w:val="613D6968"/>
    <w:rsid w:val="61566C51"/>
    <w:rsid w:val="61B531E9"/>
    <w:rsid w:val="620572E1"/>
    <w:rsid w:val="62D358FF"/>
    <w:rsid w:val="633A772C"/>
    <w:rsid w:val="63691DC0"/>
    <w:rsid w:val="64177A6E"/>
    <w:rsid w:val="64682077"/>
    <w:rsid w:val="646A5DEF"/>
    <w:rsid w:val="652D6307"/>
    <w:rsid w:val="65FC33BF"/>
    <w:rsid w:val="662965DD"/>
    <w:rsid w:val="662B76DC"/>
    <w:rsid w:val="668C4743"/>
    <w:rsid w:val="669C55C5"/>
    <w:rsid w:val="66BC0B99"/>
    <w:rsid w:val="67024A05"/>
    <w:rsid w:val="672229B1"/>
    <w:rsid w:val="680774E2"/>
    <w:rsid w:val="683F3A37"/>
    <w:rsid w:val="68824896"/>
    <w:rsid w:val="69934C07"/>
    <w:rsid w:val="6B9145AA"/>
    <w:rsid w:val="6C200B48"/>
    <w:rsid w:val="6C40252E"/>
    <w:rsid w:val="6D952DD1"/>
    <w:rsid w:val="6DC02EDC"/>
    <w:rsid w:val="6DC9627D"/>
    <w:rsid w:val="6DF76824"/>
    <w:rsid w:val="6E874588"/>
    <w:rsid w:val="6E8A19DF"/>
    <w:rsid w:val="6F1F1ECC"/>
    <w:rsid w:val="6F881820"/>
    <w:rsid w:val="6F90612B"/>
    <w:rsid w:val="6FA3261F"/>
    <w:rsid w:val="6FA32AFD"/>
    <w:rsid w:val="6FC53B50"/>
    <w:rsid w:val="70187047"/>
    <w:rsid w:val="707F3039"/>
    <w:rsid w:val="70BE2E5C"/>
    <w:rsid w:val="70D8038D"/>
    <w:rsid w:val="718F60EA"/>
    <w:rsid w:val="71D0417F"/>
    <w:rsid w:val="71F53502"/>
    <w:rsid w:val="72504F3B"/>
    <w:rsid w:val="72B101AF"/>
    <w:rsid w:val="7329156C"/>
    <w:rsid w:val="733E17AF"/>
    <w:rsid w:val="73696ADC"/>
    <w:rsid w:val="73814F04"/>
    <w:rsid w:val="73D44E47"/>
    <w:rsid w:val="73F531FC"/>
    <w:rsid w:val="74026044"/>
    <w:rsid w:val="741967CA"/>
    <w:rsid w:val="741B2C62"/>
    <w:rsid w:val="745E77D3"/>
    <w:rsid w:val="74837BE2"/>
    <w:rsid w:val="74F459FA"/>
    <w:rsid w:val="75314C92"/>
    <w:rsid w:val="75563DE9"/>
    <w:rsid w:val="758F4452"/>
    <w:rsid w:val="75976C60"/>
    <w:rsid w:val="75BC0475"/>
    <w:rsid w:val="7617086B"/>
    <w:rsid w:val="7630676D"/>
    <w:rsid w:val="76C67537"/>
    <w:rsid w:val="770A3E80"/>
    <w:rsid w:val="77250B48"/>
    <w:rsid w:val="775F15F9"/>
    <w:rsid w:val="776C1A27"/>
    <w:rsid w:val="77D53A70"/>
    <w:rsid w:val="77DA2E34"/>
    <w:rsid w:val="77DE23DB"/>
    <w:rsid w:val="7877490D"/>
    <w:rsid w:val="7879264D"/>
    <w:rsid w:val="795457C0"/>
    <w:rsid w:val="797A667D"/>
    <w:rsid w:val="79C93160"/>
    <w:rsid w:val="7A077F60"/>
    <w:rsid w:val="7A5E7D4D"/>
    <w:rsid w:val="7AAD7D85"/>
    <w:rsid w:val="7AEC0D99"/>
    <w:rsid w:val="7B203254"/>
    <w:rsid w:val="7B9D26BC"/>
    <w:rsid w:val="7C217284"/>
    <w:rsid w:val="7C645ACD"/>
    <w:rsid w:val="7CB54BCA"/>
    <w:rsid w:val="7CBB76D8"/>
    <w:rsid w:val="7CBF3C51"/>
    <w:rsid w:val="7D0821F2"/>
    <w:rsid w:val="7D580C9E"/>
    <w:rsid w:val="7D787377"/>
    <w:rsid w:val="7E521A14"/>
    <w:rsid w:val="7EB937A4"/>
    <w:rsid w:val="7F1C3D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0"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23"/>
    <w:qFormat/>
    <w:uiPriority w:val="0"/>
    <w:pPr>
      <w:keepNext/>
      <w:keepLines/>
      <w:spacing w:before="340" w:after="330" w:line="578" w:lineRule="auto"/>
      <w:outlineLvl w:val="0"/>
    </w:pPr>
    <w:rPr>
      <w:rFonts w:ascii="Times New Roman" w:hAnsi="Times New Roman" w:eastAsia="宋体" w:cs="Times New Roman"/>
      <w:b/>
      <w:bCs/>
      <w:kern w:val="44"/>
      <w:sz w:val="44"/>
      <w:szCs w:val="44"/>
    </w:rPr>
  </w:style>
  <w:style w:type="paragraph" w:styleId="4">
    <w:name w:val="heading 2"/>
    <w:basedOn w:val="1"/>
    <w:next w:val="1"/>
    <w:link w:val="26"/>
    <w:qFormat/>
    <w:uiPriority w:val="0"/>
    <w:pPr>
      <w:keepNext/>
      <w:keepLines/>
      <w:spacing w:before="260" w:after="260" w:line="416" w:lineRule="auto"/>
      <w:outlineLvl w:val="1"/>
    </w:pPr>
    <w:rPr>
      <w:rFonts w:ascii="Arial" w:hAnsi="Arial" w:eastAsia="黑体" w:cs="Times New Roman"/>
      <w:b/>
      <w:bCs/>
      <w:sz w:val="32"/>
      <w:szCs w:val="32"/>
    </w:rPr>
  </w:style>
  <w:style w:type="paragraph" w:styleId="5">
    <w:name w:val="heading 3"/>
    <w:basedOn w:val="1"/>
    <w:next w:val="1"/>
    <w:link w:val="29"/>
    <w:qFormat/>
    <w:uiPriority w:val="0"/>
    <w:pPr>
      <w:keepNext/>
      <w:keepLines/>
      <w:spacing w:before="260" w:after="260" w:line="416" w:lineRule="auto"/>
      <w:outlineLvl w:val="2"/>
    </w:pPr>
    <w:rPr>
      <w:rFonts w:ascii="Times New Roman" w:hAnsi="Times New Roman" w:eastAsia="宋体" w:cs="Times New Roman"/>
      <w:b/>
      <w:bCs/>
      <w:sz w:val="32"/>
      <w:szCs w:val="32"/>
    </w:rPr>
  </w:style>
  <w:style w:type="character" w:default="1" w:styleId="18">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2">
    <w:name w:val="toc 1"/>
    <w:basedOn w:val="1"/>
    <w:next w:val="1"/>
    <w:unhideWhenUsed/>
    <w:qFormat/>
    <w:uiPriority w:val="0"/>
    <w:pPr>
      <w:widowControl/>
      <w:spacing w:after="100" w:line="276" w:lineRule="auto"/>
      <w:jc w:val="left"/>
    </w:pPr>
    <w:rPr>
      <w:rFonts w:asciiTheme="minorHAnsi" w:hAnsiTheme="minorHAnsi" w:eastAsiaTheme="minorEastAsia" w:cstheme="minorBidi"/>
      <w:kern w:val="0"/>
      <w:sz w:val="22"/>
      <w:szCs w:val="22"/>
    </w:rPr>
  </w:style>
  <w:style w:type="paragraph" w:styleId="6">
    <w:name w:val="annotation text"/>
    <w:basedOn w:val="1"/>
    <w:semiHidden/>
    <w:qFormat/>
    <w:uiPriority w:val="0"/>
    <w:pPr>
      <w:jc w:val="left"/>
    </w:pPr>
    <w:rPr>
      <w:sz w:val="24"/>
      <w:szCs w:val="20"/>
    </w:rPr>
  </w:style>
  <w:style w:type="paragraph" w:styleId="7">
    <w:name w:val="Body Text Indent"/>
    <w:basedOn w:val="1"/>
    <w:link w:val="27"/>
    <w:qFormat/>
    <w:uiPriority w:val="0"/>
    <w:pPr>
      <w:ind w:left="2098"/>
    </w:pPr>
    <w:rPr>
      <w:rFonts w:ascii="Times New Roman" w:hAnsi="Times New Roman" w:eastAsia="宋体" w:cs="Times New Roman"/>
      <w:color w:val="000000"/>
      <w:sz w:val="24"/>
      <w:szCs w:val="24"/>
    </w:rPr>
  </w:style>
  <w:style w:type="paragraph" w:styleId="8">
    <w:name w:val="toc 3"/>
    <w:basedOn w:val="1"/>
    <w:next w:val="1"/>
    <w:semiHidden/>
    <w:unhideWhenUsed/>
    <w:uiPriority w:val="39"/>
    <w:pPr>
      <w:ind w:left="840" w:leftChars="400"/>
    </w:pPr>
  </w:style>
  <w:style w:type="paragraph" w:styleId="9">
    <w:name w:val="Plain Text"/>
    <w:basedOn w:val="1"/>
    <w:link w:val="28"/>
    <w:qFormat/>
    <w:uiPriority w:val="0"/>
    <w:rPr>
      <w:rFonts w:ascii="宋体" w:hAnsi="Courier New" w:eastAsia="宋体" w:cs="Courier New"/>
      <w:szCs w:val="21"/>
    </w:rPr>
  </w:style>
  <w:style w:type="paragraph" w:styleId="10">
    <w:name w:val="Date"/>
    <w:basedOn w:val="1"/>
    <w:next w:val="1"/>
    <w:link w:val="24"/>
    <w:qFormat/>
    <w:uiPriority w:val="0"/>
    <w:pPr>
      <w:autoSpaceDE w:val="0"/>
      <w:autoSpaceDN w:val="0"/>
      <w:adjustRightInd w:val="0"/>
      <w:textAlignment w:val="baseline"/>
    </w:pPr>
    <w:rPr>
      <w:rFonts w:ascii="宋体" w:hAnsi="Times New Roman" w:eastAsia="宋体" w:cs="Times New Roman"/>
      <w:kern w:val="0"/>
      <w:sz w:val="28"/>
      <w:szCs w:val="20"/>
    </w:rPr>
  </w:style>
  <w:style w:type="paragraph" w:styleId="11">
    <w:name w:val="Balloon Text"/>
    <w:basedOn w:val="1"/>
    <w:link w:val="33"/>
    <w:semiHidden/>
    <w:unhideWhenUsed/>
    <w:qFormat/>
    <w:uiPriority w:val="99"/>
    <w:rPr>
      <w:sz w:val="18"/>
      <w:szCs w:val="18"/>
    </w:rPr>
  </w:style>
  <w:style w:type="paragraph" w:styleId="12">
    <w:name w:val="footer"/>
    <w:basedOn w:val="1"/>
    <w:link w:val="31"/>
    <w:unhideWhenUsed/>
    <w:qFormat/>
    <w:uiPriority w:val="99"/>
    <w:pPr>
      <w:tabs>
        <w:tab w:val="center" w:pos="4153"/>
        <w:tab w:val="right" w:pos="8306"/>
      </w:tabs>
      <w:snapToGrid w:val="0"/>
      <w:jc w:val="left"/>
    </w:pPr>
    <w:rPr>
      <w:sz w:val="18"/>
      <w:szCs w:val="18"/>
    </w:rPr>
  </w:style>
  <w:style w:type="paragraph" w:styleId="13">
    <w:name w:val="header"/>
    <w:basedOn w:val="1"/>
    <w:link w:val="30"/>
    <w:unhideWhenUsed/>
    <w:qFormat/>
    <w:uiPriority w:val="0"/>
    <w:pPr>
      <w:pBdr>
        <w:bottom w:val="single" w:color="auto" w:sz="6" w:space="1"/>
      </w:pBdr>
      <w:tabs>
        <w:tab w:val="center" w:pos="4153"/>
        <w:tab w:val="right" w:pos="8306"/>
      </w:tabs>
      <w:snapToGrid w:val="0"/>
      <w:jc w:val="center"/>
    </w:pPr>
    <w:rPr>
      <w:sz w:val="18"/>
      <w:szCs w:val="18"/>
    </w:rPr>
  </w:style>
  <w:style w:type="paragraph" w:styleId="14">
    <w:name w:val="toc 2"/>
    <w:basedOn w:val="1"/>
    <w:next w:val="1"/>
    <w:semiHidden/>
    <w:unhideWhenUsed/>
    <w:uiPriority w:val="39"/>
    <w:pPr>
      <w:ind w:left="420" w:leftChars="200"/>
    </w:pPr>
  </w:style>
  <w:style w:type="paragraph" w:styleId="15">
    <w:name w:val="Normal (Web)"/>
    <w:basedOn w:val="1"/>
    <w:qFormat/>
    <w:uiPriority w:val="99"/>
    <w:rPr>
      <w:rFonts w:ascii="Times New Roman" w:hAnsi="Times New Roman" w:eastAsia="宋体" w:cs="Times New Roman"/>
      <w:sz w:val="24"/>
      <w:szCs w:val="24"/>
    </w:rPr>
  </w:style>
  <w:style w:type="table" w:styleId="17">
    <w:name w:val="Table Grid"/>
    <w:basedOn w:val="1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9">
    <w:name w:val="page number"/>
    <w:basedOn w:val="18"/>
    <w:qFormat/>
    <w:uiPriority w:val="0"/>
  </w:style>
  <w:style w:type="character" w:styleId="20">
    <w:name w:val="Hyperlink"/>
    <w:qFormat/>
    <w:uiPriority w:val="99"/>
    <w:rPr>
      <w:color w:val="0000FF"/>
      <w:u w:val="single"/>
    </w:rPr>
  </w:style>
  <w:style w:type="character" w:styleId="21">
    <w:name w:val="annotation reference"/>
    <w:semiHidden/>
    <w:qFormat/>
    <w:uiPriority w:val="0"/>
    <w:rPr>
      <w:sz w:val="21"/>
      <w:szCs w:val="21"/>
    </w:rPr>
  </w:style>
  <w:style w:type="paragraph" w:customStyle="1" w:styleId="22">
    <w:name w:val="reader-word-layer"/>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23">
    <w:name w:val="标题 1 Char"/>
    <w:basedOn w:val="18"/>
    <w:link w:val="3"/>
    <w:qFormat/>
    <w:uiPriority w:val="0"/>
    <w:rPr>
      <w:rFonts w:ascii="Times New Roman" w:hAnsi="Times New Roman" w:eastAsia="宋体" w:cs="Times New Roman"/>
      <w:b/>
      <w:bCs/>
      <w:kern w:val="44"/>
      <w:sz w:val="44"/>
      <w:szCs w:val="44"/>
    </w:rPr>
  </w:style>
  <w:style w:type="character" w:customStyle="1" w:styleId="24">
    <w:name w:val="日期 Char"/>
    <w:basedOn w:val="18"/>
    <w:link w:val="10"/>
    <w:qFormat/>
    <w:uiPriority w:val="0"/>
    <w:rPr>
      <w:rFonts w:ascii="宋体" w:hAnsi="Times New Roman" w:eastAsia="宋体" w:cs="Times New Roman"/>
      <w:kern w:val="0"/>
      <w:sz w:val="28"/>
      <w:szCs w:val="20"/>
    </w:rPr>
  </w:style>
  <w:style w:type="paragraph" w:customStyle="1" w:styleId="25">
    <w:name w:val="1册标题3"/>
    <w:basedOn w:val="1"/>
    <w:next w:val="1"/>
    <w:qFormat/>
    <w:uiPriority w:val="0"/>
    <w:pPr>
      <w:keepNext/>
      <w:keepLines/>
      <w:adjustRightInd w:val="0"/>
      <w:spacing w:beforeLines="50" w:afterLines="50" w:line="300" w:lineRule="auto"/>
      <w:textAlignment w:val="baseline"/>
      <w:outlineLvl w:val="2"/>
    </w:pPr>
    <w:rPr>
      <w:rFonts w:ascii="Arial" w:hAnsi="Arial" w:eastAsia="黑体" w:cs="Times New Roman"/>
      <w:kern w:val="0"/>
      <w:sz w:val="30"/>
      <w:szCs w:val="20"/>
    </w:rPr>
  </w:style>
  <w:style w:type="character" w:customStyle="1" w:styleId="26">
    <w:name w:val="标题 2 Char"/>
    <w:basedOn w:val="18"/>
    <w:link w:val="4"/>
    <w:qFormat/>
    <w:uiPriority w:val="0"/>
    <w:rPr>
      <w:rFonts w:ascii="Arial" w:hAnsi="Arial" w:eastAsia="黑体" w:cs="Times New Roman"/>
      <w:b/>
      <w:bCs/>
      <w:sz w:val="32"/>
      <w:szCs w:val="32"/>
    </w:rPr>
  </w:style>
  <w:style w:type="character" w:customStyle="1" w:styleId="27">
    <w:name w:val="正文文本缩进 Char"/>
    <w:basedOn w:val="18"/>
    <w:link w:val="7"/>
    <w:qFormat/>
    <w:uiPriority w:val="0"/>
    <w:rPr>
      <w:rFonts w:ascii="Times New Roman" w:hAnsi="Times New Roman" w:eastAsia="宋体" w:cs="Times New Roman"/>
      <w:color w:val="000000"/>
      <w:sz w:val="24"/>
      <w:szCs w:val="24"/>
    </w:rPr>
  </w:style>
  <w:style w:type="character" w:customStyle="1" w:styleId="28">
    <w:name w:val="纯文本 Char"/>
    <w:basedOn w:val="18"/>
    <w:link w:val="9"/>
    <w:qFormat/>
    <w:uiPriority w:val="0"/>
    <w:rPr>
      <w:rFonts w:ascii="宋体" w:hAnsi="Courier New" w:eastAsia="宋体" w:cs="Courier New"/>
      <w:szCs w:val="21"/>
    </w:rPr>
  </w:style>
  <w:style w:type="character" w:customStyle="1" w:styleId="29">
    <w:name w:val="标题 3 Char"/>
    <w:basedOn w:val="18"/>
    <w:link w:val="5"/>
    <w:qFormat/>
    <w:uiPriority w:val="0"/>
    <w:rPr>
      <w:rFonts w:ascii="Times New Roman" w:hAnsi="Times New Roman" w:eastAsia="宋体" w:cs="Times New Roman"/>
      <w:b/>
      <w:bCs/>
      <w:sz w:val="32"/>
      <w:szCs w:val="32"/>
    </w:rPr>
  </w:style>
  <w:style w:type="character" w:customStyle="1" w:styleId="30">
    <w:name w:val="页眉 Char"/>
    <w:basedOn w:val="18"/>
    <w:link w:val="13"/>
    <w:qFormat/>
    <w:uiPriority w:val="0"/>
    <w:rPr>
      <w:sz w:val="18"/>
      <w:szCs w:val="18"/>
    </w:rPr>
  </w:style>
  <w:style w:type="character" w:customStyle="1" w:styleId="31">
    <w:name w:val="页脚 Char"/>
    <w:basedOn w:val="18"/>
    <w:link w:val="12"/>
    <w:qFormat/>
    <w:uiPriority w:val="99"/>
    <w:rPr>
      <w:sz w:val="18"/>
      <w:szCs w:val="18"/>
    </w:rPr>
  </w:style>
  <w:style w:type="paragraph" w:styleId="32">
    <w:name w:val="List Paragraph"/>
    <w:basedOn w:val="1"/>
    <w:link w:val="34"/>
    <w:qFormat/>
    <w:uiPriority w:val="34"/>
    <w:pPr>
      <w:ind w:firstLine="420" w:firstLineChars="200"/>
    </w:pPr>
  </w:style>
  <w:style w:type="character" w:customStyle="1" w:styleId="33">
    <w:name w:val="批注框文本 Char"/>
    <w:basedOn w:val="18"/>
    <w:link w:val="11"/>
    <w:semiHidden/>
    <w:qFormat/>
    <w:uiPriority w:val="99"/>
    <w:rPr>
      <w:sz w:val="18"/>
      <w:szCs w:val="18"/>
    </w:rPr>
  </w:style>
  <w:style w:type="character" w:customStyle="1" w:styleId="34">
    <w:name w:val="列出段落 Char"/>
    <w:link w:val="32"/>
    <w:qFormat/>
    <w:locked/>
    <w:uiPriority w:val="34"/>
  </w:style>
  <w:style w:type="character" w:customStyle="1" w:styleId="35">
    <w:name w:val="标题 3 Char Char"/>
    <w:qFormat/>
    <w:uiPriority w:val="0"/>
    <w:rPr>
      <w:rFonts w:ascii="黑体" w:eastAsia="黑体"/>
      <w:bCs/>
      <w:sz w:val="30"/>
    </w:rPr>
  </w:style>
  <w:style w:type="character" w:customStyle="1" w:styleId="36">
    <w:name w:val="日期 Char1"/>
    <w:basedOn w:val="18"/>
    <w:qFormat/>
    <w:uiPriority w:val="0"/>
    <w:rPr>
      <w:rFonts w:ascii="宋体" w:hAnsi="Courier New" w:eastAsia="宋体" w:cs="Times New Roman"/>
      <w:sz w:val="32"/>
      <w:szCs w:val="20"/>
    </w:rPr>
  </w:style>
  <w:style w:type="paragraph" w:customStyle="1" w:styleId="37">
    <w:name w:val="Char Char Char"/>
    <w:basedOn w:val="1"/>
    <w:qFormat/>
    <w:uiPriority w:val="0"/>
    <w:rPr>
      <w:rFonts w:ascii="Times New Roman" w:hAnsi="Times New Roman" w:eastAsia="宋体" w:cs="Times New Roman"/>
      <w:szCs w:val="20"/>
    </w:rPr>
  </w:style>
  <w:style w:type="character" w:customStyle="1" w:styleId="38">
    <w:name w:val="email"/>
    <w:basedOn w:val="18"/>
    <w:qFormat/>
    <w:uiPriority w:val="0"/>
  </w:style>
  <w:style w:type="paragraph" w:customStyle="1" w:styleId="39">
    <w:name w:val="WPSOffice手动目录 1"/>
    <w:qFormat/>
    <w:uiPriority w:val="0"/>
    <w:pPr>
      <w:ind w:leftChars="0"/>
    </w:pPr>
    <w:rPr>
      <w:rFonts w:asciiTheme="minorHAnsi" w:hAnsiTheme="minorHAnsi" w:eastAsiaTheme="minorEastAsia" w:cstheme="minorBidi"/>
      <w:sz w:val="20"/>
      <w:szCs w:val="20"/>
    </w:rPr>
  </w:style>
  <w:style w:type="paragraph" w:customStyle="1" w:styleId="40">
    <w:name w:val="WPSOffice手动目录 2"/>
    <w:qFormat/>
    <w:uiPriority w:val="0"/>
    <w:pPr>
      <w:ind w:leftChars="200"/>
    </w:pPr>
    <w:rPr>
      <w:rFonts w:asciiTheme="minorHAnsi" w:hAnsiTheme="minorHAnsi" w:eastAsiaTheme="minorEastAsia" w:cstheme="minorBidi"/>
      <w:sz w:val="20"/>
      <w:szCs w:val="20"/>
    </w:rPr>
  </w:style>
  <w:style w:type="paragraph" w:customStyle="1" w:styleId="41">
    <w:name w:val="样式 行距: 1.5 倍行距"/>
    <w:basedOn w:val="1"/>
    <w:qFormat/>
    <w:uiPriority w:val="0"/>
    <w:pPr>
      <w:spacing w:line="360" w:lineRule="auto"/>
    </w:pPr>
    <w:rPr>
      <w:rFonts w:cs="宋体"/>
      <w:szCs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599F42-6CBD-4065-BF63-5B9B717447B1}">
  <ds:schemaRefs/>
</ds:datastoreItem>
</file>

<file path=docProps/app.xml><?xml version="1.0" encoding="utf-8"?>
<Properties xmlns="http://schemas.openxmlformats.org/officeDocument/2006/extended-properties" xmlns:vt="http://schemas.openxmlformats.org/officeDocument/2006/docPropsVTypes">
  <Template>Normal</Template>
  <Company>eachome</Company>
  <Pages>39</Pages>
  <Words>13975</Words>
  <Characters>14853</Characters>
  <Lines>124</Lines>
  <Paragraphs>35</Paragraphs>
  <TotalTime>0</TotalTime>
  <ScaleCrop>false</ScaleCrop>
  <LinksUpToDate>false</LinksUpToDate>
  <CharactersWithSpaces>16779</CharactersWithSpaces>
  <Application>WPS Office_11.1.0.15319_F1E327BC-269C-435d-A152-05C5408002CA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2017-01-17T07:48:00Z</dcterms:created>
  <dc:creator>fuyuxiong</dc:creator>
  <cp:lastModifiedBy>查无此人。</cp:lastModifiedBy>
  <cp:lastPrinted>2017-03-15T10:14:00Z</cp:lastPrinted>
  <dcterms:modified xsi:type="dcterms:W3CDTF">2025-02-06T09:45:53Z</dcterms:modified>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2052-11.1.0.15319</vt:lpwstr>
  </property>
  <property fmtid="{D5CDD505-2E9C-101B-9397-08002B2CF9AE}" pid="3" name="ICV">
    <vt:lpwstr>B909A87EAC954747865005CFEC4C28E3_13</vt:lpwstr>
  </property>
</Properties>
</file>